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i w:val="0"/>
          <w:color w:val="000000"/>
          <w:sz w:val="28"/>
        </w:rPr>
        <w:t>OFFICE OF THE SUB-DIVISIONAL OFFICER</w:t>
      </w:r>
    </w:p>
    <w:p>
      <w:pPr>
        <w:spacing w:before="0" w:after="40" w:lineRule="exact" w:line="360"/>
        <w:jc w:val="center"/>
      </w:pPr>
      <w:r>
        <w:rPr>
          <w:rFonts w:ascii="Bookman Old Style" w:hAnsi="Bookman Old Style" w:cs="Bookman Old Style" w:eastAsia="Bookman Old Style"/>
          <w:b/>
          <w:i w:val="0"/>
          <w:color w:val="000000"/>
          <w:sz w:val="28"/>
        </w:rPr>
        <w:t>BALURGHAT, DAKSHIN DINAJPUR</w:t>
      </w:r>
    </w:p>
    <w:p>
      <w:pPr>
        <w:spacing w:before="40" w:after="120" w:lineRule="exact" w:line="520"/>
        <w:jc w:val="center"/>
      </w:pPr>
      <w:r>
        <w:rPr>
          <w:rFonts w:ascii="Bookman Old Style" w:hAnsi="Bookman Old Style" w:cs="Bookman Old Style" w:eastAsia="Bookman Old Style"/>
          <w:b/>
          <w:i w:val="0"/>
          <w:color w:val="000000"/>
          <w:sz w:val="44"/>
        </w:rPr>
        <w:t>NOTE SHEET</w:t>
      </w:r>
    </w:p>
    <w:p>
      <w:pPr>
        <w:spacing w:before="0" w:after="0" w:lineRule="exact" w:line="320"/>
        <w:jc w:val="left"/>
      </w:pPr>
      <w:r>
        <w:rPr>
          <w:rFonts w:ascii="Bookman Old Style" w:hAnsi="Bookman Old Style" w:cs="Bookman Old Style" w:eastAsia="Bookman Old Style"/>
          <w:b/>
          <w:i w:val="0"/>
          <w:color w:val="000000"/>
          <w:sz w:val="24"/>
        </w:rPr>
        <w:t xml:space="preserve">Deptt./Sec.  </w:t>
      </w:r>
      <w:r>
        <w:rPr>
          <w:rFonts w:ascii="Bookman Old Style" w:hAnsi="Bookman Old Style" w:cs="Bookman Old Style" w:eastAsia="Bookman Old Style"/>
          <w:b/>
          <w:i w:val="0"/>
          <w:color w:val="000000"/>
          <w:sz w:val="24"/>
        </w:rPr>
        <w:t>SDO Balurghat (S)</w:t>
      </w:r>
    </w:p>
    <w:p>
      <w:pPr>
        <w:spacing w:before="40" w:after="160" w:lineRule="exact" w:line="320"/>
        <w:jc w:val="left"/>
      </w:pPr>
      <w:r>
        <w:rPr>
          <w:rFonts w:ascii="Bookman Old Style" w:hAnsi="Bookman Old Style" w:cs="Bookman Old Style" w:eastAsia="Bookman Old Style"/>
          <w:b/>
          <w:i w:val="0"/>
          <w:color w:val="000000"/>
          <w:sz w:val="24"/>
        </w:rPr>
        <w:t>Date.  ______________</w:t>
      </w:r>
      <w:r>
        <w:rPr>
          <w:rFonts w:ascii="Bookman Old Style" w:hAnsi="Bookman Old Style" w:cs="Bookman Old Style" w:eastAsia="Bookman Old Style"/>
          <w:b/>
          <w:i w:val="0"/>
          <w:color w:val="000000"/>
          <w:sz w:val="24"/>
        </w:rPr>
        <w:t xml:space="preserve">                    Collection No.  ...........................</w:t>
      </w:r>
    </w:p>
    <w:p>
      <w:pPr>
        <w:spacing w:before="0" w:after="120" w:lineRule="exact" w:line="300"/>
        <w:jc w:val="both"/>
      </w:pPr>
      <w:r>
        <w:rPr>
          <w:rFonts w:ascii="Bookman Old Style" w:hAnsi="Bookman Old Style" w:cs="Bookman Old Style" w:eastAsia="Bookman Old Style"/>
          <w:b w:val="0"/>
          <w:i w:val="0"/>
          <w:color w:val="000000"/>
          <w:sz w:val="24"/>
        </w:rPr>
        <w:t>It is submitted that an application dated 28.09.2026 has been received for a Legal Heirship Certificate of Late Debabrata Bagchi, son of Late Bhupendra Nath Bagchi, who died on 02.04.2017. The certificate is required for transmission of 400 shares of Tata Elxsi Ltd., Folio No. EXD0001178, Certificate No. B247787. The applicant states that the deceased left no Will.</w:t>
      </w:r>
    </w:p>
    <w:p>
      <w:pPr>
        <w:spacing w:before="0" w:after="120" w:lineRule="exact" w:line="300"/>
        <w:jc w:val="both"/>
      </w:pPr>
      <w:r>
        <w:rPr>
          <w:rFonts w:ascii="Bookman Old Style" w:hAnsi="Bookman Old Style" w:cs="Bookman Old Style" w:eastAsia="Bookman Old Style"/>
          <w:b w:val="0"/>
          <w:i w:val="0"/>
          <w:color w:val="000000"/>
          <w:sz w:val="24"/>
        </w:rPr>
        <w:t>MUFG Intime India Private Limited, by letter dated 20.07.2026 (Reference No. ID80033739, Outward No. OD80033136), has refused the Legal Heir Certificate earlier issued by Balurghat Municipality. That certificate is not to be acted upon. The Registrar requires a certificate of the Tehsildar, or of an authority above that rank, on the official letterhead, signed with the name of the authority, bearing the government seal and stamp, valid for transmission of the shares, and issued in favour of the surviving legal heirs. SEBI Circular No. HO/38/13/11(14)2026-MIRSD-POD/I/17111/2026 dated 23.07.2026, clause 2.1(c) read with clause 4.2.2.3, provides that the relevant authority is a revenue authority not below the rank of a Tehsildar. This office will issue the certificate after enquiry. If a dispute is found, no certificate will be issued.</w:t>
      </w:r>
    </w:p>
    <w:p>
      <w:pPr>
        <w:spacing w:before="0" w:after="120" w:lineRule="exact" w:line="300"/>
        <w:jc w:val="both"/>
      </w:pPr>
      <w:r>
        <w:rPr>
          <w:rFonts w:ascii="Bookman Old Style" w:hAnsi="Bookman Old Style" w:cs="Bookman Old Style" w:eastAsia="Bookman Old Style"/>
          <w:b w:val="0"/>
          <w:i w:val="0"/>
          <w:color w:val="000000"/>
          <w:sz w:val="24"/>
        </w:rPr>
        <w:t>Under the Hindu Succession Act, 1956, the Class I heirs are the widow, the sons, the daughters and the mother, and the children of a son or daughter who died earlier and the widow of such a son. The name of each heir shall be taken from the documents and shall tally with those documents.</w:t>
      </w:r>
    </w:p>
    <w:p>
      <w:pPr>
        <w:spacing w:before="0" w:after="160" w:lineRule="exact" w:line="300"/>
        <w:jc w:val="both"/>
      </w:pPr>
      <w:r>
        <w:rPr>
          <w:rFonts w:ascii="Bookman Old Style" w:hAnsi="Bookman Old Style" w:cs="Bookman Old Style" w:eastAsia="Bookman Old Style"/>
          <w:b w:val="0"/>
          <w:i w:val="0"/>
          <w:color w:val="000000"/>
          <w:sz w:val="24"/>
        </w:rPr>
        <w:t>The deceased last resided within Balurghat Municipality. The Executive Officer, Balurghat Municipality, may be requested to cause a fresh field enquiry, to sign the enclosed report, and to forward it to this office within 7 (seven) days. The enquiry shall not proceed on the municipal certificate. The Municipality shall not issue a Legal Heir Certificate in this case.</w:t>
      </w:r>
    </w:p>
    <w:p>
      <w:pPr>
        <w:spacing w:before="0" w:after="200" w:lineRule="exact" w:line="300"/>
        <w:jc w:val="both"/>
      </w:pPr>
      <w:r>
        <w:rPr>
          <w:rFonts w:ascii="Bookman Old Style" w:hAnsi="Bookman Old Style" w:cs="Bookman Old Style" w:eastAsia="Bookman Old Style"/>
          <w:b w:val="0"/>
          <w:i w:val="0"/>
          <w:color w:val="000000"/>
          <w:sz w:val="24"/>
        </w:rPr>
        <w:t>A memo to this effect is placed below.</w:t>
      </w:r>
    </w:p>
    <w:p>
      <w:pPr>
        <w:spacing w:before="0" w:after="0" w:lineRule="exact" w:line="320"/>
        <w:jc w:val="left"/>
      </w:pPr>
      <w:r>
        <w:rPr>
          <w:rFonts w:ascii="Bookman Old Style" w:hAnsi="Bookman Old Style" w:cs="Bookman Old Style" w:eastAsia="Bookman Old Style"/>
          <w:b/>
          <w:i w:val="0"/>
          <w:color w:val="000000"/>
          <w:sz w:val="24"/>
        </w:rPr>
        <w:t>Submitted for kind perusal and approval.</w:t>
      </w:r>
    </w:p>
    <w:sectPr w:rsidR="00FC693F" w:rsidRPr="0006063C" w:rsidSect="00034616">
      <w:pgSz w:w="12240" w:h="15840"/>
      <w:pgMar w:top="1000" w:right="1440" w:bottom="900" w:left="144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Notesheet — Legal Heirship Certificate</dc:title>
  <dc:subject>Late Debabrata Bagchi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