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anchor xmlns:a="http://schemas.openxmlformats.org/drawingml/2006/main" distT="0" distB="0" distL="114300" distR="114300" simplePos="0" relativeHeight="251658240" behindDoc="0" locked="0" layoutInCell="1" allowOverlap="1">
            <wp:simplePos x="0" y="0"/>
            <wp:positionH relativeFrom="page">
              <wp:posOffset>5050000</wp:posOffset>
            </wp:positionH>
            <wp:positionV relativeFrom="page">
              <wp:posOffset>220000</wp:posOffset>
            </wp:positionV>
            <wp:extent cx="2150000" cy="400000"/>
            <wp:effectExtent l="25400" t="25400" r="63500" b="63500"/>
            <wp:wrapNone/>
            <wp:docPr id="50" name="ReminderMark"/>
            <wp:cNvGraphicFramePr>
              <a:graphicFrameLocks noChangeAspect="0"/>
            </wp:cNvGraphicFramePr>
            <a:graphic>
              <a:graphicData uri="http://schemas.microsoft.com/office/word/2010/wordprocessingShape">
                <wps:wsp>
                  <wps:cNvSpPr txBox="1"/>
                  <wps:spPr>
                    <a:xfrm>
                      <a:off x="0" y="0"/>
                      <a:ext cx="2150000" cy="400000"/>
                    </a:xfrm>
                    <a:prstGeom prst="rect">
                      <a:avLst/>
                    </a:prstGeom>
                    <a:noFill/>
                    <a:ln>
                      <a:noFill/>
                    </a:ln>
                  </wps:spPr>
                  <wps:txbx>
                    <w:txbxContent>
                      <w:p>
                        <w:pPr>
                          <w:jc w:val="right"/>
                          <w:spacing w:before="0" w:after="0"/>
                        </w:pPr>
                        <w:r>
                          <w:rPr>
                            <w:rFonts w:ascii="Bookman Old Style" w:hAnsi="Bookman Old Style" w:cs="Bookman Old Style" w:eastAsia="Bookman Old Style"/>
                            <w:b/>
                            <w:i/>
                            <w:sz w:val="44"/>
                            <w:szCs w:val="44"/>
                            <w:color w:val="7A1020"/>
                            <w14:textOutline w14:w="12700" w14:cap="rnd" w14:cmpd="sng" w14:algn="ctr">
                              <w14:solidFill>
                                <w14:srgbClr w14:val="7A1020"/>
                              </w14:solidFill>
                              <w14:prstDash w14:val="solid"/>
                            </w14:textOutline>
                          </w:rPr>
                          <w:t>Reminder-2</w:t>
                        </w:r>
                      </w:p>
                    </w:txbxContent>
                  </wps:txbx>
                  <wps:bodyPr wrap="none" lIns="0" tIns="0" rIns="0" bIns="0" rtlCol="0" anchor="ctr"/>
                </wps:wsp>
              </a:graphicData>
            </a:graphic>
          </wp:anchor>
        </w:drawing>
      </w:r>
      <w:r>
        <w:drawing>
          <wp:inline xmlns:a="http://schemas.openxmlformats.org/drawingml/2006/main" xmlns:pic="http://schemas.openxmlformats.org/drawingml/2006/picture">
            <wp:extent cx="350306" cy="558000"/>
            <wp:docPr id="1" name="Picture 1"/>
            <wp:cNvGraphicFramePr>
              <a:graphicFrameLocks noChangeAspect="1"/>
            </wp:cNvGraphicFramePr>
            <a:graphic>
              <a:graphicData uri="http://schemas.openxmlformats.org/drawingml/2006/picture">
                <pic:pic>
                  <pic:nvPicPr>
                    <pic:cNvPr id="0" name="ashoka_emblem.png"/>
                    <pic:cNvPicPr/>
                  </pic:nvPicPr>
                  <pic:blipFill>
                    <a:blip r:embed="rId9"/>
                    <a:stretch>
                      <a:fillRect/>
                    </a:stretch>
                  </pic:blipFill>
                  <pic:spPr>
                    <a:xfrm>
                      <a:off x="0" y="0"/>
                      <a:ext cx="350306" cy="558000"/>
                    </a:xfrm>
                    <a:prstGeom prst="rect"/>
                  </pic:spPr>
                </pic:pic>
              </a:graphicData>
            </a:graphic>
          </wp:inline>
        </w:drawing>
      </w:r>
    </w:p>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REMINDER-2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1. This office Memo No. 1634/SDO(S) dated 03.09.2026.</w:t>
      </w:r>
    </w:p>
    <w:p>
      <w:pPr>
        <w:spacing w:before="0" w:after="0" w:lineRule="exact" w:line="320"/>
        <w:jc w:val="left"/>
      </w:pPr>
      <w:r>
        <w:rPr>
          <w:rFonts w:ascii="Bookman Old Style" w:hAnsi="Bookman Old Style" w:cs="Bookman Old Style" w:eastAsia="Bookman Old Style"/>
          <w:b w:val="0"/>
          <w:color w:val="000000"/>
          <w:sz w:val="24"/>
        </w:rPr>
        <w:t xml:space="preserve">         2. This office Memo No. 1784/SDO(S) dated 23.09.2026 (Reminder-1).</w:t>
      </w:r>
    </w:p>
    <w:p>
      <w:pPr>
        <w:spacing w:before="0" w:after="0" w:lineRule="exact" w:line="320"/>
        <w:jc w:val="left"/>
      </w:pPr>
      <w:r>
        <w:rPr>
          <w:rFonts w:ascii="Bookman Old Style" w:hAnsi="Bookman Old Style" w:cs="Bookman Old Style" w:eastAsia="Bookman Old Style"/>
          <w:b w:val="0"/>
          <w:color w:val="000000"/>
          <w:sz w:val="24"/>
        </w:rPr>
        <w:t xml:space="preserve">         3. Balurghat Municipality Memo No. 2272/G-8 dated 30.09.2026.</w:t>
      </w:r>
    </w:p>
    <w:p>
      <w:pPr>
        <w:spacing w:before="120" w:after="40" w:lineRule="exact" w:line="320"/>
        <w:jc w:val="both"/>
      </w:pPr>
      <w:r>
        <w:rPr>
          <w:rFonts w:ascii="Bookman Old Style" w:hAnsi="Bookman Old Style" w:cs="Bookman Old Style" w:eastAsia="Bookman Old Style"/>
          <w:b w:val="0"/>
          <w:color w:val="000000"/>
          <w:sz w:val="24"/>
        </w:rPr>
        <w:t>With reference to the above, this office had forwarded 45 (forty-five) legal heir enquiry cases on 03.09.2026, and had issued a First Reminder on 23.09.2026 for the 40 (forty) cases in which the enquiry report had not been received. The five reports already received are Sl. No. 34 (Debasish Sen), 36 (Anjali Chakraborty), 39 (Rishi Pada Majumder), 41 (Maya Rani Ghosh) and 45 (Samrat Singh).</w:t>
      </w:r>
    </w:p>
    <w:p>
      <w:pPr>
        <w:spacing w:before="120" w:after="40" w:lineRule="exact" w:line="320"/>
        <w:jc w:val="both"/>
      </w:pPr>
      <w:r>
        <w:rPr>
          <w:rFonts w:ascii="Bookman Old Style" w:hAnsi="Bookman Old Style" w:cs="Bookman Old Style" w:eastAsia="Bookman Old Style"/>
          <w:b w:val="0"/>
          <w:color w:val="000000"/>
          <w:sz w:val="24"/>
        </w:rPr>
        <w:t>Your office, by Memo No. 2272/G-8 dated 30.09.2026, has informed that the enquiries are under process and that the reports will be sent case-wise. That reply did not enclose the enquiry report of any of the then remaining 40 (forty) cases. Since then, enquiry reports have been received in 3 (three) further cases, namely Sl. No. 7 (Debaprosad Talapatra), 35 (Jharna Chakraborty) and 40 (Narayan Chatterjee). As on 14.10.2026, the enquiry reports of the remaining 37 (thirty-seven) cases are still awaited in this office. The list of those 37 (thirty-seven) pending cases is enclosed.</w:t>
      </w:r>
    </w:p>
    <w:p>
      <w:pPr>
        <w:spacing w:before="120" w:after="40" w:lineRule="exact" w:line="320"/>
        <w:jc w:val="both"/>
      </w:pPr>
      <w:r>
        <w:rPr>
          <w:rFonts w:ascii="Bookman Old Style" w:hAnsi="Bookman Old Style" w:cs="Bookman Old Style" w:eastAsia="Bookman Old Style"/>
          <w:b/>
          <w:color w:val="000000"/>
          <w:sz w:val="24"/>
        </w:rPr>
        <w:t>This being the SECOND REMINDER, you are requested to treat the matter as urgent and to submit the enquiry reports of the 37 (thirty-seven) pending cases, in the prescribed format and with the enclosures asked for in Memo No. 1634/SDO(S) dated 03.09.2026,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37 (thirty-seven) pending cases.</w:t>
      </w:r>
    </w:p>
    <w:p>
      <w:pPr>
        <w:spacing w:before="20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37 (thirty-seven) Pending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Bijan Krishna Saha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Shibani Saha Karmakar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Narayanpur,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Parul Rani Saha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Partha Sarathi Saha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Gitarani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Ramananda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North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Tokdar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Subhabrata Tokdar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College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Susama Roy Karmakar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Arun Kumar Roy Karmakar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Narayanpur,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Nandi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Sushovan Nandi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Debjani Ghosh</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Swapan Debnath</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Raghunathpur,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Rakhal Raj Mahanta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Rasaraj Mohanta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Beltalapark,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Anita Rani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Subir Kumar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Madhuri Choudhuri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Piyali Choudhury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Tarulata Kundu</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Gopal Chandra Kundu</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Kundu Colony,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Dipali Datta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Dilip Kumar Dutta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Benoy Kumar Nandi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Barun Nandi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Niranjan Kundu</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Subrata Kundu</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Biswaspara,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Dipika Neogi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Tandra Sengupta (Neogi)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Malopara Ghat,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Khama Dutta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Sanjit Dutta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Anima Debi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Kalyan Majumder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Ramapada Bose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Rathin Basu</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Pakhi Ghosh</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Rikta Ghosh</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Banik Ray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Kousik Ray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Nazrul Sarani,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Bhajan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Malati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Shibaji Colony,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Kamona Rani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Sushama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Bakul Sen</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Amit Sen</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Rabindra Nagar,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Smriti Kana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Sanjib Kumar Dey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Dhaka Colony,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Mana Rani Sing</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Madhusudan Singh</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Ghoshpara,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Nripendra Nath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Sudeb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Sachindra Nath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Goutam Kr.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Uttamasha Pally,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Sankar Chatterjee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Subhankar Chatterjee</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Subhash Chandra Majumder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Tapati Ghosh Majumder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North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Sushil Kumar Saha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Sumit Saha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Bangi Badurtala,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Dipika Dey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Joydeb Kumar Dey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Sabita Basak</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Tandra Kar Basak</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Ghosh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Krishna Roy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Latika Roy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Saheb Kachhari,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Supti Sarkar Gupta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Jogomaya School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Niladri Gopal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Gouranga Prasad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Sakina Debi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Ranjit Mandal</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Dakbungalow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Asit Kumar Bhaduri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Swagata Bhaduri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Namabongi, Balurghat</w:t>
            </w:r>
          </w:p>
        </w:tc>
      </w:tr>
    </w:tbl>
    <w:p>
      <w:pPr>
        <w:spacing w:before="24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