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08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7"/>
        <w:gridCol w:w="1243"/>
        <w:gridCol w:w="3215"/>
        <w:gridCol w:w="577"/>
        <w:gridCol w:w="2571"/>
      </w:tblGrid>
      <w:tr>
        <w:tblPrEx>
          <w:tblW w:w="10080" w:type="dxa"/>
          <w:tblInd w:w="-27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0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ame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 xml:space="preserve">Name: </w:t>
            </w:r>
            <w:r>
              <w:rPr>
                <w:rFonts w:ascii="Calibri" w:hAnsi="Calibri"/>
                <w:b w:val="0"/>
                <w:szCs w:val="22"/>
              </w:rPr>
              <w:t>MADURA VENU NAIDU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ame"/>
              <w:rPr>
                <w:rFonts w:ascii="Calibri" w:hAnsi="Calibri"/>
                <w:b w:val="0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ame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738835" cy="905985"/>
                  <wp:effectExtent l="19050" t="0" r="4115" b="0"/>
                  <wp:docPr id="1026" name="Picture 30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758252" name="Picture 30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835" cy="905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73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>
        <w:tblPrEx>
          <w:tblW w:w="10080" w:type="dxa"/>
          <w:tblInd w:w="-270" w:type="dxa"/>
          <w:tblLook w:val="0000"/>
        </w:tblPrEx>
        <w:trPr>
          <w:trHeight w:val="191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Mobile No: </w:t>
            </w:r>
            <w:r>
              <w:rPr>
                <w:rFonts w:ascii="Calibri" w:hAnsi="Calibri"/>
                <w:b w:val="0"/>
                <w:sz w:val="22"/>
                <w:szCs w:val="22"/>
              </w:rPr>
              <w:t>+91 9739865869</w:t>
            </w:r>
          </w:p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                     </w:t>
            </w:r>
            <w:r>
              <w:rPr>
                <w:rFonts w:ascii="Calibri" w:hAnsi="Calibri"/>
                <w:b w:val="0"/>
                <w:sz w:val="22"/>
                <w:szCs w:val="22"/>
              </w:rPr>
              <w:t>+86 17810642452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>
        <w:tblPrEx>
          <w:tblW w:w="10080" w:type="dxa"/>
          <w:tblInd w:w="-270" w:type="dxa"/>
          <w:tblLook w:val="0000"/>
        </w:tblPrEx>
        <w:trPr>
          <w:trHeight w:val="191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Email: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hyperlink r:id="rId6" w:history="1">
              <w:r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Venu.uteg@gmail.com</w:t>
              </w:r>
            </w:hyperlink>
          </w:p>
          <w:p>
            <w:pPr>
              <w:pStyle w:val="Heading3"/>
              <w:jc w:val="left"/>
            </w:pPr>
            <w:r>
              <w:rPr>
                <w:rFonts w:ascii="Calibri" w:hAnsi="Calibri"/>
                <w:b w:val="0"/>
                <w:sz w:val="22"/>
                <w:szCs w:val="22"/>
              </w:rPr>
              <w:t>Bangalore.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>
        <w:tblPrEx>
          <w:tblW w:w="10080" w:type="dxa"/>
          <w:tblInd w:w="-270" w:type="dxa"/>
          <w:tblLook w:val="0000"/>
        </w:tblPrEx>
        <w:trPr>
          <w:trHeight w:val="191"/>
        </w:trPr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pStyle w:val="Heading3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>
        <w:tblPrEx>
          <w:tblW w:w="10080" w:type="dxa"/>
          <w:tblInd w:w="-270" w:type="dxa"/>
          <w:tblLook w:val="0000"/>
        </w:tblPrEx>
        <w:trPr>
          <w:trHeight w:val="214"/>
        </w:trPr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pPr>
              <w:pStyle w:val="Heading1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 Title </w:t>
            </w:r>
          </w:p>
        </w:tc>
        <w:tc>
          <w:tcPr>
            <w:tcW w:w="7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pPr>
              <w:pStyle w:val="1stlinebullete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Stress engineer with 7</w:t>
            </w:r>
            <w:r>
              <w:rPr>
                <w:rFonts w:ascii="Calibri" w:hAnsi="Calibri"/>
                <w:sz w:val="22"/>
                <w:szCs w:val="22"/>
              </w:rPr>
              <w:t>.6</w:t>
            </w:r>
            <w:r>
              <w:rPr>
                <w:rFonts w:ascii="Calibri" w:hAnsi="Calibri"/>
                <w:sz w:val="22"/>
                <w:szCs w:val="22"/>
              </w:rPr>
              <w:t xml:space="preserve"> years of work experience in </w:t>
            </w:r>
            <w:r>
              <w:rPr>
                <w:rFonts w:ascii="Calibri" w:hAnsi="Calibri"/>
                <w:sz w:val="22"/>
                <w:szCs w:val="22"/>
              </w:rPr>
              <w:t xml:space="preserve">Static , F&amp;DT on Aircraft Structural Analysis </w:t>
            </w:r>
            <w:r>
              <w:rPr>
                <w:rFonts w:ascii="Calibri" w:hAnsi="Calibri"/>
                <w:sz w:val="22"/>
                <w:szCs w:val="22"/>
              </w:rPr>
              <w:t>and Repairs</w:t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1677"/>
        </w:trPr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Heading1"/>
              <w:jc w:val="left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Profile Summary </w:t>
            </w:r>
          </w:p>
        </w:tc>
        <w:tc>
          <w:tcPr>
            <w:tcW w:w="7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Professional experience in </w:t>
            </w:r>
            <w:r>
              <w:rPr>
                <w:rFonts w:cs="Arial"/>
                <w:sz w:val="20"/>
              </w:rPr>
              <w:t xml:space="preserve"> Static, fatigue and Damage Tolerance (F&amp;DT) </w:t>
            </w:r>
            <w:r>
              <w:rPr>
                <w:rFonts w:cs="Arial"/>
                <w:sz w:val="20"/>
              </w:rPr>
              <w:t>on</w:t>
            </w:r>
            <w:r>
              <w:rPr>
                <w:rFonts w:cs="Arial"/>
                <w:sz w:val="20"/>
              </w:rPr>
              <w:t xml:space="preserve"> A350-XWB Nose fuselage area </w:t>
            </w:r>
            <w:r>
              <w:rPr>
                <w:rFonts w:cs="Arial"/>
                <w:sz w:val="20"/>
              </w:rPr>
              <w:t>for</w:t>
            </w:r>
            <w:r>
              <w:rPr>
                <w:rFonts w:cs="Arial"/>
                <w:sz w:val="20"/>
              </w:rPr>
              <w:t xml:space="preserve"> primary and secondary structures </w:t>
            </w:r>
            <w:r>
              <w:rPr>
                <w:rFonts w:cs="Arial"/>
                <w:sz w:val="20"/>
              </w:rPr>
              <w:t>on</w:t>
            </w:r>
            <w:r>
              <w:rPr>
                <w:rFonts w:cs="Arial"/>
                <w:sz w:val="20"/>
              </w:rPr>
              <w:t xml:space="preserve"> metallic </w:t>
            </w:r>
            <w:r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 xml:space="preserve"> composites. Worked on</w:t>
            </w:r>
            <w:r>
              <w:rPr>
                <w:rFonts w:cs="Arial"/>
                <w:sz w:val="20"/>
                <w:lang w:eastAsia="en-IN"/>
              </w:rPr>
              <w:t xml:space="preserve"> </w:t>
            </w:r>
            <w:r>
              <w:rPr>
                <w:rFonts w:cs="Arial"/>
                <w:sz w:val="20"/>
              </w:rPr>
              <w:t>VBA Macros and generation of stress dossier (reports).</w:t>
            </w:r>
          </w:p>
          <w:p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Experience in </w:t>
            </w:r>
            <w:r>
              <w:rPr>
                <w:rFonts w:cs="Arial"/>
                <w:sz w:val="20"/>
              </w:rPr>
              <w:t>A350XWB-900/1000 development Program for Aircraft Structures</w:t>
            </w:r>
            <w:r>
              <w:rPr>
                <w:rFonts w:cs="Arial"/>
                <w:sz w:val="20"/>
              </w:rPr>
              <w:t>.</w:t>
            </w:r>
          </w:p>
          <w:p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Hands on experience in </w:t>
            </w:r>
            <w:r>
              <w:rPr>
                <w:rFonts w:cs="Arial"/>
                <w:sz w:val="20"/>
              </w:rPr>
              <w:t>SRM</w:t>
            </w:r>
            <w:r>
              <w:rPr>
                <w:rFonts w:cs="Arial"/>
                <w:sz w:val="20"/>
              </w:rPr>
              <w:t xml:space="preserve"> Justification</w:t>
            </w:r>
            <w:r>
              <w:rPr>
                <w:rFonts w:cs="Arial"/>
                <w:sz w:val="20"/>
              </w:rPr>
              <w:t xml:space="preserve"> and Daily Repairs on repairs like Skin Repair, Frame repair, Stringer Repair, </w:t>
            </w:r>
            <w:r>
              <w:rPr>
                <w:rFonts w:cs="Arial"/>
                <w:sz w:val="20"/>
              </w:rPr>
              <w:t>Dent, Bush</w:t>
            </w:r>
            <w:r>
              <w:rPr>
                <w:rFonts w:cs="Arial"/>
                <w:sz w:val="20"/>
              </w:rPr>
              <w:t xml:space="preserve"> repair etc. on both Fuselage and wings.</w:t>
            </w:r>
          </w:p>
          <w:p>
            <w:pPr>
              <w:numPr>
                <w:ilvl w:val="0"/>
                <w:numId w:val="7"/>
              </w:numPr>
              <w:suppressAutoHyphens/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  <w:r>
              <w:rPr>
                <w:rFonts w:cs="Arial"/>
                <w:sz w:val="20"/>
              </w:rPr>
              <w:t xml:space="preserve"> months of Onsite experience in Beijing China (ABEC) working in structural </w:t>
            </w:r>
            <w:r>
              <w:rPr>
                <w:rFonts w:cs="Arial"/>
                <w:sz w:val="20"/>
              </w:rPr>
              <w:t>repairs.</w:t>
            </w:r>
            <w:r>
              <w:rPr>
                <w:rFonts w:cs="Arial"/>
                <w:sz w:val="20"/>
              </w:rPr>
              <w:t>and</w:t>
            </w:r>
            <w:r>
              <w:rPr>
                <w:rFonts w:cs="Arial"/>
                <w:sz w:val="20"/>
              </w:rPr>
              <w:t xml:space="preserve"> Airinlet Aft Bulkhead Static report Nacelle</w:t>
            </w:r>
          </w:p>
          <w:p>
            <w:pPr>
              <w:numPr>
                <w:ilvl w:val="0"/>
                <w:numId w:val="7"/>
              </w:numPr>
              <w:suppressAutoHyphens/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Good working knowledge in long range repairs on landing gear components like Axles, Bogie beam, M</w:t>
            </w:r>
            <w:r>
              <w:rPr>
                <w:rFonts w:cs="Arial"/>
                <w:sz w:val="20"/>
              </w:rPr>
              <w:t>ain Strut etc.</w:t>
            </w:r>
          </w:p>
          <w:p>
            <w:pPr>
              <w:numPr>
                <w:ilvl w:val="0"/>
                <w:numId w:val="7"/>
              </w:numPr>
              <w:suppressAutoHyphens/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Working knowledge on AIRBUS Methodologies/Process.</w:t>
            </w:r>
          </w:p>
          <w:p>
            <w:pPr>
              <w:numPr>
                <w:ilvl w:val="0"/>
                <w:numId w:val="7"/>
              </w:numPr>
              <w:suppressAutoHyphens/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Working knowledge on ISAMI, SAFE, SAMCEF, PSN load extraction Tools, </w:t>
            </w:r>
            <w:r>
              <w:rPr>
                <w:rFonts w:cs="Arial"/>
                <w:sz w:val="20"/>
              </w:rPr>
              <w:t xml:space="preserve">Spectrum </w:t>
            </w:r>
            <w:r>
              <w:rPr>
                <w:rFonts w:cs="Arial"/>
                <w:sz w:val="20"/>
              </w:rPr>
              <w:t>Generation</w:t>
            </w:r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>ZAMIZ</w:t>
            </w:r>
            <w:r>
              <w:rPr>
                <w:rFonts w:cs="Arial"/>
                <w:sz w:val="20"/>
              </w:rPr>
              <w:t>, HYPERMESH, MSC PATRAN, MATLAB</w:t>
            </w:r>
            <w:r>
              <w:rPr>
                <w:rFonts w:cs="Arial"/>
                <w:sz w:val="20"/>
              </w:rPr>
              <w:t>, ASSIST, PDM</w:t>
            </w:r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airnavX</w:t>
            </w:r>
            <w:r>
              <w:rPr>
                <w:rFonts w:cs="Arial"/>
                <w:sz w:val="20"/>
              </w:rPr>
              <w:t>.</w:t>
            </w:r>
          </w:p>
          <w:p>
            <w:pPr>
              <w:numPr>
                <w:ilvl w:val="0"/>
                <w:numId w:val="7"/>
              </w:numPr>
              <w:suppressAutoHyphens/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SRM Justification, SRM Development and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SRM Modification</w:t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546"/>
        </w:trPr>
        <w:tc>
          <w:tcPr>
            <w:tcW w:w="2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>
            <w:pPr>
              <w:pStyle w:val="Heading1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Employment 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ny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 AXISCADES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(Senior Analysis Engineer)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Date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.5</w:t>
            </w:r>
            <w:r>
              <w:rPr>
                <w:rFonts w:ascii="Arial" w:hAnsi="Arial" w:cs="Arial"/>
              </w:rPr>
              <w:t xml:space="preserve"> Yrs.</w:t>
            </w:r>
          </w:p>
          <w:p>
            <w:pPr>
              <w:pStyle w:val="Date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hAnsi="Arial" w:cs="Arial"/>
              </w:rPr>
              <w:t>(Feb2015 -Till date)</w:t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543"/>
        </w:trPr>
        <w:tc>
          <w:tcPr>
            <w:tcW w:w="2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ny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 SAFRAN </w:t>
            </w:r>
            <w:r>
              <w:rPr>
                <w:rFonts w:ascii="Arial" w:hAnsi="Arial"/>
              </w:rPr>
              <w:t>Eng</w:t>
            </w:r>
            <w:r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>Services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(Mechanical Engineer)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>
            <w:pPr>
              <w:pStyle w:val="Date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 Yrs. </w:t>
            </w:r>
          </w:p>
          <w:p>
            <w:pPr>
              <w:pStyle w:val="Date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hAnsi="Arial" w:cs="Arial"/>
              </w:rPr>
              <w:t>(Nov2011 - Feb2015)</w:t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412"/>
        </w:trPr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ny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IISc</w:t>
            </w:r>
            <w:r>
              <w:rPr>
                <w:rFonts w:ascii="Arial" w:hAnsi="Arial"/>
              </w:rPr>
              <w:t>, Bangalore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(Project Associate)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>
            <w:pPr>
              <w:pStyle w:val="Date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Months </w:t>
            </w:r>
          </w:p>
          <w:p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cs="Arial"/>
                <w:sz w:val="20"/>
              </w:rPr>
              <w:t>(Jun2011 -Nov2011)</w:t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77"/>
        </w:trPr>
        <w:tc>
          <w:tcPr>
            <w:tcW w:w="250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>
            <w:pPr>
              <w:pStyle w:val="Heading1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Education 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uppressAutoHyphens/>
              <w:snapToGrid w:val="0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M.Tech</w:t>
            </w:r>
            <w:r>
              <w:rPr>
                <w:rFonts w:ascii="Calibri" w:hAnsi="Calibri" w:cs="Arial"/>
                <w:sz w:val="22"/>
                <w:szCs w:val="22"/>
              </w:rPr>
              <w:t>. (Machine Design)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2011</w:t>
            </w:r>
          </w:p>
        </w:tc>
      </w:tr>
      <w:tr>
        <w:tblPrEx>
          <w:tblW w:w="10080" w:type="dxa"/>
          <w:tblInd w:w="-270" w:type="dxa"/>
          <w:tblLook w:val="0000"/>
        </w:tblPrEx>
        <w:trPr>
          <w:trHeight w:val="239"/>
        </w:trPr>
        <w:tc>
          <w:tcPr>
            <w:tcW w:w="25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Heading3"/>
              <w:rPr>
                <w:rFonts w:ascii="Calibri" w:hAnsi="Calibri"/>
                <w:b w:val="0"/>
                <w:sz w:val="22"/>
                <w:szCs w:val="22"/>
                <w:highlight w:val="yellow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</w:rPr>
              <w:t>B.E. (Mechanical Engineering)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2009</w:t>
            </w:r>
          </w:p>
        </w:tc>
      </w:tr>
    </w:tbl>
    <w:p/>
    <w:tbl>
      <w:tblPr>
        <w:tblpPr w:leftFromText="180" w:rightFromText="180" w:topFromText="0" w:bottomFromText="0" w:vertAnchor="page" w:horzAnchor="margin" w:tblpX="-275" w:tblpY="10471"/>
        <w:tblW w:w="5293" w:type="pct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44"/>
        <w:gridCol w:w="1733"/>
        <w:gridCol w:w="1062"/>
        <w:gridCol w:w="2146"/>
        <w:gridCol w:w="506"/>
        <w:gridCol w:w="1229"/>
        <w:gridCol w:w="1576"/>
        <w:gridCol w:w="1313"/>
      </w:tblGrid>
      <w:tr>
        <w:tblPrEx>
          <w:tblW w:w="5293" w:type="pct"/>
          <w:tblBorders>
            <w:top w:val="single" w:sz="4" w:space="0" w:color="767171"/>
            <w:left w:val="single" w:sz="4" w:space="0" w:color="767171"/>
            <w:bottom w:val="single" w:sz="4" w:space="0" w:color="767171"/>
            <w:right w:val="single" w:sz="4" w:space="0" w:color="767171"/>
            <w:insideH w:val="single" w:sz="4" w:space="0" w:color="767171"/>
            <w:insideV w:val="single" w:sz="4" w:space="0" w:color="767171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5000" w:type="pct"/>
            <w:gridSpan w:val="8"/>
            <w:shd w:val="clear" w:color="auto" w:fill="EDEDED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Competency and Skills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315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Sl. No</w:t>
            </w:r>
          </w:p>
        </w:tc>
        <w:tc>
          <w:tcPr>
            <w:tcW w:w="849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</w:t>
            </w:r>
          </w:p>
        </w:tc>
        <w:tc>
          <w:tcPr>
            <w:tcW w:w="520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Domain</w:t>
            </w:r>
          </w:p>
        </w:tc>
        <w:tc>
          <w:tcPr>
            <w:tcW w:w="1051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Skill</w:t>
            </w:r>
          </w:p>
        </w:tc>
        <w:tc>
          <w:tcPr>
            <w:tcW w:w="850" w:type="pct"/>
            <w:gridSpan w:val="2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Secondary Skill</w:t>
            </w:r>
          </w:p>
        </w:tc>
        <w:tc>
          <w:tcPr>
            <w:tcW w:w="772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Tools</w:t>
            </w:r>
          </w:p>
        </w:tc>
        <w:tc>
          <w:tcPr>
            <w:tcW w:w="643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Relevant Experience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315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49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AXISCADES</w:t>
            </w:r>
            <w:r>
              <w:rPr>
                <w:rFonts w:ascii="Calibri" w:hAnsi="Calibri"/>
                <w:sz w:val="22"/>
                <w:szCs w:val="22"/>
              </w:rPr>
              <w:t xml:space="preserve"> Engineering Technologies Ltd,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Bangalore</w:t>
            </w:r>
          </w:p>
        </w:tc>
        <w:tc>
          <w:tcPr>
            <w:tcW w:w="520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AERO</w:t>
            </w:r>
          </w:p>
        </w:tc>
        <w:tc>
          <w:tcPr>
            <w:tcW w:w="1051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Static and F&amp;DT Justification on Aircraft </w:t>
            </w:r>
            <w:r>
              <w:rPr>
                <w:rFonts w:ascii="Calibri" w:hAnsi="Calibri"/>
                <w:sz w:val="22"/>
                <w:szCs w:val="22"/>
              </w:rPr>
              <w:t>Structural Repairs</w:t>
            </w:r>
          </w:p>
        </w:tc>
        <w:tc>
          <w:tcPr>
            <w:tcW w:w="850" w:type="pct"/>
            <w:gridSpan w:val="2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In-service Daily Repairs </w:t>
            </w:r>
          </w:p>
        </w:tc>
        <w:tc>
          <w:tcPr>
            <w:tcW w:w="772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SAFE, SAMCEF, R2K, ISAMI</w:t>
            </w:r>
            <w:r>
              <w:rPr>
                <w:rFonts w:ascii="Calibri" w:hAnsi="Calibri"/>
                <w:sz w:val="22"/>
                <w:szCs w:val="22"/>
              </w:rPr>
              <w:t>, ZAMIZ,AIR NAVI REPAIRS</w:t>
            </w:r>
          </w:p>
        </w:tc>
        <w:tc>
          <w:tcPr>
            <w:tcW w:w="643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3.7</w:t>
            </w:r>
            <w:r>
              <w:rPr>
                <w:rFonts w:ascii="Calibri" w:hAnsi="Calibri"/>
                <w:sz w:val="22"/>
                <w:szCs w:val="22"/>
              </w:rPr>
              <w:t xml:space="preserve"> Yrs.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315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49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SAFRAN Engineering Services</w:t>
            </w:r>
            <w:r>
              <w:rPr>
                <w:rFonts w:ascii="Calibri" w:hAnsi="Calibri"/>
                <w:sz w:val="22"/>
                <w:szCs w:val="22"/>
              </w:rPr>
              <w:t>, Bangalore</w:t>
            </w:r>
          </w:p>
        </w:tc>
        <w:tc>
          <w:tcPr>
            <w:tcW w:w="520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AERO</w:t>
            </w:r>
          </w:p>
        </w:tc>
        <w:tc>
          <w:tcPr>
            <w:tcW w:w="1051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Static</w:t>
            </w:r>
            <w:r>
              <w:rPr>
                <w:rFonts w:ascii="Calibri" w:hAnsi="Calibri"/>
                <w:sz w:val="22"/>
                <w:szCs w:val="22"/>
              </w:rPr>
              <w:t xml:space="preserve"> and </w:t>
            </w:r>
            <w:r>
              <w:rPr>
                <w:rFonts w:ascii="Calibri" w:hAnsi="Calibri"/>
                <w:sz w:val="22"/>
                <w:szCs w:val="22"/>
              </w:rPr>
              <w:t>F&amp;DT Analysis on Aircraft</w:t>
            </w:r>
          </w:p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Structures</w:t>
            </w:r>
          </w:p>
        </w:tc>
        <w:tc>
          <w:tcPr>
            <w:tcW w:w="850" w:type="pct"/>
            <w:gridSpan w:val="2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LR Repairs in Landing Gear Components</w:t>
            </w:r>
          </w:p>
        </w:tc>
        <w:tc>
          <w:tcPr>
            <w:tcW w:w="772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PSN, SAFE, SAMCEF,  ISAMI, PDM, VPN</w:t>
            </w:r>
            <w:r>
              <w:rPr>
                <w:rFonts w:ascii="Calibri" w:hAnsi="Calibri"/>
                <w:sz w:val="22"/>
                <w:szCs w:val="22"/>
              </w:rPr>
              <w:t>, Spectrum Generation</w:t>
            </w:r>
          </w:p>
        </w:tc>
        <w:tc>
          <w:tcPr>
            <w:tcW w:w="643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>3 Yrs.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13"/>
        </w:trPr>
        <w:tc>
          <w:tcPr>
            <w:tcW w:w="315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49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IISc</w:t>
            </w:r>
            <w:r>
              <w:rPr>
                <w:rFonts w:ascii="Calibri" w:hAnsi="Calibri"/>
                <w:sz w:val="22"/>
                <w:szCs w:val="22"/>
              </w:rPr>
              <w:t>, Bangalore</w:t>
            </w:r>
          </w:p>
        </w:tc>
        <w:tc>
          <w:tcPr>
            <w:tcW w:w="520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NVH</w:t>
            </w:r>
          </w:p>
        </w:tc>
        <w:tc>
          <w:tcPr>
            <w:tcW w:w="1051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Vibrational Analysis</w:t>
            </w:r>
          </w:p>
        </w:tc>
        <w:tc>
          <w:tcPr>
            <w:tcW w:w="850" w:type="pct"/>
            <w:gridSpan w:val="2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Stress Analysis</w:t>
            </w:r>
          </w:p>
        </w:tc>
        <w:tc>
          <w:tcPr>
            <w:tcW w:w="772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Hypermesh</w:t>
            </w:r>
            <w:r>
              <w:rPr>
                <w:rFonts w:ascii="Calibri" w:hAnsi="Calibri"/>
                <w:sz w:val="22"/>
                <w:szCs w:val="22"/>
              </w:rPr>
              <w:t xml:space="preserve"> ANSYS</w:t>
            </w:r>
          </w:p>
        </w:tc>
        <w:tc>
          <w:tcPr>
            <w:tcW w:w="643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 Months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315" w:type="pct"/>
            <w:tcBorders>
              <w:bottom w:val="single" w:sz="4" w:space="0" w:color="767171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49" w:type="pct"/>
            <w:tcBorders>
              <w:bottom w:val="single" w:sz="4" w:space="0" w:color="767171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20" w:type="pct"/>
            <w:tcBorders>
              <w:bottom w:val="single" w:sz="4" w:space="0" w:color="767171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51" w:type="pct"/>
            <w:tcBorders>
              <w:bottom w:val="single" w:sz="4" w:space="0" w:color="767171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50" w:type="pct"/>
            <w:gridSpan w:val="2"/>
            <w:tcBorders>
              <w:bottom w:val="single" w:sz="4" w:space="0" w:color="767171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2" w:type="pct"/>
            <w:tcBorders>
              <w:bottom w:val="single" w:sz="4" w:space="0" w:color="767171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43" w:type="pct"/>
            <w:tcBorders>
              <w:bottom w:val="single" w:sz="4" w:space="0" w:color="767171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Total:</w:t>
            </w:r>
            <w:r>
              <w:rPr>
                <w:rFonts w:ascii="Calibri" w:hAnsi="Calibri"/>
                <w:sz w:val="22"/>
                <w:szCs w:val="22"/>
              </w:rPr>
              <w:t xml:space="preserve"> 7.6</w:t>
            </w:r>
            <w:r>
              <w:rPr>
                <w:rFonts w:ascii="Calibri" w:hAnsi="Calibri"/>
                <w:sz w:val="22"/>
                <w:szCs w:val="22"/>
              </w:rPr>
              <w:t xml:space="preserve"> Yrs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315" w:type="pct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49" w:type="pct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51" w:type="pct"/>
            <w:tcBorders>
              <w:left w:val="nil"/>
              <w:right w:val="nil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50" w:type="pct"/>
            <w:gridSpan w:val="2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2" w:type="pct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43" w:type="pct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5000" w:type="pct"/>
            <w:gridSpan w:val="8"/>
            <w:shd w:val="clear" w:color="auto" w:fill="F2F2F2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Trainings, </w:t>
            </w:r>
            <w:r>
              <w:rPr>
                <w:rFonts w:ascii="Calibri" w:hAnsi="Calibri"/>
                <w:sz w:val="22"/>
                <w:szCs w:val="22"/>
              </w:rPr>
              <w:t>Certifications</w:t>
            </w:r>
            <w:r>
              <w:rPr>
                <w:rFonts w:ascii="Calibri" w:hAnsi="Calibri"/>
                <w:sz w:val="22"/>
                <w:szCs w:val="22"/>
              </w:rPr>
              <w:t>, methods and processes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1164" w:type="pct"/>
            <w:gridSpan w:val="2"/>
            <w:vAlign w:val="center"/>
          </w:tcPr>
          <w:p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1819" w:type="pct"/>
            <w:gridSpan w:val="3"/>
            <w:vAlign w:val="center"/>
          </w:tcPr>
          <w:p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Certifying Body</w:t>
            </w:r>
          </w:p>
        </w:tc>
        <w:tc>
          <w:tcPr>
            <w:tcW w:w="2017" w:type="pct"/>
            <w:gridSpan w:val="3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Duration of the course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1164" w:type="pct"/>
            <w:gridSpan w:val="2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NVH</w:t>
            </w:r>
          </w:p>
        </w:tc>
        <w:tc>
          <w:tcPr>
            <w:tcW w:w="1819" w:type="pct"/>
            <w:gridSpan w:val="3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IISc</w:t>
            </w:r>
            <w:r>
              <w:rPr>
                <w:rFonts w:ascii="Calibri" w:hAnsi="Calibri"/>
                <w:sz w:val="22"/>
                <w:szCs w:val="22"/>
              </w:rPr>
              <w:t>, Bangalore</w:t>
            </w:r>
          </w:p>
        </w:tc>
        <w:tc>
          <w:tcPr>
            <w:tcW w:w="2017" w:type="pct"/>
            <w:gridSpan w:val="3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 Months</w:t>
            </w:r>
          </w:p>
        </w:tc>
      </w:tr>
      <w:tr>
        <w:tblPrEx>
          <w:tblW w:w="5293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9"/>
        </w:trPr>
        <w:tc>
          <w:tcPr>
            <w:tcW w:w="1164" w:type="pct"/>
            <w:gridSpan w:val="2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F&amp;DT</w:t>
            </w:r>
          </w:p>
        </w:tc>
        <w:tc>
          <w:tcPr>
            <w:tcW w:w="1819" w:type="pct"/>
            <w:gridSpan w:val="3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SAFRAN</w:t>
            </w:r>
          </w:p>
        </w:tc>
        <w:tc>
          <w:tcPr>
            <w:tcW w:w="2017" w:type="pct"/>
            <w:gridSpan w:val="3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Months</w:t>
            </w:r>
          </w:p>
        </w:tc>
      </w:tr>
    </w:tbl>
    <w:p/>
    <w:tbl>
      <w:tblPr>
        <w:tblpPr w:leftFromText="180" w:rightFromText="180" w:topFromText="0" w:bottomFromText="0" w:vertAnchor="page" w:horzAnchor="margin" w:tblpX="-445" w:tblpY="1029"/>
        <w:tblW w:w="5322" w:type="pct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25"/>
        <w:gridCol w:w="2246"/>
        <w:gridCol w:w="4993"/>
        <w:gridCol w:w="1131"/>
        <w:gridCol w:w="1170"/>
      </w:tblGrid>
      <w:tr>
        <w:tblPrEx>
          <w:tblW w:w="5322" w:type="pct"/>
          <w:tblBorders>
            <w:top w:val="single" w:sz="4" w:space="0" w:color="767171"/>
            <w:left w:val="single" w:sz="4" w:space="0" w:color="767171"/>
            <w:bottom w:val="single" w:sz="4" w:space="0" w:color="767171"/>
            <w:right w:val="single" w:sz="4" w:space="0" w:color="767171"/>
            <w:insideH w:val="single" w:sz="4" w:space="0" w:color="767171"/>
            <w:insideV w:val="single" w:sz="4" w:space="0" w:color="767171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5000" w:type="pct"/>
            <w:gridSpan w:val="5"/>
            <w:shd w:val="clear" w:color="auto" w:fill="EDEDED"/>
          </w:tcPr>
          <w:p>
            <w:pPr>
              <w:ind w:hanging="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Section 5 – Brief Project Experience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353" w:type="pct"/>
            <w:vAlign w:val="center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Sl. No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Project Name</w:t>
            </w:r>
          </w:p>
        </w:tc>
        <w:tc>
          <w:tcPr>
            <w:tcW w:w="2432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Brief Description of the Project &amp;  Roles performed</w:t>
            </w:r>
          </w:p>
        </w:tc>
        <w:tc>
          <w:tcPr>
            <w:tcW w:w="551" w:type="pct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Duration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 xml:space="preserve">SA F&amp;DT </w:t>
            </w:r>
            <w:r>
              <w:rPr>
                <w:rFonts w:cs="Arial"/>
                <w:bCs/>
                <w:sz w:val="20"/>
              </w:rPr>
              <w:t xml:space="preserve">SRM justification for Allowable Repairs, on Primary Structure- Internal/External </w:t>
            </w:r>
          </w:p>
          <w:p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Skin Repair.</w:t>
            </w:r>
          </w:p>
          <w:p>
            <w:pPr>
              <w:rPr>
                <w:rFonts w:cs="Arial"/>
                <w:sz w:val="20"/>
              </w:rPr>
            </w:pPr>
          </w:p>
        </w:tc>
        <w:tc>
          <w:tcPr>
            <w:tcW w:w="2432" w:type="pct"/>
            <w:vAlign w:val="center"/>
          </w:tcPr>
          <w:p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 xml:space="preserve"> F&amp;DT Allowable damage justifications for Internal and External skin Repairs using RAG Approach in R2K Tool.</w:t>
            </w:r>
          </w:p>
          <w:p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>Different section are considered for a joint calculation and threshold is calculated for skin and doubler</w:t>
            </w:r>
          </w:p>
          <w:p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>Skin Repair was performed for Permanent conversion and Temporary Repair Drawings.</w:t>
            </w:r>
          </w:p>
          <w:p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>Skin Repair was also performed at skin joints for different cut-out sizes.</w:t>
            </w:r>
          </w:p>
          <w:p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>Repairs are assigned with a related Repair Category.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 xml:space="preserve">SA F&amp;DT </w:t>
            </w:r>
            <w:r>
              <w:rPr>
                <w:rFonts w:cs="Arial"/>
                <w:bCs/>
                <w:sz w:val="20"/>
              </w:rPr>
              <w:t>SRM justification for Allowable Repairs, on</w:t>
            </w:r>
          </w:p>
          <w:p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Frame Repair / Stringer Repair.</w:t>
            </w:r>
          </w:p>
          <w:p>
            <w:pPr>
              <w:rPr>
                <w:rFonts w:cs="Arial"/>
                <w:sz w:val="20"/>
              </w:rPr>
            </w:pPr>
          </w:p>
        </w:tc>
        <w:tc>
          <w:tcPr>
            <w:tcW w:w="2432" w:type="pct"/>
            <w:vAlign w:val="center"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FDT justification is performed using equivalent stress (</w:t>
            </w:r>
            <w:r>
              <w:rPr>
                <w:rFonts w:cs="Arial"/>
                <w:sz w:val="20"/>
              </w:rPr>
              <w:t>Seq</w:t>
            </w:r>
            <w:r>
              <w:rPr>
                <w:rFonts w:cs="Arial"/>
                <w:sz w:val="20"/>
              </w:rPr>
              <w:t>) derived from the stress spectrum at section 15, 16A, 17 and 19 for ESG</w:t>
            </w:r>
          </w:p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Fatigue analysis is performed using SAFE joint Model.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Damage Tolerance analysis is performed based on baseline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structure DT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justification for a crack in skin above broken frame.</w:t>
            </w:r>
          </w:p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 xml:space="preserve"> Repairs are assigned with a related Repair Category.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1094" w:type="pct"/>
            <w:vAlign w:val="center"/>
          </w:tcPr>
          <w:p>
            <w:pPr>
              <w:suppressAutoHyphen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Static, fatigue and damage tolerance justification / Certification of A350XWB-900 frame splicing.</w:t>
            </w:r>
          </w:p>
          <w:p>
            <w:pPr>
              <w:rPr>
                <w:rFonts w:cs="Arial"/>
                <w:sz w:val="20"/>
              </w:rPr>
            </w:pPr>
          </w:p>
        </w:tc>
        <w:tc>
          <w:tcPr>
            <w:tcW w:w="2432" w:type="pct"/>
            <w:vAlign w:val="center"/>
          </w:tcPr>
          <w:p>
            <w:pPr>
              <w:tabs>
                <w:tab w:val="left" w:pos="990"/>
              </w:tabs>
              <w:jc w:val="both"/>
              <w:rPr>
                <w:rFonts w:cs="Arial"/>
                <w:bCs/>
                <w:sz w:val="20"/>
              </w:rPr>
            </w:pPr>
            <w:r>
              <w:rPr>
                <w:rFonts w:ascii="Wingdings" w:hAnsi="Wingdings" w:cs="Arial"/>
                <w:bCs/>
                <w:sz w:val="20"/>
              </w:rPr>
              <w:sym w:font="Wingdings" w:char="F0E0"/>
            </w:r>
            <w:r>
              <w:rPr>
                <w:rFonts w:cs="Arial"/>
                <w:bCs/>
                <w:sz w:val="20"/>
              </w:rPr>
              <w:t>Calculation includes Spectrum analysis, GAG, Joint model. NASGRO crack growth analysis</w:t>
            </w:r>
            <w:r>
              <w:rPr>
                <w:rFonts w:cs="Arial"/>
                <w:bCs/>
                <w:sz w:val="20"/>
              </w:rPr>
              <w:t xml:space="preserve"> using ISAMI Modules</w:t>
            </w:r>
            <w:r>
              <w:rPr>
                <w:rFonts w:cs="Arial"/>
                <w:bCs/>
                <w:sz w:val="20"/>
              </w:rPr>
              <w:t>.</w:t>
            </w:r>
          </w:p>
          <w:p>
            <w:pPr>
              <w:tabs>
                <w:tab w:val="left" w:pos="990"/>
              </w:tabs>
              <w:jc w:val="both"/>
              <w:rPr>
                <w:rFonts w:cs="Arial"/>
                <w:bCs/>
                <w:sz w:val="20"/>
              </w:rPr>
            </w:pPr>
            <w:r>
              <w:rPr>
                <w:rFonts w:ascii="Wingdings" w:hAnsi="Wingdings" w:cs="Arial"/>
                <w:bCs/>
                <w:sz w:val="20"/>
              </w:rPr>
              <w:sym w:font="Wingdings" w:char="F0E0"/>
            </w:r>
            <w:r>
              <w:rPr>
                <w:rFonts w:cs="Arial"/>
                <w:bCs/>
                <w:sz w:val="20"/>
              </w:rPr>
              <w:t>Fatigue and DT analysis of Joint region includes extraction of loads to critical life summary.</w:t>
            </w:r>
          </w:p>
          <w:p>
            <w:pPr>
              <w:tabs>
                <w:tab w:val="left" w:pos="990"/>
              </w:tabs>
              <w:jc w:val="both"/>
              <w:rPr>
                <w:rFonts w:cs="Arial"/>
                <w:bCs/>
                <w:sz w:val="20"/>
              </w:rPr>
            </w:pPr>
            <w:r>
              <w:rPr>
                <w:rFonts w:ascii="Wingdings" w:hAnsi="Wingdings" w:cs="Arial"/>
                <w:bCs/>
                <w:sz w:val="20"/>
              </w:rPr>
              <w:sym w:font="Wingdings" w:char="F0E0"/>
            </w:r>
            <w:r>
              <w:rPr>
                <w:rFonts w:cs="Arial"/>
                <w:bCs/>
                <w:sz w:val="20"/>
              </w:rPr>
              <w:t>Presentation of Results in the Stress dossier in the Airbus Format.</w:t>
            </w:r>
          </w:p>
          <w:p>
            <w:pPr>
              <w:tabs>
                <w:tab w:val="left" w:pos="990"/>
              </w:tabs>
              <w:jc w:val="both"/>
              <w:rPr>
                <w:rFonts w:cs="Arial"/>
                <w:bCs/>
                <w:sz w:val="20"/>
              </w:rPr>
            </w:pPr>
            <w:r>
              <w:rPr>
                <w:rFonts w:ascii="Wingdings" w:hAnsi="Wingdings" w:cs="Arial"/>
                <w:bCs/>
                <w:sz w:val="20"/>
              </w:rPr>
              <w:sym w:font="Wingdings" w:char="F0E0"/>
            </w:r>
            <w:r>
              <w:rPr>
                <w:rFonts w:cs="Arial"/>
                <w:bCs/>
                <w:sz w:val="20"/>
              </w:rPr>
              <w:t xml:space="preserve">Calculation of equivalent stress, running DT models </w:t>
            </w:r>
            <w:r>
              <w:rPr>
                <w:rFonts w:cs="Arial"/>
                <w:bCs/>
                <w:sz w:val="20"/>
              </w:rPr>
              <w:t>in ISAMI</w:t>
            </w:r>
            <w:r>
              <w:rPr>
                <w:rFonts w:cs="Arial"/>
                <w:bCs/>
                <w:sz w:val="20"/>
              </w:rPr>
              <w:t xml:space="preserve">. </w:t>
            </w:r>
          </w:p>
          <w:p>
            <w:pPr>
              <w:rPr>
                <w:rFonts w:cs="Arial"/>
                <w:sz w:val="20"/>
              </w:rPr>
            </w:pP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LR Airworthiness Investigation on Skin Repair.</w:t>
            </w:r>
          </w:p>
        </w:tc>
        <w:tc>
          <w:tcPr>
            <w:tcW w:w="2432" w:type="pct"/>
            <w:vAlign w:val="center"/>
          </w:tcPr>
          <w:p>
            <w:p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Wingdings" w:hAnsi="Wingdings" w:cs="Arial"/>
              </w:rPr>
              <w:sym w:font="Wingdings" w:char="F0E0"/>
            </w:r>
            <w:r>
              <w:rPr>
                <w:rStyle w:val="fontstyle01"/>
                <w:rFonts w:ascii="Arial" w:hAnsi="Arial" w:cs="Arial"/>
              </w:rPr>
              <w:t>Task is to identify the critical items and create mapping of A/c Flight Cycles.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Style w:val="fontstyle01"/>
                <w:rFonts w:ascii="Wingdings" w:hAnsi="Wingdings" w:cs="Arial"/>
              </w:rPr>
              <w:sym w:font="Wingdings" w:char="F0E0"/>
            </w:r>
            <w:r>
              <w:rPr>
                <w:rStyle w:val="fontstyle01"/>
                <w:rFonts w:ascii="Arial" w:hAnsi="Arial" w:cs="Arial"/>
              </w:rPr>
              <w:t>Performed Grace Period Calculation.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SRM</w:t>
            </w:r>
            <w:r>
              <w:rPr>
                <w:rFonts w:cs="Arial"/>
                <w:sz w:val="20"/>
              </w:rPr>
              <w:t xml:space="preserve"> Justification for </w:t>
            </w:r>
            <w:r>
              <w:rPr>
                <w:rFonts w:cs="Arial"/>
                <w:sz w:val="20"/>
              </w:rPr>
              <w:t xml:space="preserve"> ACF section 13/14: Static justification of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external doubler skin repair under </w:t>
            </w:r>
            <w:r>
              <w:rPr>
                <w:rFonts w:cs="Arial"/>
                <w:sz w:val="20"/>
              </w:rPr>
              <w:t>Stelia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Perimeter - POST-SCE3.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napToGrid w:val="0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napToGrid w:val="0"/>
                <w:sz w:val="20"/>
              </w:rPr>
              <w:t xml:space="preserve"> Static Justification of repairs for accidental damages caused by tool impacts, corrosion or lightning strikes </w:t>
            </w:r>
          </w:p>
          <w:p>
            <w:pPr>
              <w:rPr>
                <w:rFonts w:cs="Arial"/>
                <w:snapToGrid w:val="0"/>
                <w:sz w:val="20"/>
              </w:rPr>
            </w:pPr>
            <w:r>
              <w:rPr>
                <w:rFonts w:ascii="Wingdings" w:hAnsi="Wingdings" w:cs="Arial"/>
                <w:snapToGrid w:val="0"/>
                <w:sz w:val="20"/>
              </w:rPr>
              <w:sym w:font="Wingdings" w:char="F0E0"/>
            </w:r>
            <w:r>
              <w:rPr>
                <w:rFonts w:cs="Arial"/>
                <w:snapToGrid w:val="0"/>
                <w:sz w:val="20"/>
              </w:rPr>
              <w:t>Net Cross section, Rivet justification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napToGrid w:val="0"/>
                <w:sz w:val="20"/>
              </w:rPr>
              <w:sym w:font="Wingdings" w:char="F0E0"/>
            </w:r>
            <w:r>
              <w:rPr>
                <w:rFonts w:cs="Arial"/>
                <w:snapToGrid w:val="0"/>
                <w:sz w:val="20"/>
              </w:rPr>
              <w:t>RF Calculation</w:t>
            </w:r>
            <w:r>
              <w:rPr>
                <w:rFonts w:cs="Arial"/>
                <w:snapToGrid w:val="0"/>
                <w:sz w:val="20"/>
              </w:rPr>
              <w:t>, RF Mapping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LR Landing Gear Repairs: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Provided justification for repairs on landing gear components like axles, bogie beam, main Strut, Retraction Bracket etc. using Airbus methodology (MATLAB).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 UK Gloucester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SA/LR ESG CONCESSIONS: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 Nonconformities like dent, skin rework, rivet change, lugs rework etc are justified for ESG using standard airbus methods for fatigue and damage tolerance.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 xml:space="preserve">Static and F&amp;DT justification for repairs of SA,LR,WB aircrafts </w:t>
            </w:r>
          </w:p>
          <w:p>
            <w:pPr>
              <w:rPr>
                <w:rFonts w:cs="Arial"/>
                <w:sz w:val="20"/>
              </w:rPr>
            </w:pPr>
          </w:p>
        </w:tc>
        <w:tc>
          <w:tcPr>
            <w:tcW w:w="2432" w:type="pct"/>
            <w:vAlign w:val="center"/>
          </w:tcPr>
          <w:p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 xml:space="preserve">Stress justification of </w:t>
            </w:r>
            <w:r>
              <w:rPr>
                <w:sz w:val="20"/>
              </w:rPr>
              <w:t xml:space="preserve">repairs on metallic structures using Airbus methodologies </w:t>
            </w:r>
          </w:p>
          <w:p>
            <w:pPr>
              <w:jc w:val="both"/>
              <w:rPr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</w:rPr>
              <w:t xml:space="preserve"> Types of</w:t>
            </w:r>
            <w:r>
              <w:rPr>
                <w:sz w:val="20"/>
              </w:rPr>
              <w:t xml:space="preserve"> Damage</w:t>
            </w:r>
            <w:r>
              <w:rPr>
                <w:sz w:val="20"/>
              </w:rPr>
              <w:t xml:space="preserve">s </w:t>
            </w:r>
            <w:r>
              <w:rPr>
                <w:sz w:val="20"/>
              </w:rPr>
              <w:t>- Dent, Corrosion, chafing marks,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lightning strike, Skin cutout,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tc</w:t>
            </w:r>
            <w:r>
              <w:rPr>
                <w:sz w:val="20"/>
              </w:rPr>
              <w:t>.</w:t>
            </w:r>
          </w:p>
          <w:p>
            <w:pPr>
              <w:suppressAutoHyphens/>
              <w:rPr>
                <w:sz w:val="20"/>
                <w:lang w:val="en-IN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sz w:val="20"/>
                <w:lang w:val="en-IN"/>
              </w:rPr>
              <w:t xml:space="preserve"> Area – </w:t>
            </w:r>
            <w:r>
              <w:rPr>
                <w:sz w:val="20"/>
                <w:lang w:val="en-IN"/>
              </w:rPr>
              <w:t>FAF Fuselage structures.</w:t>
            </w:r>
          </w:p>
          <w:p>
            <w:pPr>
              <w:suppressAutoHyphens/>
              <w:rPr>
                <w:sz w:val="20"/>
              </w:rPr>
            </w:pPr>
            <w:r>
              <w:rPr>
                <w:rFonts w:ascii="Wingdings" w:hAnsi="Wingdings" w:cs="Arial"/>
                <w:color w:val="000000"/>
                <w:sz w:val="20"/>
              </w:rPr>
              <w:sym w:font="Wingdings" w:char="F0E0"/>
            </w:r>
            <w:r>
              <w:rPr>
                <w:sz w:val="20"/>
              </w:rPr>
              <w:t xml:space="preserve"> Tools- Airbus manuals SRM –Structural Repair Manual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M2841,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SB Documents, </w:t>
            </w:r>
            <w:r>
              <w:rPr>
                <w:sz w:val="20"/>
              </w:rPr>
              <w:t>AM2235,ISAMI,SAFE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MS Office, MS Excel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Static Analysis of A350 Secondary Brackets and fittings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Junction calculations, Lug Analysis and Wind milling Analysis of brackets. 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Junction calculation involves bolt group analysis to determine the shear and tensile loads on bolts.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Deicing Of Leading Edge in Airfoils With PMN PT Actuators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 Leading edge of an airfoil physical model was created and simulated same model for different modes of vibration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Compared the FE Model and simulated using </w:t>
            </w:r>
            <w:r>
              <w:rPr>
                <w:rFonts w:cs="Arial"/>
                <w:sz w:val="20"/>
              </w:rPr>
              <w:t>Hypermesh</w:t>
            </w:r>
            <w:r>
              <w:rPr>
                <w:rFonts w:cs="Arial"/>
                <w:sz w:val="20"/>
              </w:rPr>
              <w:t xml:space="preserve"> and ANSYS.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Checked for the potential of the PMN-PT material for practical in Aircraft wing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0"/>
              </w:rPr>
              <w:t>ADA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0"/>
              </w:rPr>
              <w:t>8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Spectrum Load comparison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Spectrum Generation for S11 &amp; S12 integration components.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Fatigue and Propa</w:t>
            </w:r>
            <w:r>
              <w:rPr>
                <w:rFonts w:cs="Arial"/>
                <w:sz w:val="20"/>
              </w:rPr>
              <w:t>gation</w:t>
            </w:r>
            <w:r>
              <w:rPr>
                <w:rFonts w:cs="Arial"/>
                <w:sz w:val="20"/>
              </w:rPr>
              <w:t xml:space="preserve">  Equivalent stress comparison, spectrum coefficients, 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Airinlet </w:t>
            </w:r>
            <w:r>
              <w:rPr>
                <w:rFonts w:cs="Arial"/>
                <w:sz w:val="20"/>
              </w:rPr>
              <w:t>AftBulkhead</w:t>
            </w:r>
            <w:r>
              <w:rPr>
                <w:rFonts w:cs="Arial"/>
                <w:sz w:val="20"/>
              </w:rPr>
              <w:t xml:space="preserve"> Static report Nacelle 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Worked on the modification of the Airinlet Model MRR407 on Static  calculations 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Load extraction, template building,</w:t>
            </w:r>
          </w:p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>Static and DT calculation on composite Components</w:t>
            </w:r>
          </w:p>
          <w:p>
            <w:pPr>
              <w:rPr>
                <w:rFonts w:cs="Arial"/>
                <w:sz w:val="20"/>
              </w:rPr>
            </w:pP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 China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Months</w:t>
            </w:r>
          </w:p>
        </w:tc>
      </w:tr>
      <w:tr>
        <w:tblPrEx>
          <w:tblW w:w="5322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40"/>
        </w:trPr>
        <w:tc>
          <w:tcPr>
            <w:tcW w:w="353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</w:p>
        </w:tc>
        <w:tc>
          <w:tcPr>
            <w:tcW w:w="1094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Pylon Dog head and Shovel fitting static and fatigue justification</w:t>
            </w:r>
          </w:p>
        </w:tc>
        <w:tc>
          <w:tcPr>
            <w:tcW w:w="2432" w:type="pct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Worked on the modification of the </w:t>
            </w:r>
            <w:r>
              <w:rPr>
                <w:rFonts w:cs="Arial"/>
                <w:sz w:val="20"/>
              </w:rPr>
              <w:t xml:space="preserve">pylon dog head and shovel fitting </w:t>
            </w:r>
            <w:r>
              <w:rPr>
                <w:rFonts w:cs="Arial"/>
                <w:sz w:val="20"/>
              </w:rPr>
              <w:t xml:space="preserve"> on Static  </w:t>
            </w:r>
            <w:r>
              <w:rPr>
                <w:rFonts w:cs="Arial"/>
                <w:sz w:val="20"/>
              </w:rPr>
              <w:t xml:space="preserve">and F&amp;DT </w:t>
            </w:r>
            <w:r>
              <w:rPr>
                <w:rFonts w:cs="Arial"/>
                <w:sz w:val="20"/>
              </w:rPr>
              <w:t>calculations</w:t>
            </w:r>
          </w:p>
          <w:p>
            <w:pPr>
              <w:rPr>
                <w:rFonts w:cs="Arial"/>
                <w:sz w:val="20"/>
                <w:lang w:val="fr-FR"/>
              </w:rPr>
            </w:pPr>
            <w:r>
              <w:rPr>
                <w:rFonts w:ascii="Wingdings" w:hAnsi="Wingdings" w:cs="Arial"/>
                <w:sz w:val="20"/>
              </w:rPr>
              <w:sym w:font="Wingdings" w:char="F0E0"/>
            </w:r>
            <w:r>
              <w:rPr>
                <w:rFonts w:cs="Arial"/>
                <w:sz w:val="20"/>
                <w:lang w:val="fr-FR"/>
              </w:rPr>
              <w:t>Fatigur</w:t>
            </w:r>
            <w:r>
              <w:rPr>
                <w:rFonts w:cs="Arial"/>
                <w:sz w:val="20"/>
                <w:lang w:val="fr-FR"/>
              </w:rPr>
              <w:t xml:space="preserve"> </w:t>
            </w:r>
            <w:r>
              <w:rPr>
                <w:rFonts w:cs="Arial"/>
                <w:sz w:val="20"/>
                <w:lang w:val="fr-FR"/>
              </w:rPr>
              <w:t>Kt</w:t>
            </w:r>
            <w:r>
              <w:rPr>
                <w:rFonts w:cs="Arial"/>
                <w:sz w:val="20"/>
                <w:lang w:val="fr-FR"/>
              </w:rPr>
              <w:t xml:space="preserve"> </w:t>
            </w:r>
            <w:r>
              <w:rPr>
                <w:rFonts w:cs="Arial"/>
                <w:sz w:val="20"/>
                <w:lang w:val="fr-FR"/>
              </w:rPr>
              <w:t>calculations</w:t>
            </w:r>
            <w:r>
              <w:rPr>
                <w:rFonts w:cs="Arial"/>
                <w:sz w:val="20"/>
                <w:lang w:val="fr-FR"/>
              </w:rPr>
              <w:t xml:space="preserve"> , propagation calculations</w:t>
            </w:r>
            <w:bookmarkStart w:id="0" w:name="_GoBack"/>
            <w:bookmarkEnd w:id="0"/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Airbus China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>
              <w:rPr>
                <w:rFonts w:cs="Arial"/>
                <w:sz w:val="20"/>
              </w:rPr>
              <w:t xml:space="preserve"> Months</w:t>
            </w:r>
          </w:p>
        </w:tc>
      </w:tr>
    </w:tbl>
    <w:p>
      <w:pPr>
        <w:spacing w:before="40"/>
        <w:rPr>
          <w:rFonts w:ascii="Calibri" w:hAnsi="Calibri"/>
          <w:b/>
          <w:sz w:val="22"/>
          <w:szCs w:val="22"/>
        </w:rPr>
      </w:pPr>
    </w:p>
    <w:p>
      <w:pPr>
        <w:spacing w:before="40"/>
        <w:rPr>
          <w:rFonts w:ascii="Calibri" w:hAnsi="Calibr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footerReference w:type="default" r:id="rId8"/>
      <w:pgSz w:w="11909" w:h="16834" w:orient="portrait" w:code="9"/>
      <w:pgMar w:top="810" w:right="864" w:bottom="540" w:left="1411" w:header="1440" w:footer="621" w:gutter="0"/>
      <w:pgNumType w:start="1" w:chapStyle="1" w:chapSep="period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002080204"/>
    <w:charset w:val="80"/>
    <w:family w:val="modern"/>
    <w:pitch w:val="fixed"/>
    <w:sig w:usb0="00000001" w:usb1="08070000" w:usb2="00000010" w:usb3="00000000" w:csb0="00020000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0" allowOverlap="1">
              <wp:simplePos x="0" y="0"/>
              <wp:positionH relativeFrom="column">
                <wp:posOffset>-207645</wp:posOffset>
              </wp:positionH>
              <wp:positionV relativeFrom="paragraph">
                <wp:posOffset>1228724</wp:posOffset>
              </wp:positionV>
              <wp:extent cx="6522720" cy="0"/>
              <wp:effectExtent l="0" t="0" r="0" b="0"/>
              <wp:wrapNone/>
              <wp:docPr id="4097" name="Line 29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 flipV="1">
                        <a:off x="0" y="0"/>
                        <a:ext cx="652272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2049" style="flip:y;mso-height-percent:0;mso-height-relative:page;mso-width-percent:0;mso-width-relative:page;mso-wrap-distance-left:0;mso-wrap-distance-right:0;position:absolute;visibility:visible;z-index:251659264" from="-16.35pt,96.75pt" to="497.25pt,96.75pt" o:allowincell="f" stroked="t"/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CCC1B3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39CF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724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C0ADB26"/>
    <w:lvl w:ilvl="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35E45F6"/>
    <w:name w:val="Outline"/>
    <w:lvl w:ilvl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930"/>
        </w:tabs>
        <w:ind w:left="69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650"/>
        </w:tabs>
        <w:ind w:left="76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370"/>
        </w:tabs>
        <w:ind w:left="83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F2C5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E79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75E03E8"/>
    <w:lvl w:ilvl="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FFE6DE0"/>
    <w:lvl w:ilvl="0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0DEDEE6"/>
    <w:lvl w:ilvl="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E281138"/>
    <w:lvl w:ilvl="0">
      <w:start w:val="1"/>
      <w:numFmt w:val="decimal"/>
      <w:lvlText w:val="%1."/>
      <w:lvlJc w:val="left"/>
      <w:pPr>
        <w:ind w:left="720" w:hanging="360"/>
      </w:pPr>
      <w:rPr>
        <w:b/>
        <w:color w:val="1F386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47EDE02"/>
    <w:lvl w:ilvl="0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23476DA"/>
    <w:lvl w:ilvl="0">
      <w:start w:val="1"/>
      <w:numFmt w:val="decimal"/>
      <w:lvlText w:val="%1."/>
      <w:lvlJc w:val="left"/>
      <w:pPr>
        <w:ind w:left="720" w:hanging="360"/>
      </w:pPr>
      <w:rPr>
        <w:b/>
        <w:color w:val="1F386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4">
    <w:nsid w:val="0000000E"/>
    <w:multiLevelType w:val="hybridMultilevel"/>
    <w:tmpl w:val="3DEC17F4"/>
    <w:lvl w:ilvl="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E281138"/>
    <w:lvl w:ilvl="0">
      <w:start w:val="1"/>
      <w:numFmt w:val="decimal"/>
      <w:lvlText w:val="%1."/>
      <w:lvlJc w:val="left"/>
      <w:pPr>
        <w:ind w:left="720" w:hanging="360"/>
      </w:pPr>
      <w:rPr>
        <w:b/>
        <w:color w:val="1F386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A76C6892"/>
    <w:numStyleLink w:val="Bulleted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1"/>
    <w:multiLevelType w:val="multilevel"/>
    <w:tmpl w:val="A76C6892"/>
    <w:numStyleLink w:val="Bulleted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2"/>
    <w:multiLevelType w:val="multilevel"/>
    <w:tmpl w:val="A76C6892"/>
    <w:numStyleLink w:val="Bulleted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5"/>
  </w:num>
  <w:num w:numId="5">
    <w:abstractNumId w:val="9"/>
  </w:num>
  <w:num w:numId="6">
    <w:abstractNumId w:val="12"/>
  </w:num>
  <w:num w:numId="7">
    <w:abstractNumId w:val="16"/>
  </w:num>
  <w:num w:numId="8">
    <w:abstractNumId w:val="17"/>
  </w:num>
  <w:num w:numId="9">
    <w:abstractNumId w:val="18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3"/>
  </w:num>
  <w:num w:numId="15">
    <w:abstractNumId w:val="10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e31c1a2f-1b26-41a2-a705-b5b2c79dbb5e"/>
    <w:uiPriority w:val="1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outlineLvl w:val="4"/>
    </w:pPr>
  </w:style>
  <w:style w:type="paragraph" w:styleId="Heading6">
    <w:name w:val="heading 6"/>
    <w:basedOn w:val="Normal"/>
    <w:next w:val="Normal"/>
    <w:qFormat/>
    <w:pPr>
      <w:keepNext/>
      <w:spacing w:line="480" w:lineRule="auto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12"/>
        <w:numId w:val="0"/>
      </w:numPr>
      <w:ind w:left="720" w:right="4043" w:hanging="720"/>
      <w:jc w:val="both"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eee60dfd-6595-45bf-b2c2-47b7e513d9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3">
    <w:name w:val="Body Text Indent 3"/>
    <w:basedOn w:val="Normal"/>
    <w:pPr>
      <w:ind w:left="72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link w:val="TitleChar50446363-6829-4265-8768-bdea990bff45"/>
    <w:uiPriority w:val="1"/>
    <w:qFormat/>
    <w:pPr>
      <w:tabs>
        <w:tab w:val="left" w:pos="8640"/>
      </w:tabs>
      <w:spacing w:before="240" w:after="60"/>
      <w:jc w:val="center"/>
    </w:pPr>
    <w:rPr>
      <w:b/>
      <w:kern w:val="28"/>
      <w:sz w:val="32"/>
    </w:rPr>
  </w:style>
  <w:style w:type="paragraph" w:styleId="List">
    <w:name w:val="List"/>
    <w:basedOn w:val="Normal"/>
    <w:pPr>
      <w:ind w:left="360" w:hanging="360"/>
    </w:pPr>
  </w:style>
  <w:style w:type="paragraph" w:styleId="BodyText2">
    <w:name w:val="Body Text 2"/>
    <w:basedOn w:val="Normal"/>
    <w:pPr>
      <w:tabs>
        <w:tab w:val="left" w:pos="1080"/>
      </w:tabs>
      <w:jc w:val="both"/>
    </w:pPr>
    <w:rPr>
      <w:b/>
    </w:rPr>
  </w:style>
  <w:style w:type="paragraph" w:styleId="BodyText3">
    <w:name w:val="Body Text 3"/>
    <w:basedOn w:val="Normal"/>
  </w:style>
  <w:style w:type="paragraph" w:styleId="TO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OAHeading">
    <w:name w:val="toa heading"/>
    <w:basedOn w:val="Normal"/>
    <w:next w:val="Normal"/>
    <w:pPr>
      <w:spacing w:before="120"/>
    </w:pPr>
    <w:rPr>
      <w:rFonts w:cs="Arial"/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240"/>
    </w:pPr>
    <w:rPr>
      <w:b/>
    </w:rPr>
  </w:style>
  <w:style w:type="paragraph" w:styleId="TOC3">
    <w:name w:val="toc 3"/>
    <w:basedOn w:val="Normal"/>
    <w:next w:val="Normal"/>
    <w:pPr>
      <w:ind w:left="24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pPr>
      <w:ind w:left="48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pPr>
      <w:ind w:left="72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pPr>
      <w:ind w:left="96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pPr>
      <w:ind w:left="12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pPr>
      <w:ind w:left="144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pPr>
      <w:ind w:left="1680"/>
    </w:pPr>
    <w:rPr>
      <w:rFonts w:ascii="Times New Roman" w:hAnsi="Times New Roman"/>
      <w:szCs w:val="24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NormalIndent">
    <w:name w:val="Normal Indent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OCHeading">
    <w:name w:val="TOC Heading"/>
    <w:basedOn w:val="Heading1"/>
    <w:next w:val="Normal"/>
    <w:uiPriority w:val="39"/>
    <w:qFormat/>
    <w:pPr>
      <w:keepLines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Cs w:val="28"/>
      <w:lang w:eastAsia="ja-JP"/>
    </w:rPr>
  </w:style>
  <w:style w:type="paragraph" w:styleId="Revision">
    <w:name w:val="Revision"/>
    <w:uiPriority w:val="99"/>
    <w:rPr>
      <w:rFonts w:ascii="Arial" w:hAnsi="Arial"/>
      <w:sz w:val="24"/>
    </w:rPr>
  </w:style>
  <w:style w:type="character" w:customStyle="1" w:styleId="HeaderChareee60dfd-6595-45bf-b2c2-47b7e513d9a6">
    <w:name w:val="Header Char_eee60dfd-6595-45bf-b2c2-47b7e513d9a6"/>
    <w:link w:val="Header"/>
    <w:rPr>
      <w:rFonts w:ascii="Arial" w:hAnsi="Arial"/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Pr>
      <w:rFonts w:ascii="Calibri" w:hAnsi="Calibri"/>
      <w:sz w:val="22"/>
      <w:szCs w:val="22"/>
      <w:lang w:val="en-US" w:eastAsia="en-US" w:bidi="ar-SA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CommentTextChar">
    <w:name w:val="Comment Text Char"/>
    <w:link w:val="CommentText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Arial" w:hAnsi="Arial"/>
      <w:b/>
      <w:bCs/>
      <w:lang w:val="en-US" w:eastAsia="en-US"/>
    </w:rPr>
  </w:style>
  <w:style w:type="character" w:styleId="Strong">
    <w:name w:val="Strong"/>
    <w:qFormat/>
    <w:rPr>
      <w:b/>
      <w:bCs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customStyle="1" w:styleId="TitleChar50446363-6829-4265-8768-bdea990bff45">
    <w:name w:val="Title Char_50446363-6829-4265-8768-bdea990bff45"/>
    <w:link w:val="Title"/>
    <w:uiPriority w:val="1"/>
    <w:rPr>
      <w:rFonts w:ascii="Arial" w:hAnsi="Arial"/>
      <w:b/>
      <w:kern w:val="28"/>
      <w:sz w:val="32"/>
    </w:rPr>
  </w:style>
  <w:style w:type="character" w:customStyle="1" w:styleId="Heading2Chare31c1a2f-1b26-41a2-a705-b5b2c79dbb5e">
    <w:name w:val="Heading 2 Char_e31c1a2f-1b26-41a2-a705-b5b2c79dbb5e"/>
    <w:link w:val="Heading2"/>
    <w:uiPriority w:val="1"/>
    <w:rPr>
      <w:rFonts w:ascii="Arial" w:hAnsi="Arial"/>
      <w:b/>
      <w:sz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apple-converted-space">
    <w:name w:val="apple-converted-space"/>
    <w:basedOn w:val="DefaultParagraphFont"/>
  </w:style>
  <w:style w:type="paragraph" w:customStyle="1" w:styleId="1stlinebulleted">
    <w:name w:val="1st line bulleted"/>
    <w:basedOn w:val="Normal"/>
    <w:link w:val="1stlinebulletedCharChar"/>
    <w:pPr>
      <w:numPr>
        <w:ilvl w:val="0"/>
        <w:numId w:val="1"/>
      </w:numPr>
      <w:tabs>
        <w:tab w:val="right" w:pos="6480"/>
      </w:tabs>
      <w:spacing w:before="100"/>
    </w:pPr>
    <w:rPr>
      <w:rFonts w:ascii="Garamond" w:hAnsi="Garamond"/>
      <w:sz w:val="20"/>
      <w:szCs w:val="24"/>
    </w:rPr>
  </w:style>
  <w:style w:type="paragraph" w:customStyle="1" w:styleId="Dates">
    <w:name w:val="Dates"/>
    <w:basedOn w:val="Normal"/>
    <w:link w:val="DatesCharChar"/>
    <w:pPr>
      <w:spacing w:before="100"/>
      <w:jc w:val="right"/>
    </w:pPr>
    <w:rPr>
      <w:rFonts w:ascii="Garamond" w:hAnsi="Garamond"/>
      <w:i/>
      <w:sz w:val="20"/>
    </w:rPr>
  </w:style>
  <w:style w:type="character" w:customStyle="1" w:styleId="DatesCharChar">
    <w:name w:val="Dates Char Char"/>
    <w:basedOn w:val="DefaultParagraphFont"/>
    <w:link w:val="Dates"/>
    <w:rPr>
      <w:rFonts w:ascii="Garamond" w:hAnsi="Garamond"/>
      <w:i/>
    </w:rPr>
  </w:style>
  <w:style w:type="paragraph" w:customStyle="1" w:styleId="Name">
    <w:name w:val="Name"/>
    <w:basedOn w:val="Normal"/>
    <w:rPr>
      <w:rFonts w:ascii="Garamond" w:hAnsi="Garamond"/>
      <w:b/>
      <w:sz w:val="22"/>
    </w:rPr>
  </w:style>
  <w:style w:type="paragraph" w:customStyle="1" w:styleId="Company">
    <w:name w:val="Company"/>
    <w:basedOn w:val="Normal"/>
    <w:link w:val="CompanyCharChar"/>
    <w:pPr>
      <w:tabs>
        <w:tab w:val="right" w:pos="6480"/>
      </w:tabs>
      <w:spacing w:before="100"/>
    </w:pPr>
    <w:rPr>
      <w:rFonts w:ascii="Garamond" w:hAnsi="Garamond" w:cs="Arial"/>
      <w:b/>
      <w:i/>
      <w:iCs/>
      <w:spacing w:val="8"/>
      <w:sz w:val="20"/>
    </w:rPr>
  </w:style>
  <w:style w:type="character" w:customStyle="1" w:styleId="1stlinebulletedCharChar">
    <w:name w:val="1st line bulleted Char Char"/>
    <w:basedOn w:val="DefaultParagraphFont"/>
    <w:link w:val="1stlinebulleted"/>
    <w:rPr>
      <w:rFonts w:ascii="Garamond" w:hAnsi="Garamond"/>
      <w:szCs w:val="24"/>
    </w:rPr>
  </w:style>
  <w:style w:type="numbering" w:customStyle="1" w:styleId="Bulletedlist">
    <w:name w:val="Bulleted list"/>
    <w:basedOn w:val="NoList"/>
    <w:pPr>
      <w:numPr>
        <w:ilvl w:val="0"/>
        <w:numId w:val="2"/>
      </w:numPr>
    </w:pPr>
  </w:style>
  <w:style w:type="character" w:customStyle="1" w:styleId="CompanyCharChar">
    <w:name w:val="Company Char Char"/>
    <w:basedOn w:val="DefaultParagraphFont"/>
    <w:link w:val="Company"/>
    <w:rPr>
      <w:rFonts w:ascii="Garamond" w:hAnsi="Garamond" w:cs="Arial"/>
      <w:b/>
      <w:i/>
      <w:iCs/>
      <w:spacing w:val="8"/>
    </w:rPr>
  </w:style>
  <w:style w:type="character" w:customStyle="1" w:styleId="fontstyle01">
    <w:name w:val="fontstyle01"/>
    <w:basedOn w:val="DefaultParagraphFont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Venu.uteg@gmail.com" TargetMode="External" /><Relationship Id="rId7" Type="http://schemas.openxmlformats.org/officeDocument/2006/relationships/image" Target="https://rdxfootmark.naukri.com/v2/track/openCv?trackingInfo=90e1c6f1668e790f8d28cfe59688070c134f530e18705c4458440321091b5b58170e190a18465a5a1b4d58515c424154181c084b281e0103030b1240595e0e4356015a4e5e51100614700558190c15051147444f5108084a5746754e034a571b5549120b40001044095a0e041e470d140110155e5500504a155b440345450e5c0a5249130f031f030201091b5b581001150b1847505d0c54585e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613C-8BDF-4687-9649-241F5A6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5479</Characters>
  <Application>Microsoft Office Word</Application>
  <DocSecurity>0</DocSecurity>
  <Lines>0</Lines>
  <Paragraphs>248</Paragraphs>
  <ScaleCrop>false</ScaleCrop>
  <Company>kenets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krb</dc:creator>
  <cp:lastModifiedBy>JKM-AL00b</cp:lastModifiedBy>
  <cp:revision>20</cp:revision>
  <cp:lastPrinted>2018-08-16T06:26:00Z</cp:lastPrinted>
  <dcterms:created xsi:type="dcterms:W3CDTF">2019-03-12T03:32:00Z</dcterms:created>
  <dcterms:modified xsi:type="dcterms:W3CDTF">2020-02-17T05:39:18Z</dcterms:modified>
</cp:coreProperties>
</file>