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9615021" w:rsidR="003A58F5" w:rsidRDefault="00000000">
      <w:pPr>
        <w:spacing w:before="240" w:after="240"/>
        <w:rPr>
          <w:b/>
          <w:bCs/>
          <w:sz w:val="30"/>
          <w:szCs w:val="30"/>
        </w:rPr>
      </w:pPr>
      <w:r>
        <w:rPr>
          <w:b/>
          <w:bCs/>
          <w:sz w:val="30"/>
          <w:szCs w:val="30"/>
        </w:rPr>
        <w:t>Fornix Labs: Comprehensive Privacy &amp; Data Protection Policy</w:t>
      </w:r>
    </w:p>
    <w:p w14:paraId="00000002" w14:textId="77777777" w:rsidR="003A58F5" w:rsidRDefault="00000000">
      <w:pPr>
        <w:spacing w:before="240" w:after="240"/>
        <w:rPr>
          <w:b/>
          <w:bCs/>
        </w:rPr>
      </w:pPr>
      <w:r>
        <w:rPr>
          <w:b/>
          <w:bCs/>
        </w:rPr>
        <w:t>1. INTRODUCTION, SCOPE OF APPLICATION, AND STATUTORY REGISTRATION</w:t>
      </w:r>
    </w:p>
    <w:p w14:paraId="00000003" w14:textId="77777777" w:rsidR="003A58F5" w:rsidRDefault="00000000">
      <w:pPr>
        <w:spacing w:before="240" w:after="240"/>
      </w:pPr>
      <w:r>
        <w:rPr>
          <w:b/>
          <w:bCs/>
        </w:rPr>
        <w:t>1.1. Corporate Identity and Statutory Designation</w:t>
      </w:r>
      <w:r>
        <w:t xml:space="preserve"> This Comprehensive Privacy and Data Protection Policy (the "Privacy Policy" or "Policy") is formally promulgated by Fornix Labs Limited (the "Company," "We," "Us," or "Our"). For the purposes of rigorous statutory interpretation under the Data Protection Act, 2012 (Act 843) of the Republic of Ghana:</w:t>
      </w:r>
    </w:p>
    <w:p w14:paraId="00000004" w14:textId="77777777" w:rsidR="003A58F5" w:rsidRDefault="00000000">
      <w:pPr>
        <w:numPr>
          <w:ilvl w:val="0"/>
          <w:numId w:val="18"/>
        </w:numPr>
        <w:spacing w:before="240"/>
      </w:pPr>
      <w:r>
        <w:rPr>
          <w:b/>
          <w:bCs/>
        </w:rPr>
        <w:t>Data Controller:</w:t>
      </w:r>
      <w:r>
        <w:t xml:space="preserve"> The Company legally acts in the capacity of a "Data Controller" when it determines the purposes and the technological means of collecting, storing, and processing the personal data and sensitive health informatics of Users (hereinafter "Data Subjects") within the proprietary ecosystem of Fornix Link.</w:t>
      </w:r>
    </w:p>
    <w:p w14:paraId="00000005" w14:textId="77777777" w:rsidR="003A58F5" w:rsidRDefault="00000000">
      <w:pPr>
        <w:numPr>
          <w:ilvl w:val="0"/>
          <w:numId w:val="18"/>
        </w:numPr>
        <w:spacing w:after="240"/>
      </w:pPr>
      <w:r>
        <w:rPr>
          <w:b/>
          <w:bCs/>
        </w:rPr>
        <w:t>Data Processor:</w:t>
      </w:r>
      <w:r>
        <w:t xml:space="preserve"> In specific contractual matrices where the Company provisions digital infrastructure (Software-as-a-Service) strictly for the internal, localized operational utility of a Partner Hospital or an institutional Healthcare Provider—and does not independently determine the clinical purpose of the data processing—the Company operates strictly as a "Data Processor" acting upon the documented, lawful instructions of said Provider.</w:t>
      </w:r>
    </w:p>
    <w:p w14:paraId="00000006" w14:textId="77777777" w:rsidR="003A58F5" w:rsidRDefault="00000000">
      <w:pPr>
        <w:spacing w:before="240" w:after="240"/>
      </w:pPr>
      <w:r>
        <w:rPr>
          <w:b/>
          <w:bCs/>
        </w:rPr>
        <w:t>1.2. Jurisdictional Anchor and International Harmonization</w:t>
      </w:r>
      <w:r>
        <w:t xml:space="preserve"> This Policy is fundamentally anchored in, and governed exclusively by, the substantive data privacy laws of the Republic of Ghana, specifically the Data Protection Act, 2012 (Act 843), the Electronic Transactions Act, 2008 (Act 772), and the regulatory enforcement mandates governed by the Data Protection Commission (DPC). Furthermore, to facilitate structural interoperability with global health organizations, international reinsurers, and transnational clinical entities, the architectural framework of this Policy is voluntarily harmonized with the foundational data processing principles established by the General Data Protection Regulation (GDPR) of the European Union and the Health Insurance Portability and Accountability Act (HIPAA) of the United States.</w:t>
      </w:r>
    </w:p>
    <w:p w14:paraId="00000007" w14:textId="77777777" w:rsidR="003A58F5" w:rsidRDefault="00000000">
      <w:pPr>
        <w:spacing w:before="240" w:after="240"/>
      </w:pPr>
      <w:r>
        <w:rPr>
          <w:b/>
          <w:bCs/>
        </w:rPr>
        <w:t>1.3. Scope of Extraterritorial and Digital Application</w:t>
      </w:r>
      <w:r>
        <w:t xml:space="preserve"> This Privacy Policy exercises universal application over all classifications of personal data, cryptographic biometric identifiers, and sensitive longitudinal health informatics collected, processed, encrypted, or transmitted across the entirety of the Company's technological portfolio. This uncompromising scope encompasses:</w:t>
      </w:r>
    </w:p>
    <w:p w14:paraId="00000008" w14:textId="77777777" w:rsidR="003A58F5" w:rsidRDefault="00000000">
      <w:pPr>
        <w:numPr>
          <w:ilvl w:val="0"/>
          <w:numId w:val="30"/>
        </w:numPr>
        <w:spacing w:before="240"/>
      </w:pPr>
      <w:r>
        <w:t>The Fornix Link web applications, mobile platforms, and integrated Application Programming Interfaces (APIs).</w:t>
      </w:r>
    </w:p>
    <w:p w14:paraId="00000009" w14:textId="77777777" w:rsidR="003A58F5" w:rsidRDefault="00000000">
      <w:pPr>
        <w:numPr>
          <w:ilvl w:val="0"/>
          <w:numId w:val="30"/>
        </w:numPr>
      </w:pPr>
      <w:r>
        <w:t>The proprietary, AES-256 encrypted "Relational Health Memory" architecture.</w:t>
      </w:r>
    </w:p>
    <w:p w14:paraId="0000000A" w14:textId="77777777" w:rsidR="003A58F5" w:rsidRDefault="00000000">
      <w:pPr>
        <w:numPr>
          <w:ilvl w:val="0"/>
          <w:numId w:val="30"/>
        </w:numPr>
      </w:pPr>
      <w:r>
        <w:t>The Group Purchasing Organization (GPO) collective bargaining and supply chain networks.</w:t>
      </w:r>
    </w:p>
    <w:p w14:paraId="0000000B" w14:textId="77777777" w:rsidR="003A58F5" w:rsidRDefault="00000000">
      <w:pPr>
        <w:numPr>
          <w:ilvl w:val="0"/>
          <w:numId w:val="30"/>
        </w:numPr>
        <w:spacing w:after="240"/>
      </w:pPr>
      <w:r>
        <w:t>The physical, localized technological infrastructure deployed within HeFRA-licensed "Fornix Guild Houses."</w:t>
      </w:r>
    </w:p>
    <w:p w14:paraId="0000000C" w14:textId="77777777" w:rsidR="003A58F5" w:rsidRDefault="00000000">
      <w:pPr>
        <w:spacing w:before="240" w:after="240"/>
      </w:pPr>
      <w:r>
        <w:lastRenderedPageBreak/>
        <w:t>By authenticating into the Platform or executing a digital booking, the User, the Healthcare Provider, or their lawfully appointed proxies unequivocally acknowledge and submit to the rigorous data governance protocols codified herein.</w:t>
      </w:r>
    </w:p>
    <w:p w14:paraId="0000000D" w14:textId="77777777" w:rsidR="003A58F5" w:rsidRDefault="00000000">
      <w:pPr>
        <w:spacing w:before="240" w:after="240"/>
      </w:pPr>
      <w:r>
        <w:rPr>
          <w:b/>
          <w:bCs/>
        </w:rPr>
        <w:t>1.4. Statutory Registration and Fiduciary Covenant</w:t>
      </w:r>
      <w:r>
        <w:t xml:space="preserve"> The Company expressly represents, warrants, and publicly records that it is duly registered, certified, and recognized as a Data Controller in impeccable standing with the Data Protection Commission (DPC) of Ghana. The Company strictly covenants to maintain this statutory registration, subject its algorithmic architecture to periodic regulatory audits, and uncompromisingly execute its fiduciary duty to protect the fundamental, constitutional right to privacy of every Data Subject within its digital jurisdiction.</w:t>
      </w:r>
    </w:p>
    <w:p w14:paraId="0000000E" w14:textId="77777777" w:rsidR="003A58F5" w:rsidRDefault="003A58F5"/>
    <w:p w14:paraId="0000000F" w14:textId="77777777" w:rsidR="003A58F5" w:rsidRDefault="003A58F5"/>
    <w:p w14:paraId="00000010" w14:textId="77777777" w:rsidR="003A58F5" w:rsidRDefault="003A58F5"/>
    <w:p w14:paraId="00000011" w14:textId="77777777" w:rsidR="003A58F5" w:rsidRDefault="003A58F5"/>
    <w:p w14:paraId="00000012" w14:textId="77777777" w:rsidR="003A58F5" w:rsidRDefault="003A58F5"/>
    <w:p w14:paraId="00000013" w14:textId="77777777" w:rsidR="003A58F5" w:rsidRDefault="003A58F5"/>
    <w:p w14:paraId="00000014" w14:textId="77777777" w:rsidR="003A58F5" w:rsidRDefault="003A58F5"/>
    <w:p w14:paraId="00000015" w14:textId="77777777" w:rsidR="003A58F5" w:rsidRDefault="00000000">
      <w:pPr>
        <w:spacing w:before="240" w:after="240"/>
        <w:rPr>
          <w:b/>
          <w:bCs/>
        </w:rPr>
      </w:pPr>
      <w:r>
        <w:rPr>
          <w:b/>
          <w:bCs/>
        </w:rPr>
        <w:t>2. TAXONOMIC CLASSIFICATION OF DATA COLLECTED</w:t>
      </w:r>
    </w:p>
    <w:p w14:paraId="00000016" w14:textId="77777777" w:rsidR="003A58F5" w:rsidRDefault="00000000">
      <w:pPr>
        <w:spacing w:before="240" w:after="240"/>
      </w:pPr>
      <w:r>
        <w:t>To ensure absolute regulatory transparency and to strictly satisfy the disclosure and processing mandates of the Data Protection Commission, the Company enforces a rigid taxonomic classification of all data ingested, processed, or generated within the Fornix Link ecosystem. This data is legally bifurcated into the following distinct categories:</w:t>
      </w:r>
    </w:p>
    <w:p w14:paraId="00000017" w14:textId="77777777" w:rsidR="003A58F5" w:rsidRDefault="00000000">
      <w:pPr>
        <w:spacing w:before="240" w:after="240"/>
      </w:pPr>
      <w:r>
        <w:rPr>
          <w:b/>
          <w:bCs/>
        </w:rPr>
        <w:t>2.1. Standard Personally Identifiable Information (PII)</w:t>
      </w:r>
      <w:r>
        <w:t xml:space="preserve"> This category encompasses the foundational identity and logistical metrics required to establish privity of contract, provision user accounts, and execute the core administrative functions of the Platform. PII includes, but is not legally limited to:</w:t>
      </w:r>
    </w:p>
    <w:p w14:paraId="00000018" w14:textId="77777777" w:rsidR="003A58F5" w:rsidRDefault="00000000">
      <w:pPr>
        <w:numPr>
          <w:ilvl w:val="0"/>
          <w:numId w:val="6"/>
        </w:numPr>
        <w:spacing w:before="240"/>
      </w:pPr>
      <w:r>
        <w:rPr>
          <w:b/>
          <w:bCs/>
        </w:rPr>
        <w:t>Nomenclature and Demographics:</w:t>
      </w:r>
      <w:r>
        <w:t xml:space="preserve"> Legal names, chronological age, dates of birth, and designated biological sex or gender for the purposes of accurate clinical routing and actuarial matching.</w:t>
      </w:r>
    </w:p>
    <w:p w14:paraId="00000019" w14:textId="77777777" w:rsidR="003A58F5" w:rsidRDefault="00000000">
      <w:pPr>
        <w:numPr>
          <w:ilvl w:val="0"/>
          <w:numId w:val="6"/>
        </w:numPr>
      </w:pPr>
      <w:r>
        <w:rPr>
          <w:b/>
          <w:bCs/>
        </w:rPr>
        <w:t>Telecommunications and Geolocation:</w:t>
      </w:r>
      <w:r>
        <w:t xml:space="preserve"> Active mobile network directory numbers (MSISDNs), primary electronic mail addresses, and declared residential or geographic domicile data. This spatial data is principally utilized for proximity-based algorithmic matching with Partner Hospitals or Fornix Guild Houses.</w:t>
      </w:r>
    </w:p>
    <w:p w14:paraId="0000001A" w14:textId="77777777" w:rsidR="003A58F5" w:rsidRDefault="00000000">
      <w:pPr>
        <w:numPr>
          <w:ilvl w:val="0"/>
          <w:numId w:val="6"/>
        </w:numPr>
        <w:spacing w:after="240"/>
      </w:pPr>
      <w:r>
        <w:rPr>
          <w:b/>
          <w:bCs/>
        </w:rPr>
        <w:t>Statutory Cryptographic Identifiers:</w:t>
      </w:r>
      <w:r>
        <w:t xml:space="preserve"> For Healthcare Providers, this explicitly mandates the collection of the alphanumeric sequence, cryptographic hash, and associated metadata of the National Identity Card (Ghana Card) pursuant to the National Identity Register Act, 2008 (Act 750). Furthermore, it includes verifiable credential registration numbers issued by the Medical and Dental Council (MDC), Pharmacy Council, or Allied Health Professions Council (AHPC).</w:t>
      </w:r>
    </w:p>
    <w:p w14:paraId="0000001B" w14:textId="77777777" w:rsidR="003A58F5" w:rsidRDefault="00000000">
      <w:pPr>
        <w:spacing w:before="240" w:after="240"/>
      </w:pPr>
      <w:r>
        <w:rPr>
          <w:b/>
          <w:bCs/>
        </w:rPr>
        <w:lastRenderedPageBreak/>
        <w:t>2.2. Special Personal Data (The "Relational Health Memory")</w:t>
      </w:r>
      <w:r>
        <w:t xml:space="preserve"> Pursuant to the heightened statutory protections and stringent processing thresholds codified under Section 37 of the Data Protection Act, 2012 (Act 843), the Company strictly classifies all clinical, biological, and diagnostic information as "Special Personal Data." This data is afforded the highest echelon of cryptographic isolation and encompasses:</w:t>
      </w:r>
    </w:p>
    <w:p w14:paraId="0000001C" w14:textId="77777777" w:rsidR="003A58F5" w:rsidRDefault="00000000">
      <w:pPr>
        <w:numPr>
          <w:ilvl w:val="0"/>
          <w:numId w:val="17"/>
        </w:numPr>
        <w:spacing w:before="240"/>
      </w:pPr>
      <w:r>
        <w:rPr>
          <w:b/>
          <w:bCs/>
        </w:rPr>
        <w:t>Longitudinal Health Informatics:</w:t>
      </w:r>
      <w:r>
        <w:t xml:space="preserve"> Historical and active medical records, pharmacological histories, diagnostic imaging reports, immunization registries, and physician-authored clinical notes.</w:t>
      </w:r>
    </w:p>
    <w:p w14:paraId="0000001D" w14:textId="77777777" w:rsidR="003A58F5" w:rsidRDefault="00000000">
      <w:pPr>
        <w:numPr>
          <w:ilvl w:val="0"/>
          <w:numId w:val="17"/>
        </w:numPr>
      </w:pPr>
      <w:r>
        <w:rPr>
          <w:b/>
          <w:bCs/>
        </w:rPr>
        <w:t>Telemetric and Physiological Data:</w:t>
      </w:r>
      <w:r>
        <w:t xml:space="preserve"> Vital signs, anthropometric measurements, and symptomatic data manually inputted by the User or captured via API integrations with validated wearable diagnostic devices.</w:t>
      </w:r>
    </w:p>
    <w:p w14:paraId="0000001E" w14:textId="77777777" w:rsidR="003A58F5" w:rsidRDefault="00000000">
      <w:pPr>
        <w:numPr>
          <w:ilvl w:val="0"/>
          <w:numId w:val="17"/>
        </w:numPr>
        <w:spacing w:after="240"/>
      </w:pPr>
      <w:r>
        <w:rPr>
          <w:b/>
          <w:bCs/>
        </w:rPr>
        <w:t>Biometric Authentication Data:</w:t>
      </w:r>
      <w:r>
        <w:t xml:space="preserve"> Encrypted biometric hashes utilized specifically and exclusively for integration with the National Health Insurance Authority’s (NHIA) Biometric Membership Authentication System (BMAS) prior to the dispensation of covered care.</w:t>
      </w:r>
    </w:p>
    <w:p w14:paraId="0000001F" w14:textId="77777777" w:rsidR="003A58F5" w:rsidRDefault="00000000">
      <w:pPr>
        <w:spacing w:before="240" w:after="240"/>
      </w:pPr>
      <w:r>
        <w:rPr>
          <w:b/>
          <w:bCs/>
        </w:rPr>
        <w:t>2.3. Financial, Commercial, and Escrow Telemetry</w:t>
      </w:r>
      <w:r>
        <w:t xml:space="preserve"> To facilitate the economic viability of the Platform, administer the mandatory Platform Commission, and execute the Group Purchasing Organization (GPO) supply chain architecture, the Company necessarily processes specific financial metadata:</w:t>
      </w:r>
    </w:p>
    <w:p w14:paraId="00000020" w14:textId="77777777" w:rsidR="003A58F5" w:rsidRDefault="00000000">
      <w:pPr>
        <w:numPr>
          <w:ilvl w:val="0"/>
          <w:numId w:val="8"/>
        </w:numPr>
        <w:spacing w:before="240"/>
      </w:pPr>
      <w:r>
        <w:rPr>
          <w:b/>
          <w:bCs/>
        </w:rPr>
        <w:t>Transactional Routing Data:</w:t>
      </w:r>
      <w:r>
        <w:t xml:space="preserve"> Mobile Money (MoMo) routing identifiers, Mobile Money Network Operator metadata (e.g., MTN, Telecel, AT), and cryptographically tokenized references for interoperable card networks.</w:t>
      </w:r>
    </w:p>
    <w:p w14:paraId="00000021" w14:textId="77777777" w:rsidR="003A58F5" w:rsidRDefault="00000000">
      <w:pPr>
        <w:numPr>
          <w:ilvl w:val="0"/>
          <w:numId w:val="8"/>
        </w:numPr>
      </w:pPr>
      <w:r>
        <w:rPr>
          <w:b/>
          <w:bCs/>
        </w:rPr>
        <w:t>Escrow and Settlement Ledgers:</w:t>
      </w:r>
      <w:r>
        <w:t xml:space="preserve"> Granular audit logs detailing the remittance of Financial Assurance Deposits, digital escrow states, and the chronological sequencing of disbursement receipts to Provider wallets.</w:t>
      </w:r>
    </w:p>
    <w:p w14:paraId="00000022" w14:textId="77777777" w:rsidR="003A58F5" w:rsidRDefault="00000000">
      <w:pPr>
        <w:numPr>
          <w:ilvl w:val="0"/>
          <w:numId w:val="8"/>
        </w:numPr>
      </w:pPr>
      <w:r>
        <w:rPr>
          <w:b/>
          <w:bCs/>
        </w:rPr>
        <w:t>Statutory Tax and Insurance Data:</w:t>
      </w:r>
      <w:r>
        <w:t xml:space="preserve"> Digital Value Added Tax (VAT) receipts generated via mandatory integration with the GRA Virtual Sales Data Controller (VSDC), as well as private Health Maintenance Organization (HMO) policy numbers and benefit limits necessary to power the algorithmic "Insurance Matcher" utility.</w:t>
      </w:r>
    </w:p>
    <w:p w14:paraId="00000023" w14:textId="77777777" w:rsidR="003A58F5" w:rsidRDefault="00000000">
      <w:pPr>
        <w:numPr>
          <w:ilvl w:val="0"/>
          <w:numId w:val="8"/>
        </w:numPr>
        <w:spacing w:after="240"/>
      </w:pPr>
      <w:r>
        <w:rPr>
          <w:b/>
          <w:bCs/>
        </w:rPr>
        <w:t>PCI-DSS Disclaimer:</w:t>
      </w:r>
      <w:r>
        <w:t xml:space="preserve"> The Company categorically does not collect, store, or process raw, unhashed Primary Account Numbers (PAN) or Card Verification Values (CVV). All highly sensitive financial clearing data is passed instantaneously via encrypted conduits to our licensed, PCI-DSS compliant Payment Service Providers (PSPs).</w:t>
      </w:r>
    </w:p>
    <w:p w14:paraId="00000024" w14:textId="77777777" w:rsidR="003A58F5" w:rsidRDefault="00000000">
      <w:pPr>
        <w:spacing w:before="240" w:after="240"/>
      </w:pPr>
      <w:r>
        <w:rPr>
          <w:b/>
          <w:bCs/>
        </w:rPr>
        <w:t>2.4. Algorithmic, Ephemeral, and System Telemetry Data</w:t>
      </w:r>
      <w:r>
        <w:t xml:space="preserve"> To continuously optimize the Platform’s infrastructure, defend against cyber-intrusions, and power the proprietary algorithmic "Trust Engine," the Company automatically harvests specific technical telemetry:</w:t>
      </w:r>
    </w:p>
    <w:p w14:paraId="00000025" w14:textId="77777777" w:rsidR="003A58F5" w:rsidRDefault="00000000">
      <w:pPr>
        <w:numPr>
          <w:ilvl w:val="0"/>
          <w:numId w:val="23"/>
        </w:numPr>
        <w:spacing w:before="240"/>
      </w:pPr>
      <w:r>
        <w:rPr>
          <w:b/>
          <w:bCs/>
        </w:rPr>
        <w:t>Device and Network Diagnostics:</w:t>
      </w:r>
      <w:r>
        <w:t xml:space="preserve"> Internet Protocol (IP) addresses, Media Access Control (MAC) addresses, browser user-agents, operating system versions, and localized time-zone data.</w:t>
      </w:r>
    </w:p>
    <w:p w14:paraId="00000026" w14:textId="77777777" w:rsidR="003A58F5" w:rsidRDefault="00000000">
      <w:pPr>
        <w:numPr>
          <w:ilvl w:val="0"/>
          <w:numId w:val="23"/>
        </w:numPr>
      </w:pPr>
      <w:r>
        <w:rPr>
          <w:b/>
          <w:bCs/>
        </w:rPr>
        <w:lastRenderedPageBreak/>
        <w:t>Algorithmic Interaction Logs:</w:t>
      </w:r>
      <w:r>
        <w:t xml:space="preserve"> Heuristic data tracking User journey mapping, search query syntax, and UI/UX engagement metrics to detect fraudulent "ghost bookings" or algorithmic manipulation.</w:t>
      </w:r>
    </w:p>
    <w:p w14:paraId="00000027" w14:textId="77777777" w:rsidR="003A58F5" w:rsidRDefault="00000000">
      <w:pPr>
        <w:numPr>
          <w:ilvl w:val="0"/>
          <w:numId w:val="23"/>
        </w:numPr>
      </w:pPr>
      <w:r>
        <w:rPr>
          <w:b/>
          <w:bCs/>
        </w:rPr>
        <w:t>Telemedicine Metadata (Strictly Non-Clinical):</w:t>
      </w:r>
      <w:r>
        <w:t xml:space="preserve"> Call duration, timestamps of connection and disconnection, routing node pathways, and bandwidth utilization.</w:t>
      </w:r>
    </w:p>
    <w:p w14:paraId="00000028" w14:textId="77777777" w:rsidR="003A58F5" w:rsidRDefault="00000000">
      <w:pPr>
        <w:numPr>
          <w:ilvl w:val="0"/>
          <w:numId w:val="23"/>
        </w:numPr>
        <w:spacing w:after="240"/>
      </w:pPr>
      <w:r>
        <w:rPr>
          <w:b/>
          <w:bCs/>
        </w:rPr>
        <w:t>The Ephemeral Guarantee:</w:t>
      </w:r>
      <w:r>
        <w:t xml:space="preserve"> As unequivocally stipulated in the Terms of Use, the actual audio and video data streams generated during virtual consultations are strictly ephemerally routed via secure WebRTC protocols. They are structurally immune from being recorded, transcribed, or archived by the Company absent the explicit, mutually recorded verbal consent mandated under the Electronic Transactions Act, 2008 (Act 772).</w:t>
      </w:r>
    </w:p>
    <w:p w14:paraId="00000029" w14:textId="77777777" w:rsidR="003A58F5" w:rsidRDefault="003A58F5"/>
    <w:p w14:paraId="0000002A" w14:textId="77777777" w:rsidR="003A58F5" w:rsidRDefault="003A58F5"/>
    <w:p w14:paraId="0000002B" w14:textId="77777777" w:rsidR="003A58F5" w:rsidRDefault="003A58F5"/>
    <w:p w14:paraId="0000002C" w14:textId="77777777" w:rsidR="003A58F5" w:rsidRDefault="003A58F5"/>
    <w:p w14:paraId="0000002D" w14:textId="77777777" w:rsidR="003A58F5" w:rsidRDefault="003A58F5"/>
    <w:p w14:paraId="0000002E" w14:textId="77777777" w:rsidR="003A58F5" w:rsidRDefault="003A58F5"/>
    <w:p w14:paraId="0000002F" w14:textId="77777777" w:rsidR="003A58F5" w:rsidRDefault="003A58F5"/>
    <w:p w14:paraId="00000030" w14:textId="77777777" w:rsidR="003A58F5" w:rsidRDefault="003A58F5"/>
    <w:p w14:paraId="00000031" w14:textId="77777777" w:rsidR="003A58F5" w:rsidRDefault="003A58F5"/>
    <w:p w14:paraId="00000032" w14:textId="77777777" w:rsidR="003A58F5" w:rsidRDefault="003A58F5"/>
    <w:p w14:paraId="00000033" w14:textId="77777777" w:rsidR="003A58F5" w:rsidRDefault="003A58F5"/>
    <w:p w14:paraId="00000034" w14:textId="77777777" w:rsidR="003A58F5" w:rsidRDefault="003A58F5"/>
    <w:p w14:paraId="00000035" w14:textId="77777777" w:rsidR="003A58F5" w:rsidRDefault="003A58F5"/>
    <w:p w14:paraId="00000036" w14:textId="77777777" w:rsidR="003A58F5" w:rsidRDefault="003A58F5"/>
    <w:p w14:paraId="00000037" w14:textId="77777777" w:rsidR="003A58F5" w:rsidRDefault="003A58F5"/>
    <w:p w14:paraId="00000038" w14:textId="77777777" w:rsidR="003A58F5" w:rsidRDefault="003A58F5"/>
    <w:p w14:paraId="00000039" w14:textId="77777777" w:rsidR="003A58F5" w:rsidRDefault="003A58F5"/>
    <w:p w14:paraId="0000003A" w14:textId="77777777" w:rsidR="003A58F5" w:rsidRDefault="003A58F5"/>
    <w:p w14:paraId="0000003B" w14:textId="77777777" w:rsidR="003A58F5" w:rsidRDefault="003A58F5"/>
    <w:p w14:paraId="0000003C" w14:textId="77777777" w:rsidR="003A58F5" w:rsidRDefault="003A58F5"/>
    <w:p w14:paraId="0000003D" w14:textId="77777777" w:rsidR="003A58F5" w:rsidRDefault="003A58F5"/>
    <w:p w14:paraId="0000003E" w14:textId="77777777" w:rsidR="003A58F5" w:rsidRDefault="003A58F5"/>
    <w:p w14:paraId="0000003F" w14:textId="77777777" w:rsidR="003A58F5" w:rsidRDefault="003A58F5"/>
    <w:p w14:paraId="00000040" w14:textId="77777777" w:rsidR="003A58F5" w:rsidRDefault="003A58F5"/>
    <w:p w14:paraId="00000041" w14:textId="77777777" w:rsidR="003A58F5" w:rsidRDefault="003A58F5"/>
    <w:p w14:paraId="00000042" w14:textId="77777777" w:rsidR="003A58F5" w:rsidRDefault="003A58F5"/>
    <w:p w14:paraId="00000043" w14:textId="77777777" w:rsidR="003A58F5" w:rsidRDefault="00000000">
      <w:pPr>
        <w:spacing w:before="240" w:after="240"/>
        <w:rPr>
          <w:b/>
          <w:bCs/>
        </w:rPr>
      </w:pPr>
      <w:r>
        <w:rPr>
          <w:b/>
          <w:bCs/>
        </w:rPr>
        <w:t>3. LAWFUL BASIS FOR PROCESSING AND STATUTORY JUSTIFICATION</w:t>
      </w:r>
    </w:p>
    <w:p w14:paraId="00000044" w14:textId="77777777" w:rsidR="003A58F5" w:rsidRDefault="00000000">
      <w:pPr>
        <w:spacing w:before="240" w:after="240"/>
      </w:pPr>
      <w:r>
        <w:t>To strictly satisfy the legality mandates enshrined within Section 18 of the Data Protection Act, 2012 (Act 843), the Company strictly processes the aforementioned data categories predicated upon one or more of the following legally cognizable bases:</w:t>
      </w:r>
    </w:p>
    <w:p w14:paraId="00000045" w14:textId="77777777" w:rsidR="003A58F5" w:rsidRDefault="00000000">
      <w:pPr>
        <w:spacing w:before="240" w:after="240"/>
      </w:pPr>
      <w:r>
        <w:rPr>
          <w:b/>
          <w:bCs/>
        </w:rPr>
        <w:lastRenderedPageBreak/>
        <w:t>3.1. Explicit and Informed Consent (The Primary Directive for Health Data)</w:t>
      </w:r>
      <w:r>
        <w:t xml:space="preserve"> The processing, storage, and transmission of all Special Personal Data (including the Relational Health Memory and biometric identifiers) is strictly anchored upon the User’s explicit, freely given, specific, and informed digital consent.</w:t>
      </w:r>
    </w:p>
    <w:p w14:paraId="00000046" w14:textId="77777777" w:rsidR="003A58F5" w:rsidRDefault="00000000">
      <w:pPr>
        <w:numPr>
          <w:ilvl w:val="0"/>
          <w:numId w:val="27"/>
        </w:numPr>
        <w:spacing w:before="240" w:after="240"/>
      </w:pPr>
      <w:r>
        <w:rPr>
          <w:b/>
          <w:bCs/>
        </w:rPr>
        <w:t>Revocability:</w:t>
      </w:r>
      <w:r>
        <w:t xml:space="preserve"> The Data Subject retains the absolute statutory right to withdraw this consent at any juncture. However, the User acknowledges that the revocation of consent regarding Special Personal Data will instantaneously render the clinical and telemedicine utilities of the Platform technically inoperable for that specific User.</w:t>
      </w:r>
    </w:p>
    <w:p w14:paraId="00000047" w14:textId="77777777" w:rsidR="003A58F5" w:rsidRDefault="00000000">
      <w:pPr>
        <w:spacing w:before="240" w:after="240"/>
      </w:pPr>
      <w:r>
        <w:rPr>
          <w:b/>
          <w:bCs/>
        </w:rPr>
        <w:t>3.2. Contractual Necessity and Execution</w:t>
      </w:r>
      <w:r>
        <w:t xml:space="preserve"> The ingestion and processing of Standard PII and Financial Telemetry are strictly necessary for the execution and performance of the legally binding Terms of Use to which the User or Healthcare Provider is a party. This includes:</w:t>
      </w:r>
    </w:p>
    <w:p w14:paraId="00000048" w14:textId="77777777" w:rsidR="003A58F5" w:rsidRDefault="00000000">
      <w:pPr>
        <w:numPr>
          <w:ilvl w:val="0"/>
          <w:numId w:val="24"/>
        </w:numPr>
        <w:spacing w:before="240"/>
      </w:pPr>
      <w:r>
        <w:t>Provisioning user accounts and verifying professional credentials.</w:t>
      </w:r>
    </w:p>
    <w:p w14:paraId="00000049" w14:textId="77777777" w:rsidR="003A58F5" w:rsidRDefault="00000000">
      <w:pPr>
        <w:numPr>
          <w:ilvl w:val="0"/>
          <w:numId w:val="24"/>
        </w:numPr>
      </w:pPr>
      <w:r>
        <w:t>Executing digital scheduling, algorithmic routing, and capacity management.</w:t>
      </w:r>
    </w:p>
    <w:p w14:paraId="0000004A" w14:textId="77777777" w:rsidR="003A58F5" w:rsidRDefault="00000000">
      <w:pPr>
        <w:numPr>
          <w:ilvl w:val="0"/>
          <w:numId w:val="24"/>
        </w:numPr>
        <w:spacing w:after="240"/>
      </w:pPr>
      <w:r>
        <w:t>Facilitating collective bargaining and procurement via the GPO marketplace.</w:t>
      </w:r>
    </w:p>
    <w:p w14:paraId="0000004B" w14:textId="77777777" w:rsidR="003A58F5" w:rsidRDefault="00000000">
      <w:pPr>
        <w:spacing w:before="240" w:after="240"/>
      </w:pPr>
      <w:r>
        <w:rPr>
          <w:b/>
          <w:bCs/>
        </w:rPr>
        <w:t>3.3. Statutory and Regulatory Legal Obligations</w:t>
      </w:r>
      <w:r>
        <w:t xml:space="preserve"> The Company is compelled by superior statutory law to process and retain specific datasets, superseding the immediate consent of the Data Subject. This includes:</w:t>
      </w:r>
    </w:p>
    <w:p w14:paraId="0000004C" w14:textId="77777777" w:rsidR="003A58F5" w:rsidRDefault="00000000">
      <w:pPr>
        <w:numPr>
          <w:ilvl w:val="0"/>
          <w:numId w:val="2"/>
        </w:numPr>
        <w:spacing w:before="240"/>
      </w:pPr>
      <w:r>
        <w:rPr>
          <w:b/>
          <w:bCs/>
        </w:rPr>
        <w:t>Fiscal Compliance:</w:t>
      </w:r>
      <w:r>
        <w:t xml:space="preserve"> Retaining transactional ledgers and digital VAT receipts to satisfy the audit mandates of the Ghana Revenue Authority (GRA) under the Value Added Tax Act, 2025.</w:t>
      </w:r>
    </w:p>
    <w:p w14:paraId="0000004D" w14:textId="77777777" w:rsidR="003A58F5" w:rsidRDefault="00000000">
      <w:pPr>
        <w:numPr>
          <w:ilvl w:val="0"/>
          <w:numId w:val="2"/>
        </w:numPr>
        <w:spacing w:after="240"/>
      </w:pPr>
      <w:r>
        <w:rPr>
          <w:b/>
          <w:bCs/>
        </w:rPr>
        <w:t>Clinical Credentialing:</w:t>
      </w:r>
      <w:r>
        <w:t xml:space="preserve"> Logging and retaining the verified credential numbers and audit trails of Independent Doctors to comply with the investigative mandates of the Medical and Dental Council (MDC) and the Health Facilities Regulatory Agency (HeFRA).</w:t>
      </w:r>
    </w:p>
    <w:p w14:paraId="0000004E" w14:textId="77777777" w:rsidR="003A58F5" w:rsidRDefault="00000000">
      <w:pPr>
        <w:spacing w:before="240" w:after="240"/>
      </w:pPr>
      <w:r>
        <w:rPr>
          <w:b/>
          <w:bCs/>
        </w:rPr>
        <w:t>3.4. Legitimate Corporate Interests (Proportionality Doctrine)</w:t>
      </w:r>
      <w:r>
        <w:t xml:space="preserve"> The Company processes specific subsets of Algorithmic and System Telemetry based on its legitimate commercial and security interests, provided such interests are not overridden by the fundamental privacy rights of the Data Subject. These interests are strictly confined to:</w:t>
      </w:r>
    </w:p>
    <w:p w14:paraId="0000004F" w14:textId="77777777" w:rsidR="003A58F5" w:rsidRDefault="00000000">
      <w:pPr>
        <w:numPr>
          <w:ilvl w:val="0"/>
          <w:numId w:val="1"/>
        </w:numPr>
        <w:spacing w:before="240"/>
      </w:pPr>
      <w:r>
        <w:t>Deploying cybersecurity countermeasures against algorithmic manipulation, DDoS attacks, and unauthorized network intrusions.</w:t>
      </w:r>
    </w:p>
    <w:p w14:paraId="00000050" w14:textId="77777777" w:rsidR="003A58F5" w:rsidRDefault="00000000">
      <w:pPr>
        <w:numPr>
          <w:ilvl w:val="0"/>
          <w:numId w:val="1"/>
        </w:numPr>
      </w:pPr>
      <w:r>
        <w:t>Optimizing the latency and operational efficiency of the Platform’s infrastructure.</w:t>
      </w:r>
    </w:p>
    <w:p w14:paraId="00000051" w14:textId="77777777" w:rsidR="003A58F5" w:rsidRDefault="00000000">
      <w:pPr>
        <w:numPr>
          <w:ilvl w:val="0"/>
          <w:numId w:val="1"/>
        </w:numPr>
        <w:spacing w:after="240"/>
      </w:pPr>
      <w:r>
        <w:t>Operating the "Trust Engine" to ensure the qualitative integrity of the clinical marketplace.</w:t>
      </w:r>
    </w:p>
    <w:p w14:paraId="00000052" w14:textId="77777777" w:rsidR="003A58F5" w:rsidRDefault="00D37704">
      <w:r>
        <w:rPr>
          <w:noProof/>
        </w:rPr>
      </w:r>
      <w:r>
        <w:pict w14:anchorId="5C2050F5">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53" w14:textId="77777777" w:rsidR="003A58F5" w:rsidRDefault="00000000">
      <w:pPr>
        <w:spacing w:before="240" w:after="240"/>
        <w:rPr>
          <w:b/>
          <w:bCs/>
        </w:rPr>
      </w:pPr>
      <w:r>
        <w:rPr>
          <w:b/>
          <w:bCs/>
        </w:rPr>
        <w:t>4. CLINICAL DATA GOVERNANCE: THE "RELATIONAL HEALTH MEMORY"</w:t>
      </w:r>
    </w:p>
    <w:p w14:paraId="00000054" w14:textId="77777777" w:rsidR="003A58F5" w:rsidRDefault="00000000">
      <w:pPr>
        <w:spacing w:before="240" w:after="240"/>
      </w:pPr>
      <w:r>
        <w:rPr>
          <w:b/>
          <w:bCs/>
        </w:rPr>
        <w:t>4.1. The Zero-Knowledge Architectural Paradigm</w:t>
      </w:r>
      <w:r>
        <w:t xml:space="preserve"> The "Relational Health Memory" is engineered upon a foundational "zero-knowledge" architectural principle.</w:t>
      </w:r>
    </w:p>
    <w:p w14:paraId="00000055" w14:textId="77777777" w:rsidR="003A58F5" w:rsidRDefault="00000000">
      <w:pPr>
        <w:numPr>
          <w:ilvl w:val="0"/>
          <w:numId w:val="26"/>
        </w:numPr>
        <w:spacing w:before="240"/>
      </w:pPr>
      <w:r>
        <w:rPr>
          <w:b/>
          <w:bCs/>
        </w:rPr>
        <w:lastRenderedPageBreak/>
        <w:t>Cryptographic Isolation:</w:t>
      </w:r>
      <w:r>
        <w:t xml:space="preserve"> All longitudinal health informatics, diagnostic imaging, and physician notes are encrypted at rest using Advanced Encryption Standard with a 256-bit key size (AES-256).</w:t>
      </w:r>
    </w:p>
    <w:p w14:paraId="00000056" w14:textId="77777777" w:rsidR="003A58F5" w:rsidRDefault="00000000">
      <w:pPr>
        <w:numPr>
          <w:ilvl w:val="0"/>
          <w:numId w:val="26"/>
        </w:numPr>
        <w:spacing w:after="240"/>
      </w:pPr>
      <w:r>
        <w:rPr>
          <w:b/>
          <w:bCs/>
        </w:rPr>
        <w:t>Custodian Limitation:</w:t>
      </w:r>
      <w:r>
        <w:t xml:space="preserve"> Fornix Labs acts exclusively as the secure cryptographic custodian. The Company’s administrative personnel, database administrators, and executive officers do not possess the decryption keys necessary to parse, read, or commercially exploit an individual Patient's medical history.</w:t>
      </w:r>
    </w:p>
    <w:p w14:paraId="00000057" w14:textId="77777777" w:rsidR="003A58F5" w:rsidRDefault="00000000">
      <w:pPr>
        <w:spacing w:before="240" w:after="240"/>
      </w:pPr>
      <w:r>
        <w:rPr>
          <w:b/>
          <w:bCs/>
        </w:rPr>
        <w:t>4.2. Time-Bound "Consent Grants" and Access Control</w:t>
      </w:r>
      <w:r>
        <w:t xml:space="preserve"> The legal premise of the Platform is absolute Patient data sovereignty. No Healthcare Provider may query, view, or append data to a Patient’s Relational Health Memory by default.</w:t>
      </w:r>
    </w:p>
    <w:p w14:paraId="00000058" w14:textId="77777777" w:rsidR="003A58F5" w:rsidRDefault="00000000">
      <w:pPr>
        <w:numPr>
          <w:ilvl w:val="0"/>
          <w:numId w:val="13"/>
        </w:numPr>
        <w:spacing w:before="240"/>
      </w:pPr>
      <w:r>
        <w:rPr>
          <w:b/>
          <w:bCs/>
        </w:rPr>
        <w:t>The Grant Mechanism:</w:t>
      </w:r>
      <w:r>
        <w:t xml:space="preserve"> Access is strictly mediated via a digital "Consent Grant" executed by the Patient. This grant cryptographically provisions the specific Independent Doctor or Partner Hospital with temporary decryption access.</w:t>
      </w:r>
    </w:p>
    <w:p w14:paraId="00000059" w14:textId="77777777" w:rsidR="003A58F5" w:rsidRDefault="00000000">
      <w:pPr>
        <w:numPr>
          <w:ilvl w:val="0"/>
          <w:numId w:val="13"/>
        </w:numPr>
        <w:spacing w:after="240"/>
      </w:pPr>
      <w:r>
        <w:rPr>
          <w:b/>
          <w:bCs/>
        </w:rPr>
        <w:t>Temporal Expiration:</w:t>
      </w:r>
      <w:r>
        <w:t xml:space="preserve"> All Consent Grants are strictly time-bound (e.g., active only for the 24-hour window surrounding a scheduled consultation) and automatically expire, instantaneously revoking the Provider's access to the historical longitudinal record.</w:t>
      </w:r>
    </w:p>
    <w:p w14:paraId="0000005A" w14:textId="77777777" w:rsidR="003A58F5" w:rsidRDefault="00000000">
      <w:pPr>
        <w:spacing w:before="240" w:after="240"/>
      </w:pPr>
      <w:r>
        <w:rPr>
          <w:b/>
          <w:bCs/>
        </w:rPr>
        <w:t>4.3. Virtual Care and Telemedicine Privacy Protocols</w:t>
      </w:r>
      <w:r>
        <w:t xml:space="preserve"> In addition to the ephemeral routing protocols outlined in Section 2.4, the Platform deploys peer-to-peer (P2P) WebRTC encryption for all synchronous audio-visual Telemedicine encounters. This ensures that the clinical dialogue between the Patient and the Independent Doctor is end-to-end encrypted (E2EE) and immune to middlebox interception or unauthorized packet sniffing by the Company or third-party telecommunications networks.</w:t>
      </w:r>
    </w:p>
    <w:p w14:paraId="0000005B" w14:textId="77777777" w:rsidR="003A58F5" w:rsidRDefault="00000000">
      <w:pPr>
        <w:spacing w:before="240" w:after="240"/>
      </w:pPr>
      <w:r>
        <w:rPr>
          <w:b/>
          <w:bCs/>
        </w:rPr>
        <w:t>4.4. Artificial Intelligence (AI) and the "Human-in-the-Loop" Mandate</w:t>
      </w:r>
      <w:r>
        <w:t xml:space="preserve"> Where the Platform utilizes Large Language Models (LLMs) or algorithmic heuristics to synthesize, chronologically order, or summarize a Patient's historical data for the rapid administrative review of an Independent Doctor:</w:t>
      </w:r>
    </w:p>
    <w:p w14:paraId="0000005C" w14:textId="77777777" w:rsidR="003A58F5" w:rsidRDefault="00000000">
      <w:pPr>
        <w:numPr>
          <w:ilvl w:val="0"/>
          <w:numId w:val="5"/>
        </w:numPr>
        <w:spacing w:before="240"/>
      </w:pPr>
      <w:r>
        <w:rPr>
          <w:b/>
          <w:bCs/>
        </w:rPr>
        <w:t>Ephemeral Processing:</w:t>
      </w:r>
      <w:r>
        <w:t xml:space="preserve"> The AI processing occurs within a secure, ephemeral enclave. The AI models do not retain the Patient’s Special Personal Data for subsequent model training or algorithmic reinforcement.</w:t>
      </w:r>
    </w:p>
    <w:p w14:paraId="0000005D" w14:textId="77777777" w:rsidR="003A58F5" w:rsidRDefault="00000000">
      <w:pPr>
        <w:numPr>
          <w:ilvl w:val="0"/>
          <w:numId w:val="5"/>
        </w:numPr>
        <w:spacing w:after="240"/>
      </w:pPr>
      <w:r>
        <w:rPr>
          <w:b/>
          <w:bCs/>
        </w:rPr>
        <w:t>Diagnostic Prohibition:</w:t>
      </w:r>
      <w:r>
        <w:t xml:space="preserve"> The AI outputs are strictly legally classified as administrative decision-support tools. They are structurally prohibited from generating autonomous diagnostic conclusions, ensuring absolute compliance with the "Human-in-the-Loop" (HITL) clinical oversight mandates.</w:t>
      </w:r>
    </w:p>
    <w:p w14:paraId="0000005E" w14:textId="77777777" w:rsidR="003A58F5" w:rsidRDefault="003A58F5"/>
    <w:p w14:paraId="0000005F" w14:textId="77777777" w:rsidR="003A58F5" w:rsidRDefault="003A58F5"/>
    <w:p w14:paraId="00000060" w14:textId="77777777" w:rsidR="003A58F5" w:rsidRDefault="003A58F5"/>
    <w:p w14:paraId="00000061" w14:textId="77777777" w:rsidR="003A58F5" w:rsidRDefault="003A58F5"/>
    <w:p w14:paraId="00000062" w14:textId="77777777" w:rsidR="003A58F5" w:rsidRDefault="003A58F5"/>
    <w:p w14:paraId="00000063" w14:textId="77777777" w:rsidR="003A58F5" w:rsidRDefault="003A58F5"/>
    <w:p w14:paraId="00000064" w14:textId="77777777" w:rsidR="003A58F5" w:rsidRDefault="00000000">
      <w:pPr>
        <w:spacing w:before="240" w:after="240"/>
        <w:rPr>
          <w:b/>
          <w:bCs/>
        </w:rPr>
      </w:pPr>
      <w:r>
        <w:rPr>
          <w:b/>
          <w:bCs/>
        </w:rPr>
        <w:lastRenderedPageBreak/>
        <w:t>5. AUTHORIZED THIRD-PARTY DISCLOSURES AND DATA SYNDICATION</w:t>
      </w:r>
    </w:p>
    <w:p w14:paraId="00000065" w14:textId="77777777" w:rsidR="003A58F5" w:rsidRDefault="00000000">
      <w:pPr>
        <w:spacing w:before="240" w:after="240"/>
      </w:pPr>
      <w:r>
        <w:t>The Company fundamentally operates upon the principle of data minimization and strict non-disclosure. We categorically do not sell, rent, or indiscriminately syndicate standard PII or Special Personal Data to unauthorized third-party data brokers or marketing conglomerates. Disclosures are strictly compartmentalized and executed solely under the following operational and legal mandates:</w:t>
      </w:r>
    </w:p>
    <w:p w14:paraId="00000066" w14:textId="77777777" w:rsidR="003A58F5" w:rsidRDefault="00000000">
      <w:pPr>
        <w:spacing w:before="240" w:after="240"/>
      </w:pPr>
      <w:r>
        <w:rPr>
          <w:b/>
          <w:bCs/>
        </w:rPr>
        <w:t>5.1. Clinical Interoperability (The "Consent Grant" Execution)</w:t>
      </w:r>
      <w:r>
        <w:t xml:space="preserve"> The primary mechanism for the disclosure of Special Personal Data (specifically, the Relational Health Memory) is executed intrinsically through the Platform's architecture to facilitate clinical care.</w:t>
      </w:r>
    </w:p>
    <w:p w14:paraId="00000067" w14:textId="77777777" w:rsidR="003A58F5" w:rsidRDefault="00000000">
      <w:pPr>
        <w:numPr>
          <w:ilvl w:val="0"/>
          <w:numId w:val="20"/>
        </w:numPr>
        <w:spacing w:before="240"/>
      </w:pPr>
      <w:r>
        <w:rPr>
          <w:b/>
          <w:bCs/>
        </w:rPr>
        <w:t>Patient-Directed Syndication:</w:t>
      </w:r>
      <w:r>
        <w:t xml:space="preserve"> Data is disclosed to a specific Independent Doctor, Partner Hospital, or Fornix Guild House exclusively when the User actively executes a time-bound "Consent Grant" in anticipation of, or during, a clinical encounter.</w:t>
      </w:r>
    </w:p>
    <w:p w14:paraId="00000068" w14:textId="77777777" w:rsidR="003A58F5" w:rsidRDefault="00000000">
      <w:pPr>
        <w:numPr>
          <w:ilvl w:val="0"/>
          <w:numId w:val="20"/>
        </w:numPr>
        <w:spacing w:after="240"/>
      </w:pPr>
      <w:r>
        <w:rPr>
          <w:b/>
          <w:bCs/>
        </w:rPr>
        <w:t>Limitation of Scope:</w:t>
      </w:r>
      <w:r>
        <w:t xml:space="preserve"> The Healthcare Provider receiving this data operates strictly as an independent Data Controller regarding their clinical use of the information and is legally bound by the professional confidentiality dictates of the Medical and Dental Council (MDC).</w:t>
      </w:r>
    </w:p>
    <w:p w14:paraId="00000069" w14:textId="77777777" w:rsidR="003A58F5" w:rsidRDefault="00000000">
      <w:pPr>
        <w:spacing w:before="240" w:after="240"/>
      </w:pPr>
      <w:r>
        <w:rPr>
          <w:b/>
          <w:bCs/>
        </w:rPr>
        <w:t>5.2. The GPO Ecosystem and "Just-In-Time" (JIT) Anonymization</w:t>
      </w:r>
      <w:r>
        <w:t xml:space="preserve"> To power the collective bargaining utility of the Group Purchasing Organization (GPO) and facilitate efficient, Just-In-Time (JIT) medical inventory management across the provider network, the Company must interface with third-party pharmaceutical and medical consumable suppliers.</w:t>
      </w:r>
    </w:p>
    <w:p w14:paraId="0000006A" w14:textId="77777777" w:rsidR="003A58F5" w:rsidRDefault="00000000">
      <w:pPr>
        <w:numPr>
          <w:ilvl w:val="0"/>
          <w:numId w:val="14"/>
        </w:numPr>
        <w:spacing w:before="240"/>
      </w:pPr>
      <w:r>
        <w:rPr>
          <w:b/>
          <w:bCs/>
        </w:rPr>
        <w:t>Cryptographic Aggregation:</w:t>
      </w:r>
      <w:r>
        <w:t xml:space="preserve"> All data syndicated to the GPO marketplace or external suppliers is rigorously aggregated, mathematically obfuscated, and cryptographically anonymized.</w:t>
      </w:r>
    </w:p>
    <w:p w14:paraId="0000006B" w14:textId="77777777" w:rsidR="003A58F5" w:rsidRDefault="00000000">
      <w:pPr>
        <w:numPr>
          <w:ilvl w:val="0"/>
          <w:numId w:val="14"/>
        </w:numPr>
        <w:spacing w:after="240"/>
      </w:pPr>
      <w:r>
        <w:rPr>
          <w:b/>
          <w:bCs/>
        </w:rPr>
        <w:t>Absolute PII Firewall:</w:t>
      </w:r>
      <w:r>
        <w:t xml:space="preserve"> Suppliers receive macro-level procurement volume telemetry and inventory forecasting algorithms. Under no circumstances is patient-level Special Personal Data, clinical diagnoses, or identifying PII ever exposed to the supply chain.</w:t>
      </w:r>
    </w:p>
    <w:p w14:paraId="0000006C" w14:textId="77777777" w:rsidR="003A58F5" w:rsidRDefault="00000000">
      <w:pPr>
        <w:spacing w:before="240" w:after="240"/>
      </w:pPr>
      <w:r>
        <w:rPr>
          <w:b/>
          <w:bCs/>
        </w:rPr>
        <w:t>5.3. Actuarial and Insurance Routing (APIs)</w:t>
      </w:r>
      <w:r>
        <w:t xml:space="preserve"> To execute the algorithmic "Insurance Matcher" and facilitate seamless benefit verification, the Company transmits highly restricted, pre-authorized data packets to statutory and private insurers.</w:t>
      </w:r>
    </w:p>
    <w:p w14:paraId="0000006D" w14:textId="77777777" w:rsidR="003A58F5" w:rsidRDefault="00000000">
      <w:pPr>
        <w:numPr>
          <w:ilvl w:val="0"/>
          <w:numId w:val="4"/>
        </w:numPr>
        <w:spacing w:before="240"/>
      </w:pPr>
      <w:r>
        <w:rPr>
          <w:b/>
          <w:bCs/>
        </w:rPr>
        <w:t>NHIA Integration:</w:t>
      </w:r>
      <w:r>
        <w:t xml:space="preserve"> For Users invoking public benefits, encrypted biometric hashes and basic demographic identifiers are transmitted directly to the National Health Insurance Authority’s (NHIA) Biometric Membership Authentication System (BMAS).</w:t>
      </w:r>
    </w:p>
    <w:p w14:paraId="0000006E" w14:textId="77777777" w:rsidR="003A58F5" w:rsidRDefault="00000000">
      <w:pPr>
        <w:numPr>
          <w:ilvl w:val="0"/>
          <w:numId w:val="4"/>
        </w:numPr>
        <w:spacing w:after="240"/>
      </w:pPr>
      <w:r>
        <w:rPr>
          <w:b/>
          <w:bCs/>
        </w:rPr>
        <w:t>Private HMOs:</w:t>
      </w:r>
      <w:r>
        <w:t xml:space="preserve"> For commercial insurance, policy numbers and procedure codes are transmitted via secure APIs to regulated Health Maintenance Organizations to confirm active coverage and benefit thresholds prior to the clinical encounter.</w:t>
      </w:r>
    </w:p>
    <w:p w14:paraId="0000006F" w14:textId="77777777" w:rsidR="003A58F5" w:rsidRDefault="00000000">
      <w:pPr>
        <w:spacing w:before="240" w:after="240"/>
      </w:pPr>
      <w:r>
        <w:rPr>
          <w:b/>
          <w:bCs/>
        </w:rPr>
        <w:t>5.4. Statutory Subpoenas, Law Enforcement, and "The Shield Clause"</w:t>
      </w:r>
      <w:r>
        <w:t xml:space="preserve"> The Company recognizes its civic duty but fiercely protects the constitutional privacy rights of its Users against unwarranted state intrusion.</w:t>
      </w:r>
    </w:p>
    <w:p w14:paraId="00000070" w14:textId="77777777" w:rsidR="003A58F5" w:rsidRDefault="00000000">
      <w:pPr>
        <w:numPr>
          <w:ilvl w:val="0"/>
          <w:numId w:val="16"/>
        </w:numPr>
        <w:spacing w:before="240"/>
      </w:pPr>
      <w:r>
        <w:rPr>
          <w:b/>
          <w:bCs/>
        </w:rPr>
        <w:lastRenderedPageBreak/>
        <w:t>Strict Legal Threshold:</w:t>
      </w:r>
      <w:r>
        <w:t xml:space="preserve"> Fornix Labs will not voluntarily surrender PII, financial ledgers, or the Relational Health Memory to any law enforcement agency, including the Criminal Investigations Department (CID) or the Economic and Organised Crime Office (EOCO), absent a formally executed, judicially binding warrant or subpoena issued by a Ghanaian Court of competent jurisdiction.</w:t>
      </w:r>
    </w:p>
    <w:p w14:paraId="00000071" w14:textId="77777777" w:rsidR="003A58F5" w:rsidRDefault="00000000">
      <w:pPr>
        <w:numPr>
          <w:ilvl w:val="0"/>
          <w:numId w:val="16"/>
        </w:numPr>
        <w:spacing w:after="240"/>
      </w:pPr>
      <w:r>
        <w:rPr>
          <w:b/>
          <w:bCs/>
        </w:rPr>
        <w:t>Notification Precedent:</w:t>
      </w:r>
      <w:r>
        <w:t xml:space="preserve"> Unless explicitly gagged by a lawful court order, the Company covenants to deploy commercial best efforts to notify the affected Data Subject of the legal demand prior to the surrender of any digital assets, affording the User the opportunity to seek independent legal quashal.</w:t>
      </w:r>
    </w:p>
    <w:p w14:paraId="00000072" w14:textId="77777777" w:rsidR="003A58F5" w:rsidRDefault="003A58F5"/>
    <w:p w14:paraId="00000073" w14:textId="77777777" w:rsidR="003A58F5" w:rsidRDefault="00000000">
      <w:pPr>
        <w:rPr>
          <w:b/>
          <w:bCs/>
        </w:rPr>
      </w:pPr>
      <w:r>
        <w:rPr>
          <w:b/>
          <w:bCs/>
        </w:rPr>
        <w:t>6. CROSS-BORDER DATA TRANSFERS AND CLOUD SOVEREIGNTY</w:t>
      </w:r>
    </w:p>
    <w:p w14:paraId="00000074" w14:textId="77777777" w:rsidR="003A58F5" w:rsidRDefault="00000000">
      <w:pPr>
        <w:spacing w:before="240" w:after="240"/>
      </w:pPr>
      <w:r>
        <w:rPr>
          <w:b/>
          <w:bCs/>
        </w:rPr>
        <w:t>6.1. Trans-National Cloud Infrastructure</w:t>
      </w:r>
      <w:r>
        <w:t xml:space="preserve"> To guarantee 99.9% uptime, algorithmic redundancy, and military-grade disaster recovery, the Fornix Link ecosystem is deployed across decentralized, Tier-4 hyper-scale cloud environments (e.g., Amazon Web Services, Google Cloud Platform). Consequently, User data may be routed, processed, or backed up on server clusters physically domiciled outside the sovereign borders of the Republic of Ghana.</w:t>
      </w:r>
    </w:p>
    <w:p w14:paraId="00000075" w14:textId="77777777" w:rsidR="003A58F5" w:rsidRDefault="00000000">
      <w:pPr>
        <w:spacing w:before="240" w:after="240"/>
      </w:pPr>
      <w:r>
        <w:rPr>
          <w:b/>
          <w:bCs/>
        </w:rPr>
        <w:t>6.2. Act 843 Trans-Border Adequacy Compliance</w:t>
      </w:r>
      <w:r>
        <w:t xml:space="preserve"> The Company executes all cross-border data transfers in uncompromising adherence to the restrictive mandates of Section 17 and Section 73 of the Data Protection Act, 2012 (Act 843).</w:t>
      </w:r>
    </w:p>
    <w:p w14:paraId="00000076" w14:textId="77777777" w:rsidR="003A58F5" w:rsidRDefault="00000000">
      <w:pPr>
        <w:numPr>
          <w:ilvl w:val="0"/>
          <w:numId w:val="28"/>
        </w:numPr>
        <w:spacing w:before="240"/>
      </w:pPr>
      <w:r>
        <w:rPr>
          <w:b/>
          <w:bCs/>
        </w:rPr>
        <w:t>Adequacy Doctrine:</w:t>
      </w:r>
      <w:r>
        <w:t xml:space="preserve"> The Company warrants that any foreign jurisdiction hosting Fornix Labs' server instances possesses domestic data protection architectures formally recognized by the Data Protection Commission (DPC) as adequate and commensurate with Ghanaian law.</w:t>
      </w:r>
    </w:p>
    <w:p w14:paraId="00000077" w14:textId="77777777" w:rsidR="003A58F5" w:rsidRDefault="00000000">
      <w:pPr>
        <w:numPr>
          <w:ilvl w:val="0"/>
          <w:numId w:val="28"/>
        </w:numPr>
        <w:spacing w:after="240"/>
      </w:pPr>
      <w:r>
        <w:rPr>
          <w:b/>
          <w:bCs/>
        </w:rPr>
        <w:t>Standard Contractual Clauses (SCCs):</w:t>
      </w:r>
      <w:r>
        <w:t xml:space="preserve"> Where data must transit through jurisdictions lacking formal DPC adequacy rulings, the Company enforces stringent Standard Contractual Clauses (SCCs) and Data Processing Agreements (DPAs) with its cloud infrastructure providers. These legally bind the foreign processor to Ghanaian privacy standards and mandate continuous AES-256 encryption at rest and TLS 1.3 encryption in transit, ensuring the data remains cryptographically impenetrable to foreign sovereign entities.</w:t>
      </w:r>
    </w:p>
    <w:p w14:paraId="00000078" w14:textId="77777777" w:rsidR="003A58F5" w:rsidRDefault="003A58F5"/>
    <w:p w14:paraId="00000079" w14:textId="77777777" w:rsidR="003A58F5" w:rsidRDefault="003A58F5"/>
    <w:p w14:paraId="0000007A" w14:textId="77777777" w:rsidR="003A58F5" w:rsidRDefault="003A58F5"/>
    <w:p w14:paraId="0000007B" w14:textId="77777777" w:rsidR="003A58F5" w:rsidRDefault="003A58F5"/>
    <w:p w14:paraId="0000007C" w14:textId="77777777" w:rsidR="003A58F5" w:rsidRDefault="003A58F5"/>
    <w:p w14:paraId="0000007D" w14:textId="77777777" w:rsidR="003A58F5" w:rsidRDefault="003A58F5"/>
    <w:p w14:paraId="0000007E" w14:textId="77777777" w:rsidR="003A58F5" w:rsidRDefault="003A58F5"/>
    <w:p w14:paraId="0000007F" w14:textId="77777777" w:rsidR="003A58F5" w:rsidRDefault="003A58F5"/>
    <w:p w14:paraId="00000080" w14:textId="77777777" w:rsidR="003A58F5" w:rsidRDefault="003A58F5"/>
    <w:p w14:paraId="00000081" w14:textId="77777777" w:rsidR="003A58F5" w:rsidRDefault="00000000">
      <w:pPr>
        <w:spacing w:before="240" w:after="240"/>
        <w:rPr>
          <w:b/>
          <w:bCs/>
        </w:rPr>
      </w:pPr>
      <w:r>
        <w:rPr>
          <w:b/>
          <w:bCs/>
        </w:rPr>
        <w:lastRenderedPageBreak/>
        <w:t>7. DATA RETENTION, ARCHIVAL PROTOCOLS, AND STATUTORY MINIMUMS</w:t>
      </w:r>
    </w:p>
    <w:p w14:paraId="00000082" w14:textId="77777777" w:rsidR="003A58F5" w:rsidRDefault="00000000">
      <w:pPr>
        <w:spacing w:before="240" w:after="240"/>
      </w:pPr>
      <w:r>
        <w:rPr>
          <w:b/>
          <w:bCs/>
        </w:rPr>
        <w:t>7.1. The Principle of Retention Limitation</w:t>
      </w:r>
      <w:r>
        <w:t xml:space="preserve"> In strict adherence to the data minimization and retention limitation principles codified within the Data Protection Act, 2012 (Act 843), the Company covenants to retain Standard Personally Identifiable Information (PII) and Special Personal Data only for the contiguous duration necessary to fulfill the operational, clinical, and commercial purposes explicitly outlined in this Policy, or as otherwise rigidly mandated by superior statutory law.</w:t>
      </w:r>
    </w:p>
    <w:p w14:paraId="00000083" w14:textId="77777777" w:rsidR="003A58F5" w:rsidRDefault="00000000">
      <w:pPr>
        <w:spacing w:before="240" w:after="240"/>
      </w:pPr>
      <w:r>
        <w:rPr>
          <w:b/>
          <w:bCs/>
        </w:rPr>
        <w:t>7.2. Active Account and Platform Utility Retention</w:t>
      </w:r>
      <w:r>
        <w:t xml:space="preserve"> During the lifecycle of an active User or Healthcare Provider account, the Relational Health Memory and associated demographic telemetry shall be continuously retained to facilitate seamless longitudinal care, algorithmic routing, and the execution of the Group Purchasing Organization (GPO) supply chain mechanics.</w:t>
      </w:r>
    </w:p>
    <w:p w14:paraId="00000084" w14:textId="77777777" w:rsidR="003A58F5" w:rsidRDefault="00000000">
      <w:pPr>
        <w:spacing w:before="240" w:after="240"/>
      </w:pPr>
      <w:r>
        <w:rPr>
          <w:b/>
          <w:bCs/>
        </w:rPr>
        <w:t>7.3. Post-Termination and The 90-Day Statutory Export Window</w:t>
      </w:r>
      <w:r>
        <w:t xml:space="preserve"> Upon the formalized termination, suspension, or voluntary deactivation of a User’s account—and aligning with the stipulations of the Terms of Use—the Company initiates a legally mandated archival protocol:</w:t>
      </w:r>
    </w:p>
    <w:p w14:paraId="00000085" w14:textId="77777777" w:rsidR="003A58F5" w:rsidRDefault="00000000">
      <w:pPr>
        <w:numPr>
          <w:ilvl w:val="0"/>
          <w:numId w:val="12"/>
        </w:numPr>
        <w:spacing w:before="240"/>
      </w:pPr>
      <w:r>
        <w:rPr>
          <w:b/>
          <w:bCs/>
        </w:rPr>
        <w:t>The Export Grace Period:</w:t>
      </w:r>
      <w:r>
        <w:t xml:space="preserve"> The User’s encrypted Relational Health Memory shall be securely transitioned into a restricted, "read-only" archival state. This data shall remain accessible exclusively for the purpose of secure digital export and data portability for a contiguous, non-extendable period of ninety (90) calendar days.</w:t>
      </w:r>
    </w:p>
    <w:p w14:paraId="00000086" w14:textId="77777777" w:rsidR="003A58F5" w:rsidRDefault="00000000">
      <w:pPr>
        <w:numPr>
          <w:ilvl w:val="0"/>
          <w:numId w:val="12"/>
        </w:numPr>
        <w:spacing w:after="240"/>
      </w:pPr>
      <w:r>
        <w:rPr>
          <w:b/>
          <w:bCs/>
        </w:rPr>
        <w:t>Irreversible Cryptographic Destruction:</w:t>
      </w:r>
      <w:r>
        <w:t xml:space="preserve"> Upon the absolute expiration of this 90-day grace period, the Company shall execute automated, irreversible cryptographic shredding (digital obliteration) of the User’s PII and digital footprint from the active Fornix Link server clusters, subject only to the overriding clinical retention exemptions detailed in Section 7.4.</w:t>
      </w:r>
    </w:p>
    <w:p w14:paraId="00000087" w14:textId="77777777" w:rsidR="003A58F5" w:rsidRDefault="00000000">
      <w:pPr>
        <w:spacing w:before="240" w:after="240"/>
      </w:pPr>
      <w:r>
        <w:rPr>
          <w:b/>
          <w:bCs/>
        </w:rPr>
        <w:t>7.4. The Clinical Exemption: Medical Record Statutory Minimums</w:t>
      </w:r>
      <w:r>
        <w:t xml:space="preserve"> The User and the Healthcare Provider expressly acknowledge a fundamental intersection of law: a Patient's right to digital erasure does not supersede a medical practitioner's statutory and ethical duty to maintain clinical records.</w:t>
      </w:r>
    </w:p>
    <w:p w14:paraId="00000088" w14:textId="77777777" w:rsidR="003A58F5" w:rsidRDefault="00000000">
      <w:pPr>
        <w:numPr>
          <w:ilvl w:val="0"/>
          <w:numId w:val="22"/>
        </w:numPr>
        <w:spacing w:before="240"/>
      </w:pPr>
      <w:r>
        <w:rPr>
          <w:b/>
          <w:bCs/>
        </w:rPr>
        <w:t>MDC and HeFRA Mandates:</w:t>
      </w:r>
      <w:r>
        <w:t xml:space="preserve"> Independent Doctors and Partner Hospitals are legally bound by the Medical and Dental Council (MDC) and the Health Facilities Regulatory Agency (HeFRA) to retain patient medical records, diagnostic imaging, and pharmacological histories for prescribed statutory minimums (frequently extending up to ten years post-encounter, or until a minor reaches the age of majority).</w:t>
      </w:r>
    </w:p>
    <w:p w14:paraId="00000089" w14:textId="77777777" w:rsidR="003A58F5" w:rsidRDefault="00000000">
      <w:pPr>
        <w:numPr>
          <w:ilvl w:val="0"/>
          <w:numId w:val="22"/>
        </w:numPr>
        <w:spacing w:after="240"/>
      </w:pPr>
      <w:r>
        <w:rPr>
          <w:b/>
          <w:bCs/>
        </w:rPr>
        <w:t>Severability of Deletion:</w:t>
      </w:r>
      <w:r>
        <w:t xml:space="preserve"> Consequently, while the Company will obliterate the User's Fornix Link profile and PII from the general Platform architecture upon request, the specific Special Personal Data constituting the formal clinical record of a completed Telemedicine or physical encounter shall be pseudonymized, securely archived, and retained strictly to shield the Healthcare Provider against future medical malpractice litigation or regulatory audits.</w:t>
      </w:r>
    </w:p>
    <w:p w14:paraId="0000008A" w14:textId="77777777" w:rsidR="003A58F5" w:rsidRDefault="003A58F5"/>
    <w:p w14:paraId="0000008B" w14:textId="77777777" w:rsidR="003A58F5" w:rsidRDefault="003A58F5"/>
    <w:p w14:paraId="0000008C" w14:textId="77777777" w:rsidR="003A58F5" w:rsidRDefault="003A58F5">
      <w:pPr>
        <w:spacing w:before="240" w:after="240"/>
        <w:rPr>
          <w:b/>
          <w:bCs/>
        </w:rPr>
      </w:pPr>
    </w:p>
    <w:p w14:paraId="0000008D" w14:textId="77777777" w:rsidR="003A58F5" w:rsidRDefault="00000000">
      <w:pPr>
        <w:spacing w:before="240" w:after="240"/>
        <w:rPr>
          <w:b/>
          <w:bCs/>
        </w:rPr>
      </w:pPr>
      <w:r>
        <w:rPr>
          <w:b/>
          <w:bCs/>
        </w:rPr>
        <w:t>8. FUNDAMENTAL DATA SUBJECT RIGHTS AND USER EMPOWERMENT</w:t>
      </w:r>
    </w:p>
    <w:p w14:paraId="0000008E" w14:textId="77777777" w:rsidR="003A58F5" w:rsidRDefault="00000000">
      <w:pPr>
        <w:spacing w:before="240" w:after="240"/>
      </w:pPr>
      <w:r>
        <w:rPr>
          <w:b/>
          <w:bCs/>
        </w:rPr>
        <w:t>8.1. Statutory Invocation of Rights (Act 843)</w:t>
      </w:r>
      <w:r>
        <w:t xml:space="preserve"> The Company recognizes and empowers the Data Subject to exercise their fundamental rights of subject participation as enshrined under the Data Protection Act, 2012 (Act 843). These rights are actionable via formal written request to the designated Data Protection Officer (DPO).</w:t>
      </w:r>
    </w:p>
    <w:p w14:paraId="0000008F" w14:textId="77777777" w:rsidR="003A58F5" w:rsidRDefault="00000000">
      <w:pPr>
        <w:spacing w:before="240" w:after="240"/>
      </w:pPr>
      <w:r>
        <w:rPr>
          <w:b/>
          <w:bCs/>
        </w:rPr>
        <w:t>8.2. The Right of Access and Cryptographic Portability</w:t>
      </w:r>
      <w:r>
        <w:t xml:space="preserve"> The User retains the absolute right to query the Company regarding the nature, scope, and processing state of their personal data.</w:t>
      </w:r>
    </w:p>
    <w:p w14:paraId="00000090" w14:textId="77777777" w:rsidR="003A58F5" w:rsidRDefault="00000000">
      <w:pPr>
        <w:numPr>
          <w:ilvl w:val="0"/>
          <w:numId w:val="21"/>
        </w:numPr>
        <w:spacing w:before="240" w:after="240"/>
      </w:pPr>
      <w:r>
        <w:rPr>
          <w:b/>
          <w:bCs/>
        </w:rPr>
        <w:t>Interoperable Export:</w:t>
      </w:r>
      <w:r>
        <w:t xml:space="preserve"> Upon identity verification, the User may demand the transmission of their Relational Health Memory in a structured, commonly used, and machine-readable format (e.g., HL7 FHIR or encrypted JSON) to facilitate seamless porting to an alternative healthcare provider or EMR infrastructure, unencumbered by artificial technological barriers.</w:t>
      </w:r>
    </w:p>
    <w:p w14:paraId="00000091" w14:textId="77777777" w:rsidR="003A58F5" w:rsidRDefault="00000000">
      <w:pPr>
        <w:spacing w:before="240" w:after="240"/>
        <w:rPr>
          <w:i/>
          <w:iCs/>
        </w:rPr>
      </w:pPr>
      <w:r>
        <w:rPr>
          <w:b/>
          <w:bCs/>
        </w:rPr>
        <w:t>8.3. The Right to Rectification and Algorithmic Accuracy</w:t>
      </w:r>
      <w:r>
        <w:t xml:space="preserve"> The User possesses the right to mandate the immediate rectification, amendment, or completion of any inaccurate, obsolete, or misleading demographic or financial data held by the Company. </w:t>
      </w:r>
      <w:r>
        <w:rPr>
          <w:i/>
          <w:iCs/>
        </w:rPr>
        <w:t>(Note: Clinical diagnoses authored by an Independent Doctor cannot be unilaterally altered by the User; such disputes must be mediated clinically with the issuing practitioner).</w:t>
      </w:r>
    </w:p>
    <w:p w14:paraId="00000092" w14:textId="77777777" w:rsidR="003A58F5" w:rsidRDefault="00000000">
      <w:pPr>
        <w:spacing w:before="240" w:after="240"/>
      </w:pPr>
      <w:r>
        <w:rPr>
          <w:b/>
          <w:bCs/>
        </w:rPr>
        <w:t>8.4. The Right to Erasure ("The Right to Be Forgotten")</w:t>
      </w:r>
      <w:r>
        <w:t xml:space="preserve"> Subject to the severe clinical and statutory retention exemptions delineated in Section 7.4, the User holds the right to compel the Company to permanently erase their PII and dismantle their digital identity within the Fornix Labs ecosystem.</w:t>
      </w:r>
    </w:p>
    <w:p w14:paraId="00000093" w14:textId="77777777" w:rsidR="003A58F5" w:rsidRDefault="00000000">
      <w:pPr>
        <w:numPr>
          <w:ilvl w:val="0"/>
          <w:numId w:val="10"/>
        </w:numPr>
        <w:spacing w:before="240" w:after="240"/>
      </w:pPr>
      <w:r>
        <w:rPr>
          <w:b/>
          <w:bCs/>
        </w:rPr>
        <w:t>Financial Ledger Exemption:</w:t>
      </w:r>
      <w:r>
        <w:t xml:space="preserve"> The User acknowledges that transactional data linked to digital VAT receipts and MoMo escrow clearances cannot be erased, as they must be preserved to satisfy the aggressive anti-money laundering (AML) and fiscal audit mandates of the Ghana Revenue Authority (GRA) and the Bank of Ghana.</w:t>
      </w:r>
    </w:p>
    <w:p w14:paraId="00000094" w14:textId="77777777" w:rsidR="003A58F5" w:rsidRDefault="00000000">
      <w:pPr>
        <w:spacing w:before="240" w:after="240"/>
      </w:pPr>
      <w:r>
        <w:rPr>
          <w:b/>
          <w:bCs/>
        </w:rPr>
        <w:t>8.5. The Right to Withdraw Consent and Cease Processing</w:t>
      </w:r>
      <w:r>
        <w:t xml:space="preserve"> Where the lawful basis for processing is predicated entirely upon explicit consent (e.g., the execution of a "Consent Grant" for Telemedicine or access to the Relational Health Memory), the User may instantaneously revoke this consent.</w:t>
      </w:r>
    </w:p>
    <w:p w14:paraId="00000095" w14:textId="77777777" w:rsidR="003A58F5" w:rsidRDefault="00000000">
      <w:pPr>
        <w:numPr>
          <w:ilvl w:val="0"/>
          <w:numId w:val="11"/>
        </w:numPr>
        <w:spacing w:before="240" w:after="240"/>
      </w:pPr>
      <w:r>
        <w:rPr>
          <w:b/>
          <w:bCs/>
        </w:rPr>
        <w:t>Waiver of Utility:</w:t>
      </w:r>
      <w:r>
        <w:t xml:space="preserve"> The User is legally put on notice that the revocation of such consent fundamentally cripples the Platform's ability to provision clinical connectivity. Upon revocation, the Company shall immediately cease syndicating the User's data to </w:t>
      </w:r>
      <w:r>
        <w:lastRenderedPageBreak/>
        <w:t>Healthcare Providers, effectively terminating the User's capacity to receive care via the Platform.</w:t>
      </w:r>
    </w:p>
    <w:p w14:paraId="00000096" w14:textId="77777777" w:rsidR="003A58F5" w:rsidRDefault="003A58F5"/>
    <w:p w14:paraId="00000097" w14:textId="77777777" w:rsidR="003A58F5" w:rsidRDefault="003A58F5"/>
    <w:p w14:paraId="00000098" w14:textId="77777777" w:rsidR="003A58F5" w:rsidRDefault="003A58F5"/>
    <w:p w14:paraId="00000099" w14:textId="77777777" w:rsidR="003A58F5" w:rsidRDefault="003A58F5"/>
    <w:p w14:paraId="0000009A" w14:textId="77777777" w:rsidR="003A58F5" w:rsidRDefault="00000000">
      <w:pPr>
        <w:spacing w:before="240" w:after="240"/>
        <w:rPr>
          <w:b/>
          <w:bCs/>
        </w:rPr>
      </w:pPr>
      <w:r>
        <w:rPr>
          <w:b/>
          <w:bCs/>
        </w:rPr>
        <w:t>9. ALGORITHMIC GOVERNANCE, ARTIFICIAL INTELLIGENCE, AND DIGITAL TRACKING</w:t>
      </w:r>
    </w:p>
    <w:p w14:paraId="0000009B" w14:textId="77777777" w:rsidR="003A58F5" w:rsidRDefault="00000000">
      <w:pPr>
        <w:spacing w:before="240" w:after="240"/>
      </w:pPr>
      <w:r>
        <w:rPr>
          <w:b/>
          <w:bCs/>
        </w:rPr>
        <w:t>9.1. Artificial Intelligence and the "Human-in-the-Loop" (HITL) Doctrine</w:t>
      </w:r>
      <w:r>
        <w:t xml:space="preserve"> In the deployment of machine learning algorithms, Large Language Models (LLMs), or proprietary diagnostic routing agents (including any AI interactions designated under the "Zyptyk" cognitive architecture), the Company imposes a strict, immutable "Human-in-the-Loop" (HITL) regulatory framework.</w:t>
      </w:r>
    </w:p>
    <w:p w14:paraId="0000009C" w14:textId="77777777" w:rsidR="003A58F5" w:rsidRDefault="00000000">
      <w:pPr>
        <w:numPr>
          <w:ilvl w:val="0"/>
          <w:numId w:val="19"/>
        </w:numPr>
        <w:spacing w:before="240"/>
      </w:pPr>
      <w:r>
        <w:rPr>
          <w:b/>
          <w:bCs/>
        </w:rPr>
        <w:t>Prohibition of Autonomous Diagnostics:</w:t>
      </w:r>
      <w:r>
        <w:t xml:space="preserve"> The Data Subject expressly acknowledges that no artificial intelligence model deployed within the Fornix Link ecosystem is authorized, licensed, or technologically permitted to render autonomous, final medical diagnoses or prescribe definitive pharmacological interventions.</w:t>
      </w:r>
    </w:p>
    <w:p w14:paraId="0000009D" w14:textId="77777777" w:rsidR="003A58F5" w:rsidRDefault="00000000">
      <w:pPr>
        <w:numPr>
          <w:ilvl w:val="0"/>
          <w:numId w:val="19"/>
        </w:numPr>
        <w:spacing w:after="240"/>
      </w:pPr>
      <w:r>
        <w:rPr>
          <w:b/>
          <w:bCs/>
        </w:rPr>
        <w:t>Algorithmic Summarization:</w:t>
      </w:r>
      <w:r>
        <w:t xml:space="preserve"> All AI-driven outputs are legally classified as administrative, clinical decision-support utilities designed to synthesize the Relational Health Memory for the exclusive review and final interpretive judgment of a licensed, human Independent Doctor.</w:t>
      </w:r>
    </w:p>
    <w:p w14:paraId="0000009E" w14:textId="77777777" w:rsidR="003A58F5" w:rsidRDefault="00000000">
      <w:pPr>
        <w:spacing w:before="240" w:after="240"/>
      </w:pPr>
      <w:r>
        <w:rPr>
          <w:b/>
          <w:bCs/>
        </w:rPr>
        <w:t>9.2. Protection Against Solely Automated Decision-Making</w:t>
      </w:r>
      <w:r>
        <w:t xml:space="preserve"> In absolute conformity with the rights of the Data Subject under the Data Protection Act, 2012 (Act 843), the Company warrants that no User shall be subject to a legally binding or clinically significant decision predicated </w:t>
      </w:r>
      <w:r>
        <w:rPr>
          <w:i/>
          <w:iCs/>
        </w:rPr>
        <w:t>solely</w:t>
      </w:r>
      <w:r>
        <w:t xml:space="preserve"> upon automated processing or algorithmic profiling, absent the intervention and ratifying signature of a human practitioner.</w:t>
      </w:r>
    </w:p>
    <w:p w14:paraId="0000009F" w14:textId="77777777" w:rsidR="003A58F5" w:rsidRDefault="00000000">
      <w:pPr>
        <w:spacing w:before="240" w:after="240"/>
      </w:pPr>
      <w:r>
        <w:rPr>
          <w:b/>
          <w:bCs/>
        </w:rPr>
        <w:t>9.3. Cookie Architecture and Digital Telemetry (Act 772 Compliance)</w:t>
      </w:r>
      <w:r>
        <w:t xml:space="preserve"> To facilitate the seamless operation of the Platform, the Company deploys standard web technologies, including HTTP cookies, web beacons, and encrypted local storage.</w:t>
      </w:r>
    </w:p>
    <w:p w14:paraId="000000A0" w14:textId="77777777" w:rsidR="003A58F5" w:rsidRDefault="00000000">
      <w:pPr>
        <w:numPr>
          <w:ilvl w:val="0"/>
          <w:numId w:val="29"/>
        </w:numPr>
        <w:spacing w:before="240"/>
      </w:pPr>
      <w:r>
        <w:rPr>
          <w:b/>
          <w:bCs/>
        </w:rPr>
        <w:t>Strictly Necessary (Functional) Cookies:</w:t>
      </w:r>
      <w:r>
        <w:t xml:space="preserve"> These are non-negotiable cryptographic tokens required to maintain active session states, execute MoMo escrow handshakes, and route traffic to secure server nodes. They do not require preemptive consent.</w:t>
      </w:r>
    </w:p>
    <w:p w14:paraId="000000A1" w14:textId="77777777" w:rsidR="003A58F5" w:rsidRDefault="00000000">
      <w:pPr>
        <w:numPr>
          <w:ilvl w:val="0"/>
          <w:numId w:val="29"/>
        </w:numPr>
      </w:pPr>
      <w:r>
        <w:rPr>
          <w:b/>
          <w:bCs/>
        </w:rPr>
        <w:t>Analytical and Performance Telemetry:</w:t>
      </w:r>
      <w:r>
        <w:t xml:space="preserve"> The Company utilizes anonymized tracking to measure UI/UX latency, API response times, and algorithmic drop-off rates.</w:t>
      </w:r>
    </w:p>
    <w:p w14:paraId="000000A2" w14:textId="77777777" w:rsidR="003A58F5" w:rsidRDefault="00000000">
      <w:pPr>
        <w:numPr>
          <w:ilvl w:val="0"/>
          <w:numId w:val="29"/>
        </w:numPr>
        <w:spacing w:after="240"/>
      </w:pPr>
      <w:r>
        <w:rPr>
          <w:b/>
          <w:bCs/>
        </w:rPr>
        <w:t>Consent Banner:</w:t>
      </w:r>
      <w:r>
        <w:t xml:space="preserve"> Pursuant to the electronic consent mandates of the Electronic Transactions Act, 2008 (Act 772), the User retains the right to expressly opt-in or opt-out of non-essential analytical cookies via the Platform's designated privacy dashboard.</w:t>
      </w:r>
    </w:p>
    <w:p w14:paraId="000000A3" w14:textId="77777777" w:rsidR="003A58F5" w:rsidRDefault="00D37704">
      <w:r>
        <w:rPr>
          <w:noProof/>
        </w:rPr>
      </w:r>
      <w:r>
        <w:pict w14:anchorId="5469344A">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A4" w14:textId="77777777" w:rsidR="003A58F5" w:rsidRDefault="00000000">
      <w:pPr>
        <w:spacing w:before="240" w:after="240"/>
        <w:rPr>
          <w:b/>
          <w:bCs/>
        </w:rPr>
      </w:pPr>
      <w:r>
        <w:rPr>
          <w:b/>
          <w:bCs/>
        </w:rPr>
        <w:lastRenderedPageBreak/>
        <w:t>10. SECURITY ARCHITECTURE AND STATUTORY INCIDENT RESPONSE</w:t>
      </w:r>
    </w:p>
    <w:p w14:paraId="000000A5" w14:textId="77777777" w:rsidR="003A58F5" w:rsidRDefault="00000000">
      <w:pPr>
        <w:spacing w:before="240" w:after="240"/>
      </w:pPr>
      <w:r>
        <w:rPr>
          <w:b/>
          <w:bCs/>
        </w:rPr>
        <w:t>10.1. Technical and Organizational Safeguards</w:t>
      </w:r>
      <w:r>
        <w:t xml:space="preserve"> The Company executes its fiduciary duty as a Data Controller by deploying military-grade cybersecurity architectures to insulate the Relational Health Memory against unauthorized exfiltration, brute-force intrusion, or internal espionage.</w:t>
      </w:r>
    </w:p>
    <w:p w14:paraId="000000A6" w14:textId="77777777" w:rsidR="003A58F5" w:rsidRDefault="00000000">
      <w:pPr>
        <w:numPr>
          <w:ilvl w:val="0"/>
          <w:numId w:val="7"/>
        </w:numPr>
        <w:spacing w:before="240"/>
      </w:pPr>
      <w:r>
        <w:rPr>
          <w:b/>
          <w:bCs/>
        </w:rPr>
        <w:t>Access Protocols:</w:t>
      </w:r>
      <w:r>
        <w:t xml:space="preserve"> The Company enforces strictly audited Role-Based Access Control (RBAC) and mandatory Multi-Factor Authentication (MFA) for all administrative personnel, database architects, and registered Healthcare Providers.</w:t>
      </w:r>
    </w:p>
    <w:p w14:paraId="000000A7" w14:textId="77777777" w:rsidR="003A58F5" w:rsidRDefault="00000000">
      <w:pPr>
        <w:numPr>
          <w:ilvl w:val="0"/>
          <w:numId w:val="7"/>
        </w:numPr>
        <w:spacing w:after="240"/>
      </w:pPr>
      <w:r>
        <w:rPr>
          <w:b/>
          <w:bCs/>
        </w:rPr>
        <w:t>Continuous Auditing:</w:t>
      </w:r>
      <w:r>
        <w:t xml:space="preserve"> The Platform's perimeter defense is subjected to continuous, automated vulnerability scanning and bi-annual, third-party penetration testing (Pen-Tests) conducted by certified ethical hackers.</w:t>
      </w:r>
    </w:p>
    <w:p w14:paraId="000000A8" w14:textId="77777777" w:rsidR="003A58F5" w:rsidRDefault="00000000">
      <w:pPr>
        <w:spacing w:before="240" w:after="240"/>
      </w:pPr>
      <w:r>
        <w:rPr>
          <w:b/>
          <w:bCs/>
        </w:rPr>
        <w:t>10.2. The Statutory Breach Notification Mandate (The 72-Hour Rule)</w:t>
      </w:r>
      <w:r>
        <w:t xml:space="preserve"> While the Company deploys commercial best efforts to maintain an impenetrable digital fortress, it operates under a legally binding, transparent incident response protocol.</w:t>
      </w:r>
    </w:p>
    <w:p w14:paraId="000000A9" w14:textId="77777777" w:rsidR="003A58F5" w:rsidRDefault="00000000">
      <w:pPr>
        <w:numPr>
          <w:ilvl w:val="0"/>
          <w:numId w:val="9"/>
        </w:numPr>
        <w:spacing w:before="240"/>
      </w:pPr>
      <w:r>
        <w:rPr>
          <w:b/>
          <w:bCs/>
        </w:rPr>
        <w:t>Regulatory Escalation:</w:t>
      </w:r>
      <w:r>
        <w:t xml:space="preserve"> In the event of a confirmed cryptographic compromise, unauthorized data exfiltration, or a material breach of the Relational Health Memory that poses a high risk to the fundamental rights and freedoms of the Data Subject, the Company covenants to formally notify the Data Protection Commission (DPC) within a maximum of seventy-two (72) hours of achieving definitive situational awareness.</w:t>
      </w:r>
    </w:p>
    <w:p w14:paraId="000000AA" w14:textId="77777777" w:rsidR="003A58F5" w:rsidRDefault="00000000">
      <w:pPr>
        <w:numPr>
          <w:ilvl w:val="0"/>
          <w:numId w:val="9"/>
        </w:numPr>
        <w:spacing w:after="240"/>
      </w:pPr>
      <w:r>
        <w:rPr>
          <w:b/>
          <w:bCs/>
        </w:rPr>
        <w:t>Victim Notification:</w:t>
      </w:r>
      <w:r>
        <w:t xml:space="preserve"> Concurrently, and unless explicitly enjoined by a sovereign law enforcement gag order, the Company shall transmit encrypted, written notifications directly to the affected Users. This notice shall detail the vector of the breach, the specific taxonomy of the data compromised, and the immediate remedial countermeasures deployed by the Company.</w:t>
      </w:r>
    </w:p>
    <w:p w14:paraId="000000AB" w14:textId="77777777" w:rsidR="003A58F5" w:rsidRDefault="00D37704">
      <w:r>
        <w:rPr>
          <w:noProof/>
        </w:rPr>
      </w:r>
      <w:r>
        <w:pict w14:anchorId="49337F6D">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AC" w14:textId="77777777" w:rsidR="003A58F5" w:rsidRDefault="00000000">
      <w:pPr>
        <w:spacing w:before="240" w:after="240"/>
        <w:rPr>
          <w:b/>
          <w:bCs/>
        </w:rPr>
      </w:pPr>
      <w:r>
        <w:rPr>
          <w:b/>
          <w:bCs/>
        </w:rPr>
        <w:t>11. PEDIATRIC DATA, GUARDIANSHIP, AND CAPACITY TO CONSENT</w:t>
      </w:r>
    </w:p>
    <w:p w14:paraId="000000AD" w14:textId="77777777" w:rsidR="003A58F5" w:rsidRDefault="00000000">
      <w:pPr>
        <w:spacing w:before="240" w:after="240"/>
      </w:pPr>
      <w:r>
        <w:rPr>
          <w:b/>
          <w:bCs/>
        </w:rPr>
        <w:t>11.1. The Age of Majority and Contractual Voidability</w:t>
      </w:r>
      <w:r>
        <w:t xml:space="preserve"> The processing of Special Personal Data concerning minors requires heightened, uncompromising legal scrutiny. Pursuant to the Contracts Act, 1960 (Act 25) and the Children’s Act, 1998 (Act 560) of the Republic of Ghana, an individual chronologically under the age of eighteen (18) years lacks the requisite legal capacity to independently execute a valid "Consent Grant" or enter into the Platform's Terms of Use.</w:t>
      </w:r>
    </w:p>
    <w:p w14:paraId="000000AE" w14:textId="77777777" w:rsidR="003A58F5" w:rsidRDefault="00000000">
      <w:pPr>
        <w:spacing w:before="240" w:after="240"/>
      </w:pPr>
      <w:r>
        <w:rPr>
          <w:b/>
          <w:bCs/>
        </w:rPr>
        <w:t>11.2. Vicarious Consent and Proxy Authentication</w:t>
      </w:r>
      <w:r>
        <w:t xml:space="preserve"> The Company strictly prohibits the direct, unmediated collection of data from minors.</w:t>
      </w:r>
    </w:p>
    <w:p w14:paraId="000000AF" w14:textId="77777777" w:rsidR="003A58F5" w:rsidRDefault="00000000">
      <w:pPr>
        <w:numPr>
          <w:ilvl w:val="0"/>
          <w:numId w:val="15"/>
        </w:numPr>
        <w:spacing w:before="240"/>
      </w:pPr>
      <w:r>
        <w:rPr>
          <w:b/>
          <w:bCs/>
        </w:rPr>
        <w:t>Guardian Mandate:</w:t>
      </w:r>
      <w:r>
        <w:t xml:space="preserve"> The creation of a pediatric Relational Health Memory, and the subsequent scheduling of any clinical encounter for a minor, must be executed </w:t>
      </w:r>
      <w:r>
        <w:lastRenderedPageBreak/>
        <w:t>exclusively by a biologically or legally verified parent, court-appointed guardian, or authorized proxy possessing documented familial legal authority.</w:t>
      </w:r>
    </w:p>
    <w:p w14:paraId="000000B0" w14:textId="77777777" w:rsidR="003A58F5" w:rsidRDefault="00000000">
      <w:pPr>
        <w:numPr>
          <w:ilvl w:val="0"/>
          <w:numId w:val="15"/>
        </w:numPr>
        <w:spacing w:after="240"/>
      </w:pPr>
      <w:r>
        <w:rPr>
          <w:b/>
          <w:bCs/>
        </w:rPr>
        <w:t>Absolute Vicarious Liability:</w:t>
      </w:r>
      <w:r>
        <w:t xml:space="preserve"> The verified adult executing the proxy account assumes absolute, non-delegable responsibility for the accuracy of the pediatric data entered and explicitly indemnifies the Company against any claims of unauthorized data processing arising from a misrepresentation of guardianship.</w:t>
      </w:r>
    </w:p>
    <w:p w14:paraId="000000B1" w14:textId="77777777" w:rsidR="003A58F5" w:rsidRDefault="00D37704">
      <w:r>
        <w:rPr>
          <w:noProof/>
        </w:rPr>
      </w:r>
      <w:r>
        <w:pict w14:anchorId="12AAC716">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B2" w14:textId="77777777" w:rsidR="003A58F5" w:rsidRDefault="00000000">
      <w:pPr>
        <w:spacing w:before="240" w:after="240"/>
        <w:rPr>
          <w:b/>
          <w:bCs/>
        </w:rPr>
      </w:pPr>
      <w:r>
        <w:rPr>
          <w:b/>
          <w:bCs/>
        </w:rPr>
        <w:t>12. DISPUTE RESOLUTION, ESCALATION, AND REGULATORY CONTACT</w:t>
      </w:r>
    </w:p>
    <w:p w14:paraId="000000B3" w14:textId="77777777" w:rsidR="003A58F5" w:rsidRDefault="00000000">
      <w:pPr>
        <w:spacing w:before="240" w:after="240"/>
      </w:pPr>
      <w:r>
        <w:rPr>
          <w:b/>
          <w:bCs/>
        </w:rPr>
        <w:t>12.1. The Office of the Data Protection Officer (DPO)</w:t>
      </w:r>
      <w:r>
        <w:t xml:space="preserve"> To ensure continuous statutory compliance and to provide Users with a direct, legally accountable liaison for the invocation of their Data Subject rights, the Company has formally appointed a Data Protection Officer (DPO). All formal privacy inquiries, consent revocations, Subject Access Requests (SARs), and data portability demands must be directed to:</w:t>
      </w:r>
    </w:p>
    <w:p w14:paraId="000000B4" w14:textId="77777777" w:rsidR="003A58F5" w:rsidRDefault="00000000">
      <w:pPr>
        <w:numPr>
          <w:ilvl w:val="0"/>
          <w:numId w:val="25"/>
        </w:numPr>
        <w:spacing w:before="240"/>
      </w:pPr>
      <w:r>
        <w:rPr>
          <w:b/>
          <w:bCs/>
        </w:rPr>
        <w:t>Official DPO Corridor:</w:t>
      </w:r>
      <w:r>
        <w:t xml:space="preserve"> dpo@fornixlabs.com</w:t>
      </w:r>
    </w:p>
    <w:p w14:paraId="000000B5" w14:textId="77777777" w:rsidR="003A58F5" w:rsidRDefault="00000000">
      <w:pPr>
        <w:numPr>
          <w:ilvl w:val="0"/>
          <w:numId w:val="25"/>
        </w:numPr>
        <w:spacing w:after="240"/>
      </w:pPr>
      <w:r>
        <w:rPr>
          <w:b/>
          <w:bCs/>
        </w:rPr>
        <w:t>Corporate Domicile:</w:t>
      </w:r>
      <w:r>
        <w:t xml:space="preserve"> Fornix Labs Limited, Accra, Greater Accra Region, Republic of Ghana.</w:t>
      </w:r>
    </w:p>
    <w:p w14:paraId="000000B6" w14:textId="77777777" w:rsidR="003A58F5" w:rsidRDefault="00000000">
      <w:pPr>
        <w:spacing w:before="240" w:after="240"/>
      </w:pPr>
      <w:r>
        <w:rPr>
          <w:b/>
          <w:bCs/>
        </w:rPr>
        <w:t>12.2. Statutory Right of Escalation (The DPC Recourse)</w:t>
      </w:r>
      <w:r>
        <w:t xml:space="preserve"> The Company covenants to address all privacy grievances in good faith, expeditiously, and in strict adherence to Act 843. However, should a Data Subject adjudge that the Company has materially failed to resolve a legitimate privacy dispute, or has engaged in the unlawful processing of their Special Personal Data, the Data Subject retains the absolute, unencumbered statutory right to escalate the grievance by lodging a formal complaint directly with the sovereign regulatory authority:</w:t>
      </w:r>
    </w:p>
    <w:p w14:paraId="000000B7" w14:textId="77777777" w:rsidR="003A58F5" w:rsidRDefault="00000000">
      <w:pPr>
        <w:numPr>
          <w:ilvl w:val="0"/>
          <w:numId w:val="3"/>
        </w:numPr>
        <w:spacing w:before="240" w:after="240"/>
      </w:pPr>
      <w:r>
        <w:rPr>
          <w:b/>
          <w:bCs/>
        </w:rPr>
        <w:t>The Data Protection Commission (DPC) of the Republic of Ghana.</w:t>
      </w:r>
    </w:p>
    <w:p w14:paraId="000000B8" w14:textId="77777777" w:rsidR="003A58F5" w:rsidRDefault="003A58F5"/>
    <w:sectPr w:rsidR="003A58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AE7F8DF-8A56-854F-A36A-80578B899ADB}"/>
  </w:font>
  <w:font w:name="Arial">
    <w:panose1 w:val="020B0604020202020204"/>
    <w:charset w:val="00"/>
    <w:family w:val="swiss"/>
    <w:pitch w:val="variable"/>
    <w:sig w:usb0="E0002AFF" w:usb1="C0007843" w:usb2="00000009" w:usb3="00000000" w:csb0="000001FF" w:csb1="00000000"/>
    <w:embedRegular r:id="rId2" w:fontKey="{29706281-DB40-5743-8348-DD998EB5190D}"/>
    <w:embedBold r:id="rId3" w:fontKey="{10A8BB05-A195-3F4B-ACDC-88CE9A20BF14}"/>
    <w:embedItalic r:id="rId4" w:fontKey="{6CD1A5A2-7DF1-A048-92B0-A77AA65849E8}"/>
  </w:font>
  <w:font w:name="Calibri">
    <w:panose1 w:val="020F0502020204030204"/>
    <w:charset w:val="00"/>
    <w:family w:val="swiss"/>
    <w:pitch w:val="variable"/>
    <w:sig w:usb0="E0002AFF" w:usb1="C000247B" w:usb2="00000009" w:usb3="00000000" w:csb0="000001FF" w:csb1="00000000"/>
    <w:embedRegular r:id="rId5" w:fontKey="{4533B579-0E3F-6447-A9E4-C12F6807EF97}"/>
  </w:font>
  <w:font w:name="Cambria">
    <w:panose1 w:val="02040503050406030204"/>
    <w:charset w:val="00"/>
    <w:family w:val="roman"/>
    <w:notTrueType/>
    <w:pitch w:val="default"/>
    <w:embedRegular r:id="rId6" w:fontKey="{D16F073D-ED1A-0545-8294-36DDF0C4A2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3EC"/>
    <w:multiLevelType w:val="multilevel"/>
    <w:tmpl w:val="7E5AA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96E34"/>
    <w:multiLevelType w:val="multilevel"/>
    <w:tmpl w:val="07689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7E6A4E"/>
    <w:multiLevelType w:val="multilevel"/>
    <w:tmpl w:val="223CC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AA3EE5"/>
    <w:multiLevelType w:val="multilevel"/>
    <w:tmpl w:val="11A2D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A275AD"/>
    <w:multiLevelType w:val="multilevel"/>
    <w:tmpl w:val="9754D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C64B9B"/>
    <w:multiLevelType w:val="multilevel"/>
    <w:tmpl w:val="90441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901394"/>
    <w:multiLevelType w:val="multilevel"/>
    <w:tmpl w:val="80327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7A2580"/>
    <w:multiLevelType w:val="multilevel"/>
    <w:tmpl w:val="990CC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CB0D32"/>
    <w:multiLevelType w:val="multilevel"/>
    <w:tmpl w:val="F1DE5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912A78"/>
    <w:multiLevelType w:val="multilevel"/>
    <w:tmpl w:val="D6284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A2105C"/>
    <w:multiLevelType w:val="multilevel"/>
    <w:tmpl w:val="BBC27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ED46D2"/>
    <w:multiLevelType w:val="multilevel"/>
    <w:tmpl w:val="41CC8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F7454D"/>
    <w:multiLevelType w:val="multilevel"/>
    <w:tmpl w:val="E0E43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897631"/>
    <w:multiLevelType w:val="multilevel"/>
    <w:tmpl w:val="2912D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E972A7"/>
    <w:multiLevelType w:val="multilevel"/>
    <w:tmpl w:val="88162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6F3EFA"/>
    <w:multiLevelType w:val="multilevel"/>
    <w:tmpl w:val="A0F8E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4B2373"/>
    <w:multiLevelType w:val="multilevel"/>
    <w:tmpl w:val="55BA4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EB58F9"/>
    <w:multiLevelType w:val="multilevel"/>
    <w:tmpl w:val="04848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674199"/>
    <w:multiLevelType w:val="multilevel"/>
    <w:tmpl w:val="9D5EB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B269E8"/>
    <w:multiLevelType w:val="multilevel"/>
    <w:tmpl w:val="4D287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273E2A"/>
    <w:multiLevelType w:val="multilevel"/>
    <w:tmpl w:val="320C6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B25566"/>
    <w:multiLevelType w:val="multilevel"/>
    <w:tmpl w:val="093A3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9D428C"/>
    <w:multiLevelType w:val="multilevel"/>
    <w:tmpl w:val="6DD89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FF5140"/>
    <w:multiLevelType w:val="multilevel"/>
    <w:tmpl w:val="BB62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D41D7C"/>
    <w:multiLevelType w:val="multilevel"/>
    <w:tmpl w:val="A058D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0B2E9F"/>
    <w:multiLevelType w:val="multilevel"/>
    <w:tmpl w:val="8BE20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4655CC"/>
    <w:multiLevelType w:val="multilevel"/>
    <w:tmpl w:val="89C83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B123C21"/>
    <w:multiLevelType w:val="multilevel"/>
    <w:tmpl w:val="EFD6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2B6BB9"/>
    <w:multiLevelType w:val="multilevel"/>
    <w:tmpl w:val="C6148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BE13AE"/>
    <w:multiLevelType w:val="multilevel"/>
    <w:tmpl w:val="62329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7587537">
    <w:abstractNumId w:val="27"/>
  </w:num>
  <w:num w:numId="2" w16cid:durableId="731932546">
    <w:abstractNumId w:val="26"/>
  </w:num>
  <w:num w:numId="3" w16cid:durableId="1719552998">
    <w:abstractNumId w:val="1"/>
  </w:num>
  <w:num w:numId="4" w16cid:durableId="1324163213">
    <w:abstractNumId w:val="17"/>
  </w:num>
  <w:num w:numId="5" w16cid:durableId="255596523">
    <w:abstractNumId w:val="5"/>
  </w:num>
  <w:num w:numId="6" w16cid:durableId="1889995653">
    <w:abstractNumId w:val="29"/>
  </w:num>
  <w:num w:numId="7" w16cid:durableId="1901865009">
    <w:abstractNumId w:val="8"/>
  </w:num>
  <w:num w:numId="8" w16cid:durableId="1150755870">
    <w:abstractNumId w:val="16"/>
  </w:num>
  <w:num w:numId="9" w16cid:durableId="1124470371">
    <w:abstractNumId w:val="11"/>
  </w:num>
  <w:num w:numId="10" w16cid:durableId="1447777374">
    <w:abstractNumId w:val="24"/>
  </w:num>
  <w:num w:numId="11" w16cid:durableId="827211466">
    <w:abstractNumId w:val="28"/>
  </w:num>
  <w:num w:numId="12" w16cid:durableId="1706059998">
    <w:abstractNumId w:val="4"/>
  </w:num>
  <w:num w:numId="13" w16cid:durableId="2036692633">
    <w:abstractNumId w:val="23"/>
  </w:num>
  <w:num w:numId="14" w16cid:durableId="1260870215">
    <w:abstractNumId w:val="19"/>
  </w:num>
  <w:num w:numId="15" w16cid:durableId="1462069318">
    <w:abstractNumId w:val="15"/>
  </w:num>
  <w:num w:numId="16" w16cid:durableId="385763030">
    <w:abstractNumId w:val="22"/>
  </w:num>
  <w:num w:numId="17" w16cid:durableId="1509833485">
    <w:abstractNumId w:val="7"/>
  </w:num>
  <w:num w:numId="18" w16cid:durableId="643388381">
    <w:abstractNumId w:val="20"/>
  </w:num>
  <w:num w:numId="19" w16cid:durableId="542327003">
    <w:abstractNumId w:val="10"/>
  </w:num>
  <w:num w:numId="20" w16cid:durableId="1283732157">
    <w:abstractNumId w:val="21"/>
  </w:num>
  <w:num w:numId="21" w16cid:durableId="1148404265">
    <w:abstractNumId w:val="6"/>
  </w:num>
  <w:num w:numId="22" w16cid:durableId="1309046451">
    <w:abstractNumId w:val="0"/>
  </w:num>
  <w:num w:numId="23" w16cid:durableId="1738898840">
    <w:abstractNumId w:val="3"/>
  </w:num>
  <w:num w:numId="24" w16cid:durableId="1111362069">
    <w:abstractNumId w:val="2"/>
  </w:num>
  <w:num w:numId="25" w16cid:durableId="679626988">
    <w:abstractNumId w:val="14"/>
  </w:num>
  <w:num w:numId="26" w16cid:durableId="783428471">
    <w:abstractNumId w:val="9"/>
  </w:num>
  <w:num w:numId="27" w16cid:durableId="967853388">
    <w:abstractNumId w:val="12"/>
  </w:num>
  <w:num w:numId="28" w16cid:durableId="922033979">
    <w:abstractNumId w:val="25"/>
  </w:num>
  <w:num w:numId="29" w16cid:durableId="1765345802">
    <w:abstractNumId w:val="13"/>
  </w:num>
  <w:num w:numId="30" w16cid:durableId="13990905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8F5"/>
    <w:rsid w:val="00195FC1"/>
    <w:rsid w:val="003A58F5"/>
    <w:rsid w:val="00992148"/>
    <w:rsid w:val="00D37704"/>
    <w:rsid w:val="00DE6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2FA1A29"/>
  <w15:docId w15:val="{A8759183-C754-D142-A4AB-D3F50470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4766</Words>
  <Characters>27167</Characters>
  <Application>Microsoft Office Word</Application>
  <DocSecurity>0</DocSecurity>
  <Lines>226</Lines>
  <Paragraphs>63</Paragraphs>
  <ScaleCrop>false</ScaleCrop>
  <Company/>
  <LinksUpToDate>false</LinksUpToDate>
  <CharactersWithSpaces>31870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Teata Duut</cp:lastModifiedBy>
  <cp:revision>2</cp:revision>
  <dcterms:created xsi:type="dcterms:W3CDTF">2026-03-18T11:33:00Z</dcterms:created>
  <dcterms:modified xsi:type="dcterms:W3CDTF">2026-03-18T11:33:00Z</dcterms:modified>
</cp:coreProperties>
</file>