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1E3A5F"/>
          <w:sz w:val="36"/>
          <w:szCs w:val="36"/>
        </w:rPr>
        <w:t xml:space="preserve">MERIDIAN TECHNOLOGIES INC.</w:t>
      </w:r>
    </w:p>
    <w:p>
      <w:pPr>
        <w:spacing w:after="320" w:before="0"/>
        <w:jc w:val="center"/>
      </w:pPr>
      <w:r>
        <w:rPr>
          <w:rFonts w:ascii="Arial" w:cs="Arial" w:eastAsia="Arial" w:hAnsi="Arial"/>
          <w:color w:val="6B7280"/>
          <w:sz w:val="18"/>
          <w:szCs w:val="18"/>
        </w:rPr>
        <w:t xml:space="preserve">www.meridiantech.com  |  Dubai, UAE  |  +971 4 123 4567</w:t>
      </w:r>
    </w:p>
    <w:p>
      <w:pPr>
        <w:pBdr>
          <w:bottom w:val="single" w:color="2563EB" w:sz="4" w:space="1"/>
        </w:pBdr>
        <w:spacing w:after="160" w:before="160"/>
      </w:pPr>
    </w:p>
    <w:p>
      <w:pPr>
        <w:spacing w:after="120" w:before="240"/>
        <w:jc w:val="center"/>
      </w:pPr>
      <w:r>
        <w:rPr>
          <w:rFonts w:ascii="Arial" w:cs="Arial" w:eastAsia="Arial" w:hAnsi="Arial"/>
          <w:b/>
          <w:bCs/>
          <w:color w:val="1E3A5F"/>
          <w:sz w:val="40"/>
          <w:szCs w:val="40"/>
        </w:rPr>
        <w:t xml:space="preserve">Internal Audit Report</w:t>
      </w:r>
    </w:p>
    <w:p>
      <w:pPr>
        <w:spacing w:after="80" w:before="0"/>
        <w:jc w:val="center"/>
      </w:pPr>
      <w:r>
        <w:rPr>
          <w:rFonts w:ascii="Arial" w:cs="Arial" w:eastAsia="Arial" w:hAnsi="Arial"/>
          <w:color w:val="374151"/>
          <w:sz w:val="24"/>
          <w:szCs w:val="24"/>
        </w:rPr>
        <w:t xml:space="preserve">Procurement &amp; Vendor Management Controls</w:t>
      </w:r>
    </w:p>
    <w:p>
      <w:pPr>
        <w:spacing w:after="80" w:before="0"/>
        <w:jc w:val="center"/>
      </w:pPr>
      <w:r>
        <w:rPr>
          <w:rFonts w:ascii="Arial" w:cs="Arial" w:eastAsia="Arial" w:hAnsi="Arial"/>
          <w:color w:val="6B7280"/>
          <w:sz w:val="22"/>
          <w:szCs w:val="22"/>
        </w:rPr>
        <w:t xml:space="preserve">Issued: September 20, 2024</w:t>
      </w:r>
    </w:p>
    <w:p>
      <w:pPr>
        <w:spacing w:after="320" w:before="0"/>
        <w:jc w:val="center"/>
      </w:pPr>
      <w:r>
        <w:rPr>
          <w:rFonts w:ascii="Arial" w:cs="Arial" w:eastAsia="Arial" w:hAnsi="Arial"/>
          <w:color w:val="9CA3AF"/>
          <w:sz w:val="20"/>
          <w:szCs w:val="20"/>
        </w:rPr>
        <w:t xml:space="preserve">Document No: MTI-FIN-010</w:t>
      </w:r>
    </w:p>
    <w:p>
      <w:pPr>
        <w:pBdr>
          <w:bottom w:val="single" w:color="2563EB" w:sz="4" w:space="1"/>
        </w:pBdr>
        <w:spacing w:after="160" w:before="160"/>
      </w:pPr>
    </w:p>
    <w:p>
      <w:pPr>
        <w:spacing w:after="60" w:before="60"/>
      </w:pPr>
      <w:r>
        <w:t xml:space="preserve"/>
      </w:r>
    </w:p>
    <w:p>
      <w:pPr>
        <w:pStyle w:val="Heading2"/>
        <w:spacing w:after="120" w:before="200"/>
      </w:pPr>
      <w:r>
        <w:rPr>
          <w:rFonts w:ascii="Arial" w:cs="Arial" w:eastAsia="Arial" w:hAnsi="Arial"/>
          <w:b/>
          <w:bCs/>
          <w:sz w:val="26"/>
          <w:szCs w:val="26"/>
        </w:rPr>
        <w:t xml:space="preserve">Audit Scope &amp; Objectives</w:t>
      </w:r>
    </w:p>
    <w:p>
      <w:pPr>
        <w:spacing w:after="80" w:before="80"/>
      </w:pPr>
      <w:r>
        <w:rPr>
          <w:rFonts w:ascii="Arial" w:cs="Arial" w:eastAsia="Arial" w:hAnsi="Arial"/>
          <w:sz w:val="22"/>
          <w:szCs w:val="22"/>
        </w:rPr>
        <w:t xml:space="preserve">This internal audit was conducted by the Internal Audit function of Meridian Technologies Inc. between August 5 and September 10, 2024. The audit covered procurement transactions from January 1 to June 30, 2024, totaling AED 34.2 million across 148 purchase orders. The objectives were to assess compliance with the Procurement Policy (Version 3.1, effective Jan 2024), verify adequate segregation of duties, and evaluate vendor due diligence practices.</w:t>
      </w:r>
    </w:p>
    <w:p>
      <w:pPr>
        <w:spacing w:after="60" w:before="60"/>
      </w:pPr>
      <w:r>
        <w:t xml:space="preserve"/>
      </w:r>
    </w:p>
    <w:p>
      <w:pPr>
        <w:pStyle w:val="Heading2"/>
        <w:spacing w:after="120" w:before="200"/>
      </w:pPr>
      <w:r>
        <w:rPr>
          <w:rFonts w:ascii="Arial" w:cs="Arial" w:eastAsia="Arial" w:hAnsi="Arial"/>
          <w:b/>
          <w:bCs/>
          <w:sz w:val="26"/>
          <w:szCs w:val="26"/>
        </w:rPr>
        <w:t xml:space="preserve">Audit Ratings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1660"/>
      </w:tblGrid>
      <w:tr>
        <w:trPr>
          <w:tblHeader/>
        </w:trP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Area Reviewed</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Rating</w:t>
            </w:r>
          </w:p>
        </w:tc>
        <w:tc>
          <w:tcPr>
            <w:tcW w:type="dxa" w:w="1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Finding Count</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Approval Authority Compliance</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Satisfactory</w:t>
            </w:r>
          </w:p>
        </w:tc>
        <w:tc>
          <w:tcPr>
            <w:tcW w:type="dxa" w:w="1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PO-Invoice Matching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Satisfactory</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 Minor</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Vendor Onboarding &amp; Due Diligence</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Needs Improvement</w:t>
            </w:r>
          </w:p>
        </w:tc>
        <w:tc>
          <w:tcPr>
            <w:tcW w:type="dxa" w:w="1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2 Moderate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Contract Management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Needs Improvement</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 Moderate, 1 Minor</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Conflict of Interest Declarations</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Unsatisfactory</w:t>
            </w:r>
          </w:p>
        </w:tc>
        <w:tc>
          <w:tcPr>
            <w:tcW w:type="dxa" w:w="1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1 High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Three-Quote Policy Compliance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Satisfactory</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 Minor</w:t>
            </w:r>
          </w:p>
        </w:tc>
      </w:tr>
    </w:tbl>
    <w:p>
      <w:pPr>
        <w:spacing w:after="60" w:before="60"/>
      </w:pPr>
      <w:r>
        <w:t xml:space="preserve"/>
      </w:r>
    </w:p>
    <w:p>
      <w:pPr>
        <w:pStyle w:val="Heading2"/>
        <w:spacing w:after="120" w:before="200"/>
      </w:pPr>
      <w:r>
        <w:rPr>
          <w:rFonts w:ascii="Arial" w:cs="Arial" w:eastAsia="Arial" w:hAnsi="Arial"/>
          <w:b/>
          <w:bCs/>
          <w:sz w:val="26"/>
          <w:szCs w:val="26"/>
        </w:rPr>
        <w:t xml:space="preserve">Key Findings &amp; Recommendations</w:t>
      </w:r>
    </w:p>
    <w:p>
      <w:pPr>
        <w:spacing w:after="80" w:before="80"/>
      </w:pPr>
      <w:r>
        <w:rPr>
          <w:rFonts w:ascii="Arial" w:cs="Arial" w:eastAsia="Arial" w:hAnsi="Arial"/>
          <w:b/>
          <w:bCs/>
          <w:sz w:val="22"/>
          <w:szCs w:val="22"/>
        </w:rPr>
        <w:t xml:space="preserve">FINDING 1 – HIGH: Conflict of Interest Declaration Gap</w:t>
      </w:r>
    </w:p>
    <w:p>
      <w:pPr>
        <w:spacing w:after="80" w:before="80"/>
      </w:pPr>
      <w:r>
        <w:rPr>
          <w:rFonts w:ascii="Arial" w:cs="Arial" w:eastAsia="Arial" w:hAnsi="Arial"/>
          <w:sz w:val="22"/>
          <w:szCs w:val="22"/>
        </w:rPr>
        <w:t xml:space="preserve">During the period, 6 of 28 employees with procurement authority had not submitted their annual Conflict of Interest declarations as required by Policy Section 4.2. This included one employee who subsequently approved a vendor contract (AED 480,000 with TechServe LLC) where a close family member is a director. This represents a serious control deficiency.</w:t>
      </w:r>
    </w:p>
    <w:p>
      <w:pPr>
        <w:spacing w:after="80" w:before="80"/>
      </w:pPr>
      <w:r>
        <w:rPr>
          <w:rFonts w:ascii="Arial" w:cs="Arial" w:eastAsia="Arial" w:hAnsi="Arial"/>
          <w:sz w:val="22"/>
          <w:szCs w:val="22"/>
        </w:rPr>
        <w:t xml:space="preserve">Recommendation: HR and Finance to enforce mandatory CoI declaration completion before approval rights are activated. Finance to conduct immediate retrospective review of TechServe LLC contract. Implement quarterly compliance attestation.</w:t>
      </w:r>
    </w:p>
    <w:p>
      <w:pPr>
        <w:spacing w:after="80" w:before="80"/>
      </w:pPr>
      <w:r>
        <w:rPr>
          <w:rFonts w:ascii="Arial" w:cs="Arial" w:eastAsia="Arial" w:hAnsi="Arial"/>
          <w:sz w:val="22"/>
          <w:szCs w:val="22"/>
        </w:rPr>
        <w:t xml:space="preserve">Target Resolution: October 31, 2024 | Owner: CFO, CHRO</w:t>
      </w:r>
    </w:p>
    <w:p>
      <w:pPr>
        <w:spacing w:after="60" w:before="60"/>
      </w:pPr>
      <w:r>
        <w:t xml:space="preserve"/>
      </w:r>
    </w:p>
    <w:p>
      <w:pPr>
        <w:spacing w:after="80" w:before="80"/>
      </w:pPr>
      <w:r>
        <w:rPr>
          <w:rFonts w:ascii="Arial" w:cs="Arial" w:eastAsia="Arial" w:hAnsi="Arial"/>
          <w:b/>
          <w:bCs/>
          <w:sz w:val="22"/>
          <w:szCs w:val="22"/>
        </w:rPr>
        <w:t xml:space="preserve">FINDING 2 – MODERATE: Vendor Due Diligence Documentation</w:t>
      </w:r>
    </w:p>
    <w:p>
      <w:pPr>
        <w:spacing w:after="80" w:before="80"/>
      </w:pPr>
      <w:r>
        <w:rPr>
          <w:rFonts w:ascii="Arial" w:cs="Arial" w:eastAsia="Arial" w:hAnsi="Arial"/>
          <w:sz w:val="22"/>
          <w:szCs w:val="22"/>
        </w:rPr>
        <w:t xml:space="preserve">In 14 of 148 POs reviewed (9.5%), vendor due diligence files were incomplete – missing either trade license, VAT registration certificate, or bank account verification. Policy Section 3.1 requires all three prior to first payment.</w:t>
      </w:r>
    </w:p>
    <w:p>
      <w:pPr>
        <w:spacing w:after="80" w:before="80"/>
      </w:pPr>
      <w:r>
        <w:rPr>
          <w:rFonts w:ascii="Arial" w:cs="Arial" w:eastAsia="Arial" w:hAnsi="Arial"/>
          <w:sz w:val="22"/>
          <w:szCs w:val="22"/>
        </w:rPr>
        <w:t xml:space="preserve">Recommendation: Procurement team to implement a mandatory vendor onboarding checklist in the ERP system blocking PO issuance until documentation is complete.</w:t>
      </w:r>
    </w:p>
    <w:p>
      <w:pPr>
        <w:spacing w:after="80" w:before="80"/>
      </w:pPr>
      <w:r>
        <w:rPr>
          <w:rFonts w:ascii="Arial" w:cs="Arial" w:eastAsia="Arial" w:hAnsi="Arial"/>
          <w:sz w:val="22"/>
          <w:szCs w:val="22"/>
        </w:rPr>
        <w:t xml:space="preserve">Target Resolution: November 15, 2024 | Owner: Head of Procurement</w:t>
      </w:r>
    </w:p>
    <w:p>
      <w:pPr>
        <w:spacing w:after="60" w:before="60"/>
      </w:pPr>
      <w:r>
        <w:t xml:space="preserve"/>
      </w:r>
    </w:p>
    <w:p>
      <w:pPr>
        <w:spacing w:after="80" w:before="80"/>
      </w:pPr>
      <w:r>
        <w:rPr>
          <w:rFonts w:ascii="Arial" w:cs="Arial" w:eastAsia="Arial" w:hAnsi="Arial"/>
          <w:b/>
          <w:bCs/>
          <w:sz w:val="22"/>
          <w:szCs w:val="22"/>
        </w:rPr>
        <w:t xml:space="preserve">FINDING 3 – MODERATE: Contract Expiry Monitoring</w:t>
      </w:r>
    </w:p>
    <w:p>
      <w:pPr>
        <w:spacing w:after="80" w:before="80"/>
      </w:pPr>
      <w:r>
        <w:rPr>
          <w:rFonts w:ascii="Arial" w:cs="Arial" w:eastAsia="Arial" w:hAnsi="Arial"/>
          <w:sz w:val="22"/>
          <w:szCs w:val="22"/>
        </w:rPr>
        <w:t xml:space="preserve">Three vendor contracts (aggregate value AED 2.1M annually) were found to be operating on expired contracts with no formal renewal executed. Services continued uninterrupted based on informal email confirmations. This exposes the company to legal and pricing risk.</w:t>
      </w:r>
    </w:p>
    <w:p>
      <w:pPr>
        <w:spacing w:after="80" w:before="80"/>
      </w:pPr>
      <w:r>
        <w:rPr>
          <w:rFonts w:ascii="Arial" w:cs="Arial" w:eastAsia="Arial" w:hAnsi="Arial"/>
          <w:sz w:val="22"/>
          <w:szCs w:val="22"/>
        </w:rPr>
        <w:t xml:space="preserve">Recommendation: Establish a contract renewal calendar with 90-day advance notices. Assign contract management ownership within Finance.</w:t>
      </w:r>
    </w:p>
    <w:p>
      <w:pPr>
        <w:spacing w:after="80" w:before="80"/>
      </w:pPr>
      <w:r>
        <w:rPr>
          <w:rFonts w:ascii="Arial" w:cs="Arial" w:eastAsia="Arial" w:hAnsi="Arial"/>
          <w:sz w:val="22"/>
          <w:szCs w:val="22"/>
        </w:rPr>
        <w:t xml:space="preserve">Target Resolution: December 31, 2024 | Owner: Head of Finance</w:t>
      </w:r>
    </w:p>
    <w:p>
      <w:pPr>
        <w:spacing w:after="60" w:before="60"/>
      </w:pPr>
      <w:r>
        <w:t xml:space="preserve"/>
      </w:r>
    </w:p>
    <w:p>
      <w:pPr>
        <w:pStyle w:val="Heading2"/>
        <w:spacing w:after="120" w:before="200"/>
      </w:pPr>
      <w:r>
        <w:rPr>
          <w:rFonts w:ascii="Arial" w:cs="Arial" w:eastAsia="Arial" w:hAnsi="Arial"/>
          <w:b/>
          <w:bCs/>
          <w:sz w:val="26"/>
          <w:szCs w:val="26"/>
        </w:rPr>
        <w:t xml:space="preserve">Management Response</w:t>
      </w:r>
    </w:p>
    <w:p>
      <w:pPr>
        <w:spacing w:after="80" w:before="80"/>
      </w:pPr>
      <w:r>
        <w:rPr>
          <w:rFonts w:ascii="Arial" w:cs="Arial" w:eastAsia="Arial" w:hAnsi="Arial"/>
          <w:sz w:val="22"/>
          <w:szCs w:val="22"/>
        </w:rPr>
        <w:t xml:space="preserve">Management accepts all findings. A remediation task force has been established, chaired by the CFO, with bi-weekly tracking meetings commencing October 1, 2024. A follow-up audit is scheduled for Q1 2025.</w:t>
      </w:r>
    </w:p>
    <w:p>
      <w:pPr>
        <w:spacing w:after="60" w:before="60"/>
      </w:pPr>
      <w:r>
        <w:t xml:space="preserve"/>
      </w:r>
    </w:p>
    <w:p>
      <w:pPr>
        <w:spacing w:after="80" w:before="80"/>
      </w:pPr>
      <w:r>
        <w:rPr>
          <w:rFonts w:ascii="Arial" w:cs="Arial" w:eastAsia="Arial" w:hAnsi="Arial"/>
          <w:color w:val="6B7280"/>
          <w:sz w:val="18"/>
          <w:szCs w:val="18"/>
        </w:rPr>
        <w:t xml:space="preserve">Prepared by: Internal Audit Team | Reviewed by: Audit Committee | Classified: Internal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2026-04-04T08:30:54.039Z</dcterms:created>
  <dcterms:modified xsi:type="dcterms:W3CDTF">2026-04-04T08:30:54.039Z</dcterms:modified>
</cp:coreProperties>
</file>

<file path=docProps/custom.xml><?xml version="1.0" encoding="utf-8"?>
<Properties xmlns="http://schemas.openxmlformats.org/officeDocument/2006/custom-properties" xmlns:vt="http://schemas.openxmlformats.org/officeDocument/2006/docPropsVTypes"/>
</file>