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60"/>
        <w:jc w:val="center"/>
      </w:pPr>
      <w:r>
        <w:rPr>
          <w:rFonts w:ascii="Arial" w:cs="Arial" w:eastAsia="Arial" w:hAnsi="Arial"/>
          <w:b/>
          <w:bCs/>
          <w:color w:val="1E3A5F"/>
          <w:sz w:val="34"/>
          <w:szCs w:val="34"/>
        </w:rPr>
        <w:t xml:space="preserve">MERIDIAN TECHNOLOGIES INC.</w:t>
      </w:r>
    </w:p>
    <w:p>
      <w:pPr>
        <w:spacing w:after="200"/>
        <w:jc w:val="center"/>
      </w:pPr>
      <w:r>
        <w:rPr>
          <w:rFonts w:ascii="Arial" w:cs="Arial" w:eastAsia="Arial" w:hAnsi="Arial"/>
          <w:color w:val="6B7280"/>
          <w:sz w:val="18"/>
          <w:szCs w:val="18"/>
        </w:rPr>
        <w:t xml:space="preserve">People &amp; Culture Department  |  Dubai, UAE</w:t>
      </w:r>
    </w:p>
    <w:p>
      <w:pPr>
        <w:pBdr>
          <w:bottom w:val="single" w:color="1E3A5F" w:sz="4" w:space="1"/>
        </w:pBdr>
        <w:spacing w:after="160" w:before="160"/>
      </w:pPr>
    </w:p>
    <w:p>
      <w:pPr>
        <w:spacing w:after="80" w:before="160"/>
        <w:jc w:val="center"/>
      </w:pPr>
      <w:r>
        <w:rPr>
          <w:rFonts w:ascii="Arial" w:cs="Arial" w:eastAsia="Arial" w:hAnsi="Arial"/>
          <w:color w:val="6B7280"/>
          <w:sz w:val="20"/>
          <w:szCs w:val="20"/>
        </w:rPr>
        <w:t xml:space="preserve">EMPLOYEE HANDBOOK</w:t>
      </w:r>
    </w:p>
    <w:p>
      <w:pPr>
        <w:spacing w:after="100"/>
        <w:jc w:val="center"/>
      </w:pPr>
      <w:r>
        <w:rPr>
          <w:rFonts w:ascii="Arial" w:cs="Arial" w:eastAsia="Arial" w:hAnsi="Arial"/>
          <w:b/>
          <w:bCs/>
          <w:color w:val="1E3A5F"/>
          <w:sz w:val="36"/>
          <w:szCs w:val="36"/>
        </w:rPr>
        <w:t xml:space="preserve">People &amp; Culture Handbook</w:t>
      </w:r>
    </w:p>
    <w:p>
      <w:pPr>
        <w:spacing w:after="80"/>
        <w:jc w:val="center"/>
      </w:pPr>
      <w:r>
        <w:rPr>
          <w:rFonts w:ascii="Arial" w:cs="Arial" w:eastAsia="Arial" w:hAnsi="Arial"/>
          <w:color w:val="374151"/>
          <w:sz w:val="21"/>
          <w:szCs w:val="21"/>
        </w:rPr>
        <w:t xml:space="preserve">Your Guide to Working at Meridian Technologies</w:t>
      </w:r>
    </w:p>
    <w:p>
      <w:pPr>
        <w:jc w:val="center"/>
      </w:pPr>
      <w:r>
        <w:rPr>
          <w:rFonts w:ascii="Arial" w:cs="Arial" w:eastAsia="Arial" w:hAnsi="Arial"/>
          <w:color w:val="6B7280"/>
          <w:sz w:val="20"/>
          <w:szCs w:val="20"/>
        </w:rPr>
        <w:t xml:space="preserve">Version 3.1  |  Effective: January 1, 2024</w:t>
      </w:r>
    </w:p>
    <w:p>
      <w:pPr>
        <w:spacing w:after="280"/>
        <w:jc w:val="center"/>
      </w:pPr>
      <w:r>
        <w:rPr>
          <w:rFonts w:ascii="Arial" w:cs="Arial" w:eastAsia="Arial" w:hAnsi="Arial"/>
          <w:color w:val="9CA3AF"/>
          <w:sz w:val="18"/>
          <w:szCs w:val="18"/>
        </w:rPr>
        <w:t xml:space="preserve">Document Reference: MTI-HR-021</w:t>
      </w:r>
    </w:p>
    <w:p>
      <w:pPr>
        <w:pBdr>
          <w:bottom w:val="single" w:color="1E3A5F" w:sz="4" w:space="1"/>
        </w:pBdr>
        <w:spacing w:after="160" w:before="160"/>
      </w:pPr>
    </w:p>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1. WELCOME FROM THE CEO</w:t>
      </w:r>
    </w:p>
    <w:p>
      <w:pPr>
        <w:spacing w:after="80" w:before="80"/>
        <w:jc w:val="both"/>
      </w:pPr>
      <w:r>
        <w:rPr>
          <w:rFonts w:ascii="Arial" w:cs="Arial" w:eastAsia="Arial" w:hAnsi="Arial"/>
          <w:sz w:val="21"/>
          <w:szCs w:val="21"/>
        </w:rPr>
        <w:t xml:space="preserve">Welcome to Meridian Technologies Inc. We are a team of builders, problem-solvers, and innovators on a mission to make enterprise software smarter and more accessible across the Middle East and beyond. This handbook is your guide to our culture, policies, and the expectations we hold for everyone at Meridian.</w:t>
      </w:r>
    </w:p>
    <w:p>
      <w:pPr>
        <w:spacing w:after="80" w:before="80"/>
        <w:jc w:val="both"/>
      </w:pPr>
      <w:r>
        <w:rPr>
          <w:rFonts w:ascii="Arial" w:cs="Arial" w:eastAsia="Arial" w:hAnsi="Arial"/>
          <w:sz w:val="21"/>
          <w:szCs w:val="21"/>
        </w:rPr>
        <w:t xml:space="preserve">We believe that great software is built by great teams, and great teams are built on trust, transparency, and mutual respect. Please read this handbook carefully — it is a living document and will be updated as we grow.</w:t>
      </w:r>
    </w:p>
    <w:p>
      <w:pPr>
        <w:spacing w:after="80" w:before="80"/>
        <w:jc w:val="both"/>
      </w:pPr>
      <w:r>
        <w:rPr>
          <w:rFonts w:ascii="Arial" w:cs="Arial" w:eastAsia="Arial" w:hAnsi="Arial"/>
          <w:sz w:val="21"/>
          <w:szCs w:val="21"/>
        </w:rPr>
        <w:t xml:space="preserve">Omar Khalil, CEO</w:t>
      </w:r>
    </w:p>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2. OUR VALUES</w:t>
      </w:r>
    </w:p>
    <w:p>
      <w:pPr>
        <w:spacing w:after="80" w:before="160"/>
      </w:pPr>
      <w:r>
        <w:rPr>
          <w:rFonts w:ascii="Arial" w:cs="Arial" w:eastAsia="Arial" w:hAnsi="Arial"/>
          <w:b/>
          <w:bCs/>
          <w:sz w:val="22"/>
          <w:szCs w:val="22"/>
        </w:rPr>
        <w:t xml:space="preserve">Build with Integrity</w:t>
      </w:r>
    </w:p>
    <w:p>
      <w:pPr>
        <w:spacing w:after="80" w:before="80"/>
        <w:jc w:val="both"/>
      </w:pPr>
      <w:r>
        <w:rPr>
          <w:rFonts w:ascii="Arial" w:cs="Arial" w:eastAsia="Arial" w:hAnsi="Arial"/>
          <w:sz w:val="21"/>
          <w:szCs w:val="21"/>
        </w:rPr>
        <w:t xml:space="preserve">We do what we say and say what we mean. We are honest with customers, with each other, and with ourselves — especially when it is difficult.</w:t>
      </w:r>
    </w:p>
    <w:p>
      <w:pPr>
        <w:spacing w:after="80" w:before="160"/>
      </w:pPr>
      <w:r>
        <w:rPr>
          <w:rFonts w:ascii="Arial" w:cs="Arial" w:eastAsia="Arial" w:hAnsi="Arial"/>
          <w:b/>
          <w:bCs/>
          <w:sz w:val="22"/>
          <w:szCs w:val="22"/>
        </w:rPr>
        <w:t xml:space="preserve">Customer Obsession</w:t>
      </w:r>
    </w:p>
    <w:p>
      <w:pPr>
        <w:spacing w:after="80" w:before="80"/>
        <w:jc w:val="both"/>
      </w:pPr>
      <w:r>
        <w:rPr>
          <w:rFonts w:ascii="Arial" w:cs="Arial" w:eastAsia="Arial" w:hAnsi="Arial"/>
          <w:sz w:val="21"/>
          <w:szCs w:val="21"/>
        </w:rPr>
        <w:t xml:space="preserve">Every line of code, every support ticket, every sales call exists to create real value for the people and organizations we serve.</w:t>
      </w:r>
    </w:p>
    <w:p>
      <w:pPr>
        <w:spacing w:after="80" w:before="160"/>
      </w:pPr>
      <w:r>
        <w:rPr>
          <w:rFonts w:ascii="Arial" w:cs="Arial" w:eastAsia="Arial" w:hAnsi="Arial"/>
          <w:b/>
          <w:bCs/>
          <w:sz w:val="22"/>
          <w:szCs w:val="22"/>
        </w:rPr>
        <w:t xml:space="preserve">Grow Together</w:t>
      </w:r>
    </w:p>
    <w:p>
      <w:pPr>
        <w:spacing w:after="80" w:before="80"/>
        <w:jc w:val="both"/>
      </w:pPr>
      <w:r>
        <w:rPr>
          <w:rFonts w:ascii="Arial" w:cs="Arial" w:eastAsia="Arial" w:hAnsi="Arial"/>
          <w:sz w:val="21"/>
          <w:szCs w:val="21"/>
        </w:rPr>
        <w:t xml:space="preserve">We invest in each other's development. We share knowledge freely, mentor generously, and celebrate each other's wins.</w:t>
      </w:r>
    </w:p>
    <w:p>
      <w:pPr>
        <w:spacing w:after="80" w:before="160"/>
      </w:pPr>
      <w:r>
        <w:rPr>
          <w:rFonts w:ascii="Arial" w:cs="Arial" w:eastAsia="Arial" w:hAnsi="Arial"/>
          <w:b/>
          <w:bCs/>
          <w:sz w:val="22"/>
          <w:szCs w:val="22"/>
        </w:rPr>
        <w:t xml:space="preserve">Own It</w:t>
      </w:r>
    </w:p>
    <w:p>
      <w:pPr>
        <w:spacing w:after="80" w:before="80"/>
        <w:jc w:val="both"/>
      </w:pPr>
      <w:r>
        <w:rPr>
          <w:rFonts w:ascii="Arial" w:cs="Arial" w:eastAsia="Arial" w:hAnsi="Arial"/>
          <w:sz w:val="21"/>
          <w:szCs w:val="21"/>
        </w:rPr>
        <w:t xml:space="preserve">We take responsibility for our work from start to finish. We do not wait to be asked; we identify problems and fix them.</w:t>
      </w:r>
    </w:p>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3. EMPLOYMENT POLICIES</w:t>
      </w:r>
    </w:p>
    <w:p>
      <w:pPr>
        <w:spacing w:after="100" w:before="220"/>
      </w:pPr>
      <w:r>
        <w:rPr>
          <w:rFonts w:ascii="Arial" w:cs="Arial" w:eastAsia="Arial" w:hAnsi="Arial"/>
          <w:b/>
          <w:bCs/>
          <w:color w:val="1E3A5F"/>
          <w:sz w:val="24"/>
          <w:szCs w:val="24"/>
        </w:rPr>
        <w:t xml:space="preserve">3.1 Working Hours</w:t>
      </w:r>
    </w:p>
    <w:p>
      <w:pPr>
        <w:spacing w:after="80" w:before="80"/>
        <w:jc w:val="both"/>
      </w:pPr>
      <w:r>
        <w:rPr>
          <w:rFonts w:ascii="Arial" w:cs="Arial" w:eastAsia="Arial" w:hAnsi="Arial"/>
          <w:sz w:val="21"/>
          <w:szCs w:val="21"/>
        </w:rPr>
        <w:t xml:space="preserve">Standard hours are Sunday to Thursday, 9:00 AM to 6:00 PM GST, with a one-hour unpaid lunch break. Meridian operates a flexible work policy: employees in roles that allow it may work remotely up to two (2) days per week with manager approval. Core hours (10:00 AM to 4:00 PM) must be observed on all working days.</w:t>
      </w:r>
    </w:p>
    <w:p>
      <w:pPr>
        <w:spacing w:after="100" w:before="220"/>
      </w:pPr>
      <w:r>
        <w:rPr>
          <w:rFonts w:ascii="Arial" w:cs="Arial" w:eastAsia="Arial" w:hAnsi="Arial"/>
          <w:b/>
          <w:bCs/>
          <w:color w:val="1E3A5F"/>
          <w:sz w:val="24"/>
          <w:szCs w:val="24"/>
        </w:rPr>
        <w:t xml:space="preserve">3.2 Leave Entitlements</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9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Leave Type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Entitlement</w:t>
            </w:r>
          </w:p>
        </w:tc>
        <w:tc>
          <w:tcPr>
            <w:tcW w:type="dxa" w:w="1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Approval Required</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Annual Leave</w:t>
            </w:r>
          </w:p>
        </w:tc>
        <w:tc>
          <w:tcPr>
            <w:tcW w:type="dxa" w:w="3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30 calendar days per year</w:t>
            </w:r>
          </w:p>
        </w:tc>
        <w:tc>
          <w:tcPr>
            <w:tcW w:type="dxa" w:w="1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Manager, min. 2 weeks notice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Sick Leave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90 days (30 full pay, 30 half pay, 30 unpaid) per UAE Law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Medical certificate after 2 days</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Maternity Leave</w:t>
            </w:r>
          </w:p>
        </w:tc>
        <w:tc>
          <w:tcPr>
            <w:tcW w:type="dxa" w:w="3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90 calendar days (60 full pay, 30 half pay)</w:t>
            </w:r>
          </w:p>
        </w:tc>
        <w:tc>
          <w:tcPr>
            <w:tcW w:type="dxa" w:w="1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HR, 4 weeks notice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Paternity Leave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 working days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Manager</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Bereavement Leave</w:t>
            </w:r>
          </w:p>
        </w:tc>
        <w:tc>
          <w:tcPr>
            <w:tcW w:type="dxa" w:w="3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5 days (immediate family); 3 days (extended)</w:t>
            </w:r>
          </w:p>
        </w:tc>
        <w:tc>
          <w:tcPr>
            <w:tcW w:type="dxa" w:w="1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HR notification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Hajj Leave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Up to 30 days once per service (Muslim employees)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HR, 3 months notice</w:t>
            </w:r>
          </w:p>
        </w:tc>
      </w:tr>
      <w:tr>
        <w:tc>
          <w:tcPr>
            <w:tcW w:type="dxa" w:w="2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Study/Exam Leave</w:t>
            </w:r>
          </w:p>
        </w:tc>
        <w:tc>
          <w:tcPr>
            <w:tcW w:type="dxa" w:w="32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Up to 10 days per year (approved programmes)</w:t>
            </w:r>
          </w:p>
        </w:tc>
        <w:tc>
          <w:tcPr>
            <w:tcW w:type="dxa" w:w="1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HR &amp; Manager</w:t>
            </w:r>
          </w:p>
        </w:tc>
      </w:tr>
    </w:tbl>
    <w:p>
      <w:pPr>
        <w:spacing w:after="60" w:before="60"/>
      </w:pPr>
      <w:r>
        <w:t xml:space="preserve"/>
      </w:r>
    </w:p>
    <w:p>
      <w:pPr>
        <w:spacing w:after="100" w:before="220"/>
      </w:pPr>
      <w:r>
        <w:rPr>
          <w:rFonts w:ascii="Arial" w:cs="Arial" w:eastAsia="Arial" w:hAnsi="Arial"/>
          <w:b/>
          <w:bCs/>
          <w:color w:val="1E3A5F"/>
          <w:sz w:val="24"/>
          <w:szCs w:val="24"/>
        </w:rPr>
        <w:t xml:space="preserve">3.3 Remote Work Policy</w:t>
      </w:r>
    </w:p>
    <w:p>
      <w:pPr>
        <w:spacing w:after="80" w:before="80"/>
        <w:jc w:val="both"/>
      </w:pPr>
      <w:r>
        <w:rPr>
          <w:rFonts w:ascii="Arial" w:cs="Arial" w:eastAsia="Arial" w:hAnsi="Arial"/>
          <w:sz w:val="21"/>
          <w:szCs w:val="21"/>
        </w:rPr>
        <w:t xml:space="preserve">Employees may request up to two remote work days per week, subject to manager discretion and role suitability. Remote work is not permitted during probation periods. All remote workers must be reachable during core hours, maintain a professional environment for video calls, and use company-approved VPN for system access.</w:t>
      </w:r>
    </w:p>
    <w:p>
      <w:pPr>
        <w:spacing w:after="100" w:before="220"/>
      </w:pPr>
      <w:r>
        <w:rPr>
          <w:rFonts w:ascii="Arial" w:cs="Arial" w:eastAsia="Arial" w:hAnsi="Arial"/>
          <w:b/>
          <w:bCs/>
          <w:color w:val="1E3A5F"/>
          <w:sz w:val="24"/>
          <w:szCs w:val="24"/>
        </w:rPr>
        <w:t xml:space="preserve">3.4 Dress Code</w:t>
      </w:r>
    </w:p>
    <w:p>
      <w:pPr>
        <w:spacing w:after="80" w:before="80"/>
        <w:jc w:val="both"/>
      </w:pPr>
      <w:r>
        <w:rPr>
          <w:rFonts w:ascii="Arial" w:cs="Arial" w:eastAsia="Arial" w:hAnsi="Arial"/>
          <w:sz w:val="21"/>
          <w:szCs w:val="21"/>
        </w:rPr>
        <w:t xml:space="preserve">Meridian maintains a smart-casual dress code. Professional attire is expected when meeting clients or attending external events. Religious and cultural dress is respected and accommodated at all times.</w:t>
      </w:r>
    </w:p>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4. CODE OF CONDUCT</w:t>
      </w:r>
    </w:p>
    <w:p>
      <w:pPr>
        <w:spacing w:after="100" w:before="220"/>
      </w:pPr>
      <w:r>
        <w:rPr>
          <w:rFonts w:ascii="Arial" w:cs="Arial" w:eastAsia="Arial" w:hAnsi="Arial"/>
          <w:b/>
          <w:bCs/>
          <w:color w:val="1E3A5F"/>
          <w:sz w:val="24"/>
          <w:szCs w:val="24"/>
        </w:rPr>
        <w:t xml:space="preserve">4.1 Anti-Harassment and Discrimination</w:t>
      </w:r>
    </w:p>
    <w:p>
      <w:pPr>
        <w:spacing w:after="80" w:before="80"/>
        <w:jc w:val="both"/>
      </w:pPr>
      <w:r>
        <w:rPr>
          <w:rFonts w:ascii="Arial" w:cs="Arial" w:eastAsia="Arial" w:hAnsi="Arial"/>
          <w:sz w:val="21"/>
          <w:szCs w:val="21"/>
        </w:rPr>
        <w:t xml:space="preserve">Meridian is committed to maintaining a workplace free from harassment, bullying, and discrimination of any kind. This includes conduct based on gender, nationality, religion, age, disability, or any other protected characteristic. Any employee who experiences or witnesses such behaviour should report it immediately to HR or via the anonymous reporting channel (hr-confidential@meridiantech.com).</w:t>
      </w:r>
    </w:p>
    <w:p>
      <w:pPr>
        <w:spacing w:after="100" w:before="220"/>
      </w:pPr>
      <w:r>
        <w:rPr>
          <w:rFonts w:ascii="Arial" w:cs="Arial" w:eastAsia="Arial" w:hAnsi="Arial"/>
          <w:b/>
          <w:bCs/>
          <w:color w:val="1E3A5F"/>
          <w:sz w:val="24"/>
          <w:szCs w:val="24"/>
        </w:rPr>
        <w:t xml:space="preserve">4.2 Conflict of Interest</w:t>
      </w:r>
    </w:p>
    <w:p>
      <w:pPr>
        <w:spacing w:after="80" w:before="80"/>
        <w:jc w:val="both"/>
      </w:pPr>
      <w:r>
        <w:rPr>
          <w:rFonts w:ascii="Arial" w:cs="Arial" w:eastAsia="Arial" w:hAnsi="Arial"/>
          <w:sz w:val="21"/>
          <w:szCs w:val="21"/>
        </w:rPr>
        <w:t xml:space="preserve">Employees must disclose any potential conflict of interest to their manager and HR. This includes outside employment, business ownership, or close personal relationships with vendors, customers, or competitors. Annual Conflict of Interest declarations are mandatory for all employees with procurement or contracting authority.</w:t>
      </w:r>
    </w:p>
    <w:p>
      <w:pPr>
        <w:spacing w:after="100" w:before="220"/>
      </w:pPr>
      <w:r>
        <w:rPr>
          <w:rFonts w:ascii="Arial" w:cs="Arial" w:eastAsia="Arial" w:hAnsi="Arial"/>
          <w:b/>
          <w:bCs/>
          <w:color w:val="1E3A5F"/>
          <w:sz w:val="24"/>
          <w:szCs w:val="24"/>
        </w:rPr>
        <w:t xml:space="preserve">4.3 Confidentiality</w:t>
      </w:r>
    </w:p>
    <w:p>
      <w:pPr>
        <w:spacing w:after="80" w:before="80"/>
        <w:jc w:val="both"/>
      </w:pPr>
      <w:r>
        <w:rPr>
          <w:rFonts w:ascii="Arial" w:cs="Arial" w:eastAsia="Arial" w:hAnsi="Arial"/>
          <w:sz w:val="21"/>
          <w:szCs w:val="21"/>
        </w:rPr>
        <w:t xml:space="preserve">All employees are bound by confidentiality obligations as set out in their employment contracts. This includes customer data, product information, financial data, and any information marked as confidential. These obligations continue after the end of employment.</w:t>
      </w:r>
    </w:p>
    <w:p>
      <w:pPr>
        <w:spacing w:after="100" w:before="220"/>
      </w:pPr>
      <w:r>
        <w:rPr>
          <w:rFonts w:ascii="Arial" w:cs="Arial" w:eastAsia="Arial" w:hAnsi="Arial"/>
          <w:b/>
          <w:bCs/>
          <w:color w:val="1E3A5F"/>
          <w:sz w:val="24"/>
          <w:szCs w:val="24"/>
        </w:rPr>
        <w:t xml:space="preserve">4.4 Use of Company Assets</w:t>
      </w:r>
    </w:p>
    <w:p>
      <w:pPr>
        <w:spacing w:after="80" w:before="80"/>
        <w:jc w:val="both"/>
      </w:pPr>
      <w:r>
        <w:rPr>
          <w:rFonts w:ascii="Arial" w:cs="Arial" w:eastAsia="Arial" w:hAnsi="Arial"/>
          <w:sz w:val="21"/>
          <w:szCs w:val="21"/>
        </w:rPr>
        <w:t xml:space="preserve">Company equipment, systems, and software are provided for business use. Reasonable personal use is permitted but must not interfere with work. Employees must not install unauthorized software on company devices or use company systems for illegal activities.</w:t>
      </w:r>
    </w:p>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5. PERFORMANCE &amp; DEVELOPMENT</w:t>
      </w:r>
    </w:p>
    <w:p>
      <w:pPr>
        <w:spacing w:after="100" w:before="220"/>
      </w:pPr>
      <w:r>
        <w:rPr>
          <w:rFonts w:ascii="Arial" w:cs="Arial" w:eastAsia="Arial" w:hAnsi="Arial"/>
          <w:b/>
          <w:bCs/>
          <w:color w:val="1E3A5F"/>
          <w:sz w:val="24"/>
          <w:szCs w:val="24"/>
        </w:rPr>
        <w:t xml:space="preserve">5.1 Performance Review Cycle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1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Review Type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Frequency</w:t>
            </w:r>
          </w:p>
        </w:tc>
        <w:tc>
          <w:tcPr>
            <w:tcW w:type="dxa" w:w="24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Format</w:t>
            </w:r>
          </w:p>
        </w:tc>
        <w:tc>
          <w:tcPr>
            <w:tcW w:type="dxa" w:w="19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Outcome</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Probation Review</w:t>
            </w:r>
          </w:p>
        </w:tc>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At 45 and 90 days</w:t>
            </w:r>
          </w:p>
        </w:tc>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Manager 1:1</w:t>
            </w:r>
          </w:p>
        </w:tc>
        <w:tc>
          <w:tcPr>
            <w:tcW w:type="dxa" w:w="1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Pass / Extend / Release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Mid-Year Check-In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July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Manager 1:1 + self-assessment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Goal adjustment</w:t>
            </w:r>
          </w:p>
        </w:tc>
      </w:tr>
      <w:tr>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Annual Performance Review</w:t>
            </w:r>
          </w:p>
        </w:tc>
        <w:tc>
          <w:tcPr>
            <w:tcW w:type="dxa" w:w="16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January</w:t>
            </w:r>
          </w:p>
        </w:tc>
        <w:tc>
          <w:tcPr>
            <w:tcW w:type="dxa" w:w="24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360 feedback + Manager review</w:t>
            </w:r>
          </w:p>
        </w:tc>
        <w:tc>
          <w:tcPr>
            <w:tcW w:type="dxa" w:w="19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Rating + salary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Promotion Nominations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Q3 (Sept)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Manager nomination + VP approval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Promotion or development plan</w:t>
            </w:r>
          </w:p>
        </w:tc>
      </w:tr>
    </w:tbl>
    <w:p>
      <w:pPr>
        <w:spacing w:after="60" w:before="60"/>
      </w:pPr>
      <w:r>
        <w:t xml:space="preserve"/>
      </w:r>
    </w:p>
    <w:p>
      <w:pPr>
        <w:spacing w:after="100" w:before="220"/>
      </w:pPr>
      <w:r>
        <w:rPr>
          <w:rFonts w:ascii="Arial" w:cs="Arial" w:eastAsia="Arial" w:hAnsi="Arial"/>
          <w:b/>
          <w:bCs/>
          <w:color w:val="1E3A5F"/>
          <w:sz w:val="24"/>
          <w:szCs w:val="24"/>
        </w:rPr>
        <w:t xml:space="preserve">5.2 Learning &amp; Development</w:t>
      </w:r>
    </w:p>
    <w:p>
      <w:pPr>
        <w:spacing w:after="80" w:before="80"/>
        <w:jc w:val="both"/>
      </w:pPr>
      <w:r>
        <w:rPr>
          <w:rFonts w:ascii="Arial" w:cs="Arial" w:eastAsia="Arial" w:hAnsi="Arial"/>
          <w:sz w:val="21"/>
          <w:szCs w:val="21"/>
        </w:rPr>
        <w:t xml:space="preserve">Each employee receives an annual learning budget of AED 5,000 for approved courses, certifications, and conferences. Employees are encouraged to complete at least one certification per year relevant to their role. Meridian also offers internal learning through bi-weekly Engineering Talks, monthly All-Hands sessions, and access to our LinkedIn Learning company licence.</w:t>
      </w:r>
    </w:p>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6. COMPENSATION &amp;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Benefit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Medical Insurance</w:t>
            </w:r>
          </w:p>
        </w:tc>
        <w:tc>
          <w:tcPr>
            <w:tcW w:type="dxa" w:w="6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Full coverage for employee + spouse + up to 3 children (Daman network)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Life Insurance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2x annual salary, provided by company</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Annual Flight Allowance</w:t>
            </w:r>
          </w:p>
        </w:tc>
        <w:tc>
          <w:tcPr>
            <w:tcW w:type="dxa" w:w="6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AED 3,000 per year for non-UAE nationals (home country travel)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Learning Budget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AED 5,000 per year for approved development activities</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Gym Subsidy</w:t>
            </w:r>
          </w:p>
        </w:tc>
        <w:tc>
          <w:tcPr>
            <w:tcW w:type="dxa" w:w="6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AED 1,200 per year reimbursed upon receipt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Employee Referral Bonus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AED 5,000 for successful hire referrals (paid after 3-month retention)</w:t>
            </w:r>
          </w:p>
        </w:tc>
      </w:tr>
      <w:tr>
        <w:tc>
          <w:tcPr>
            <w:tcW w:type="dxa" w:w="300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Gratuity</w:t>
            </w:r>
          </w:p>
        </w:tc>
        <w:tc>
          <w:tcPr>
            <w:tcW w:type="dxa" w:w="6360"/>
            <w:tcBorders>
              <w:top w:val="single" w:color="CCCCCC" w:sz="1"/>
              <w:left w:val="single" w:color="CCCCCC" w:sz="1"/>
              <w:bottom w:val="single" w:color="CCCCCC" w:sz="1"/>
              <w:right w:val="single" w:color="CCCCCC" w:sz="1"/>
            </w:tcBorders>
            <w:shd w:fill="EEF2F8" w:val="clear"/>
            <w:tcMar>
              <w:top w:type="dxa" w:w="80"/>
              <w:left w:type="dxa" w:w="140"/>
              <w:bottom w:type="dxa" w:w="80"/>
              <w:right w:type="dxa" w:w="140"/>
            </w:tcMar>
          </w:tcPr>
          <w:p>
            <w:r>
              <w:rPr>
                <w:rFonts w:ascii="Arial" w:cs="Arial" w:eastAsia="Arial" w:hAnsi="Arial"/>
                <w:sz w:val="20"/>
                <w:szCs w:val="20"/>
              </w:rPr>
              <w:t xml:space="preserve">Per UAE Labour Law (Federal Decree-Law No. 33 of 2021)</w:t>
            </w:r>
          </w:p>
        </w:tc>
      </w:tr>
    </w:tbl>
    <w:p>
      <w:pPr>
        <w:spacing w:after="60" w:before="60"/>
      </w:pPr>
      <w:r>
        <w:t xml:space="preserve"/>
      </w:r>
    </w:p>
    <w:p>
      <w:pPr>
        <w:pBdr>
          <w:bottom w:val="single" w:color="1E3A5F" w:sz="4" w:space="1"/>
        </w:pBdr>
        <w:spacing w:after="140" w:before="280"/>
      </w:pPr>
      <w:r>
        <w:rPr>
          <w:rFonts w:ascii="Arial" w:cs="Arial" w:eastAsia="Arial" w:hAnsi="Arial"/>
          <w:b/>
          <w:bCs/>
          <w:color w:val="1E3A5F"/>
          <w:sz w:val="30"/>
          <w:szCs w:val="30"/>
        </w:rPr>
        <w:t xml:space="preserve">7. GRIEVANCE &amp; DISCIPLINARY PROCEDURE</w:t>
      </w:r>
    </w:p>
    <w:p>
      <w:pPr>
        <w:spacing w:after="100" w:before="220"/>
      </w:pPr>
      <w:r>
        <w:rPr>
          <w:rFonts w:ascii="Arial" w:cs="Arial" w:eastAsia="Arial" w:hAnsi="Arial"/>
          <w:b/>
          <w:bCs/>
          <w:color w:val="1E3A5F"/>
          <w:sz w:val="24"/>
          <w:szCs w:val="24"/>
        </w:rPr>
        <w:t xml:space="preserve">7.1 Grievance Process</w:t>
      </w:r>
    </w:p>
    <w:p>
      <w:pPr>
        <w:spacing w:after="80" w:before="80"/>
        <w:jc w:val="both"/>
      </w:pPr>
      <w:r>
        <w:rPr>
          <w:rFonts w:ascii="Arial" w:cs="Arial" w:eastAsia="Arial" w:hAnsi="Arial"/>
          <w:sz w:val="21"/>
          <w:szCs w:val="21"/>
        </w:rPr>
        <w:t xml:space="preserve">Employees who have a workplace concern should first raise it with their direct manager. If the matter is not resolved, it may be escalated to HR in writing. HR will acknowledge the grievance within three (3) working days and investigate within fifteen (15) working days. All grievances are treated confidentially.</w:t>
      </w:r>
    </w:p>
    <w:p>
      <w:pPr>
        <w:spacing w:after="100" w:before="220"/>
      </w:pPr>
      <w:r>
        <w:rPr>
          <w:rFonts w:ascii="Arial" w:cs="Arial" w:eastAsia="Arial" w:hAnsi="Arial"/>
          <w:b/>
          <w:bCs/>
          <w:color w:val="1E3A5F"/>
          <w:sz w:val="24"/>
          <w:szCs w:val="24"/>
        </w:rPr>
        <w:t xml:space="preserve">7.2 Disciplinary Process</w:t>
      </w:r>
    </w:p>
    <w:p>
      <w:pPr>
        <w:spacing w:after="80" w:before="80"/>
        <w:jc w:val="both"/>
      </w:pPr>
      <w:r>
        <w:rPr>
          <w:rFonts w:ascii="Arial" w:cs="Arial" w:eastAsia="Arial" w:hAnsi="Arial"/>
          <w:sz w:val="21"/>
          <w:szCs w:val="21"/>
        </w:rPr>
        <w:t xml:space="preserve">Disciplinary action follows a graduated process: (1) Verbal Warning; (2) Written Warning; (3) Final Written Warning; (4) Termination. Serious misconduct (e.g. fraud, harassment, data breach) may result in immediate dismissal without prior warnings, subject to UAE Labour Law.</w:t>
      </w:r>
    </w:p>
    <w:p>
      <w:pPr>
        <w:spacing w:after="60" w:before="60"/>
      </w:pPr>
      <w:r>
        <w:t xml:space="preserve"/>
      </w:r>
    </w:p>
    <w:p>
      <w:pPr>
        <w:spacing w:after="80" w:before="80"/>
        <w:jc w:val="both"/>
      </w:pPr>
      <w:r>
        <w:rPr>
          <w:rFonts w:ascii="Arial" w:cs="Arial" w:eastAsia="Arial" w:hAnsi="Arial"/>
          <w:color w:val="6B7280"/>
          <w:sz w:val="18"/>
          <w:szCs w:val="18"/>
        </w:rPr>
        <w:t xml:space="preserve">This handbook is reviewed annually by the People &amp; Culture team. Last reviewed: December 2023. Questions: people@meridiantech.com</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2026-04-04T10:25:28.843Z</dcterms:created>
  <dcterms:modified xsi:type="dcterms:W3CDTF">2026-04-04T10:25:28.844Z</dcterms:modified>
</cp:coreProperties>
</file>

<file path=docProps/custom.xml><?xml version="1.0" encoding="utf-8"?>
<Properties xmlns="http://schemas.openxmlformats.org/officeDocument/2006/custom-properties" xmlns:vt="http://schemas.openxmlformats.org/officeDocument/2006/docPropsVTypes"/>
</file>