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MUTUAL NON-DISCLOSURE AGREEMENT</w:t>
      </w:r>
    </w:p>
    <w:p>
      <w:pPr>
        <w:spacing w:after="100"/>
        <w:jc w:val="center"/>
      </w:pPr>
      <w:r>
        <w:rPr>
          <w:rFonts w:ascii="Arial" w:cs="Arial" w:eastAsia="Arial" w:hAnsi="Arial"/>
          <w:b/>
          <w:bCs/>
          <w:color w:val="1E3A5F"/>
          <w:sz w:val="38"/>
          <w:szCs w:val="38"/>
        </w:rPr>
        <w:t xml:space="preserve">Confidentiality Agreement</w:t>
      </w:r>
    </w:p>
    <w:p>
      <w:pPr>
        <w:spacing w:after="80"/>
        <w:jc w:val="center"/>
      </w:pPr>
      <w:r>
        <w:rPr>
          <w:rFonts w:ascii="Arial" w:cs="Arial" w:eastAsia="Arial" w:hAnsi="Arial"/>
          <w:color w:val="374151"/>
          <w:sz w:val="22"/>
          <w:szCs w:val="22"/>
        </w:rPr>
        <w:t xml:space="preserve">Meridian Technologies Inc. and Falcon Capital Partners LLC</w:t>
      </w:r>
    </w:p>
    <w:p>
      <w:pPr>
        <w:jc w:val="center"/>
      </w:pPr>
      <w:r>
        <w:rPr>
          <w:rFonts w:ascii="Arial" w:cs="Arial" w:eastAsia="Arial" w:hAnsi="Arial"/>
          <w:color w:val="6B7280"/>
          <w:sz w:val="20"/>
          <w:szCs w:val="20"/>
        </w:rPr>
        <w:t xml:space="preserve">Effective Date: July 10, 2024</w:t>
      </w:r>
    </w:p>
    <w:p>
      <w:pPr>
        <w:spacing w:after="280"/>
        <w:jc w:val="center"/>
      </w:pPr>
      <w:r>
        <w:rPr>
          <w:rFonts w:ascii="Arial" w:cs="Arial" w:eastAsia="Arial" w:hAnsi="Arial"/>
          <w:color w:val="9CA3AF"/>
          <w:sz w:val="18"/>
          <w:szCs w:val="18"/>
        </w:rPr>
        <w:t xml:space="preserve">Document Reference: MTI-LEG-013</w:t>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RECITALS</w:t>
      </w:r>
    </w:p>
    <w:p>
      <w:pPr>
        <w:spacing w:after="80" w:before="80"/>
        <w:jc w:val="both"/>
      </w:pPr>
      <w:r>
        <w:rPr>
          <w:rFonts w:ascii="Arial" w:cs="Arial" w:eastAsia="Arial" w:hAnsi="Arial"/>
          <w:sz w:val="21"/>
          <w:szCs w:val="21"/>
        </w:rPr>
        <w:t xml:space="preserve">WHEREAS, Meridian Technologies Inc. ("Meridian") and Falcon Capital Partners LLC ("FCP"), registered in ADGM, wish to explore a potential Series B investment transaction (the "Purpose"); and</w:t>
      </w:r>
    </w:p>
    <w:p>
      <w:pPr>
        <w:spacing w:after="80" w:before="80"/>
        <w:jc w:val="both"/>
      </w:pPr>
      <w:r>
        <w:rPr>
          <w:rFonts w:ascii="Arial" w:cs="Arial" w:eastAsia="Arial" w:hAnsi="Arial"/>
          <w:sz w:val="21"/>
          <w:szCs w:val="21"/>
        </w:rPr>
        <w:t xml:space="preserve">WHEREAS, in connection with the Purpose, each party may disclose to the other certain Confidential Information; NOW, THEREFORE, the parties agree as follows:</w:t>
      </w:r>
    </w:p>
    <w:p>
      <w:pPr>
        <w:spacing w:after="60" w:before="60"/>
      </w:pPr>
      <w:r>
        <w:t xml:space="preserve"/>
      </w:r>
    </w:p>
    <w:p>
      <w:pPr>
        <w:spacing w:after="80" w:before="200"/>
      </w:pPr>
      <w:r>
        <w:rPr>
          <w:rFonts w:ascii="Arial" w:cs="Arial" w:eastAsia="Arial" w:hAnsi="Arial"/>
          <w:b/>
          <w:bCs/>
          <w:sz w:val="22"/>
          <w:szCs w:val="22"/>
        </w:rPr>
        <w:t xml:space="preserve">1.  </w:t>
      </w:r>
      <w:r>
        <w:rPr>
          <w:rFonts w:ascii="Arial" w:cs="Arial" w:eastAsia="Arial" w:hAnsi="Arial"/>
          <w:b/>
          <w:bCs/>
          <w:sz w:val="22"/>
          <w:szCs w:val="22"/>
        </w:rPr>
        <w:t xml:space="preserve">DEFINITION OF CONFIDENTIAL INFORMATION</w:t>
      </w:r>
    </w:p>
    <w:p>
      <w:pPr>
        <w:spacing w:after="80" w:before="60"/>
        <w:ind w:left="360"/>
        <w:jc w:val="both"/>
      </w:pPr>
      <w:r>
        <w:rPr>
          <w:rFonts w:ascii="Arial" w:cs="Arial" w:eastAsia="Arial" w:hAnsi="Arial"/>
          <w:sz w:val="21"/>
          <w:szCs w:val="21"/>
        </w:rPr>
        <w:t xml:space="preserve">"Confidential Information" means all non-public information disclosed by either party (the "Disclosing Party") to the other (the "Receiving Party"), whether in writing or orally, that is designated confidential or should reasonably be understood to be confidential. This includes financial data, customer lists, product roadmaps, source code, business strategies, and personnel data.</w:t>
      </w:r>
    </w:p>
    <w:p>
      <w:pPr>
        <w:spacing w:after="80" w:before="200"/>
      </w:pPr>
      <w:r>
        <w:rPr>
          <w:rFonts w:ascii="Arial" w:cs="Arial" w:eastAsia="Arial" w:hAnsi="Arial"/>
          <w:b/>
          <w:bCs/>
          <w:sz w:val="22"/>
          <w:szCs w:val="22"/>
        </w:rPr>
        <w:t xml:space="preserve">2.  </w:t>
      </w:r>
      <w:r>
        <w:rPr>
          <w:rFonts w:ascii="Arial" w:cs="Arial" w:eastAsia="Arial" w:hAnsi="Arial"/>
          <w:b/>
          <w:bCs/>
          <w:sz w:val="22"/>
          <w:szCs w:val="22"/>
        </w:rPr>
        <w:t xml:space="preserve">EXCLUSIONS</w:t>
      </w:r>
    </w:p>
    <w:p>
      <w:pPr>
        <w:spacing w:after="80" w:before="60"/>
        <w:ind w:left="360"/>
        <w:jc w:val="both"/>
      </w:pPr>
      <w:r>
        <w:rPr>
          <w:rFonts w:ascii="Arial" w:cs="Arial" w:eastAsia="Arial" w:hAnsi="Arial"/>
          <w:sz w:val="21"/>
          <w:szCs w:val="21"/>
        </w:rPr>
        <w:t xml:space="preserve">Confidential Information does not include information that: (a) is or becomes generally available to the public other than through breach of this Agreement; (b) was known to the Receiving Party prior to disclosure; (c) is rightfully obtained from a third party without restriction; or (d) is independently developed without use of the Confidential Information.</w:t>
      </w:r>
    </w:p>
    <w:p>
      <w:pPr>
        <w:spacing w:after="80" w:before="200"/>
      </w:pPr>
      <w:r>
        <w:rPr>
          <w:rFonts w:ascii="Arial" w:cs="Arial" w:eastAsia="Arial" w:hAnsi="Arial"/>
          <w:b/>
          <w:bCs/>
          <w:sz w:val="22"/>
          <w:szCs w:val="22"/>
        </w:rPr>
        <w:t xml:space="preserve">3.  </w:t>
      </w:r>
      <w:r>
        <w:rPr>
          <w:rFonts w:ascii="Arial" w:cs="Arial" w:eastAsia="Arial" w:hAnsi="Arial"/>
          <w:b/>
          <w:bCs/>
          <w:sz w:val="22"/>
          <w:szCs w:val="22"/>
        </w:rPr>
        <w:t xml:space="preserve">OBLIGATIONS OF RECEIVING PARTY</w:t>
      </w:r>
    </w:p>
    <w:p>
      <w:pPr>
        <w:spacing w:after="80" w:before="60"/>
        <w:ind w:left="360"/>
        <w:jc w:val="both"/>
      </w:pPr>
      <w:r>
        <w:rPr>
          <w:rFonts w:ascii="Arial" w:cs="Arial" w:eastAsia="Arial" w:hAnsi="Arial"/>
          <w:sz w:val="21"/>
          <w:szCs w:val="21"/>
        </w:rPr>
        <w:t xml:space="preserve">The Receiving Party shall: (a) hold the Confidential Information in strict confidence; (b) use it solely for the Purpose; (c) not disclose it to any third party without prior written consent; and (d) limit access to those with a need to know who are bound by similar confidentiality obligations.</w:t>
      </w:r>
    </w:p>
    <w:p>
      <w:pPr>
        <w:spacing w:after="80" w:before="200"/>
      </w:pPr>
      <w:r>
        <w:rPr>
          <w:rFonts w:ascii="Arial" w:cs="Arial" w:eastAsia="Arial" w:hAnsi="Arial"/>
          <w:b/>
          <w:bCs/>
          <w:sz w:val="22"/>
          <w:szCs w:val="22"/>
        </w:rPr>
        <w:t xml:space="preserve">4.  </w:t>
      </w:r>
      <w:r>
        <w:rPr>
          <w:rFonts w:ascii="Arial" w:cs="Arial" w:eastAsia="Arial" w:hAnsi="Arial"/>
          <w:b/>
          <w:bCs/>
          <w:sz w:val="22"/>
          <w:szCs w:val="22"/>
        </w:rPr>
        <w:t xml:space="preserve">PERMITTED DISCLOSURES</w:t>
      </w:r>
    </w:p>
    <w:p>
      <w:pPr>
        <w:spacing w:after="80" w:before="60"/>
        <w:ind w:left="360"/>
        <w:jc w:val="both"/>
      </w:pPr>
      <w:r>
        <w:rPr>
          <w:rFonts w:ascii="Arial" w:cs="Arial" w:eastAsia="Arial" w:hAnsi="Arial"/>
          <w:sz w:val="21"/>
          <w:szCs w:val="21"/>
        </w:rPr>
        <w:t xml:space="preserve">The Receiving Party may disclose Confidential Information if required by applicable law or court order, provided that it: (i) gives the Disclosing Party prompt prior written notice; (ii) cooperates in seeking a protective order; and (iii) discloses only the minimum information required.</w:t>
      </w:r>
    </w:p>
    <w:p>
      <w:pPr>
        <w:spacing w:after="80" w:before="200"/>
      </w:pPr>
      <w:r>
        <w:rPr>
          <w:rFonts w:ascii="Arial" w:cs="Arial" w:eastAsia="Arial" w:hAnsi="Arial"/>
          <w:b/>
          <w:bCs/>
          <w:sz w:val="22"/>
          <w:szCs w:val="22"/>
        </w:rPr>
        <w:t xml:space="preserve">5.  </w:t>
      </w:r>
      <w:r>
        <w:rPr>
          <w:rFonts w:ascii="Arial" w:cs="Arial" w:eastAsia="Arial" w:hAnsi="Arial"/>
          <w:b/>
          <w:bCs/>
          <w:sz w:val="22"/>
          <w:szCs w:val="22"/>
        </w:rPr>
        <w:t xml:space="preserve">RETURN OR DESTRUCTION</w:t>
      </w:r>
    </w:p>
    <w:p>
      <w:pPr>
        <w:spacing w:after="80" w:before="60"/>
        <w:ind w:left="360"/>
        <w:jc w:val="both"/>
      </w:pPr>
      <w:r>
        <w:rPr>
          <w:rFonts w:ascii="Arial" w:cs="Arial" w:eastAsia="Arial" w:hAnsi="Arial"/>
          <w:sz w:val="21"/>
          <w:szCs w:val="21"/>
        </w:rPr>
        <w:t xml:space="preserve">Upon written request or termination, the Receiving Party shall promptly return or certifiably destroy all Confidential Information, including copies and summaries, and provide written certification upon request.</w:t>
      </w:r>
    </w:p>
    <w:p>
      <w:pPr>
        <w:spacing w:after="80" w:before="200"/>
      </w:pPr>
      <w:r>
        <w:rPr>
          <w:rFonts w:ascii="Arial" w:cs="Arial" w:eastAsia="Arial" w:hAnsi="Arial"/>
          <w:b/>
          <w:bCs/>
          <w:sz w:val="22"/>
          <w:szCs w:val="22"/>
        </w:rPr>
        <w:t xml:space="preserve">6.  </w:t>
      </w:r>
      <w:r>
        <w:rPr>
          <w:rFonts w:ascii="Arial" w:cs="Arial" w:eastAsia="Arial" w:hAnsi="Arial"/>
          <w:b/>
          <w:bCs/>
          <w:sz w:val="22"/>
          <w:szCs w:val="22"/>
        </w:rPr>
        <w:t xml:space="preserve">TERM</w:t>
      </w:r>
    </w:p>
    <w:p>
      <w:pPr>
        <w:spacing w:after="80" w:before="60"/>
        <w:ind w:left="360"/>
        <w:jc w:val="both"/>
      </w:pPr>
      <w:r>
        <w:rPr>
          <w:rFonts w:ascii="Arial" w:cs="Arial" w:eastAsia="Arial" w:hAnsi="Arial"/>
          <w:sz w:val="21"/>
          <w:szCs w:val="21"/>
        </w:rPr>
        <w:t xml:space="preserve">This Agreement commences on the Effective Date and continues for two (2) years. Confidentiality obligations with respect to trade secrets shall survive indefinitely.</w:t>
      </w:r>
    </w:p>
    <w:p>
      <w:pPr>
        <w:spacing w:after="80" w:before="200"/>
      </w:pPr>
      <w:r>
        <w:rPr>
          <w:rFonts w:ascii="Arial" w:cs="Arial" w:eastAsia="Arial" w:hAnsi="Arial"/>
          <w:b/>
          <w:bCs/>
          <w:sz w:val="22"/>
          <w:szCs w:val="22"/>
        </w:rPr>
        <w:t xml:space="preserve">7.  </w:t>
      </w:r>
      <w:r>
        <w:rPr>
          <w:rFonts w:ascii="Arial" w:cs="Arial" w:eastAsia="Arial" w:hAnsi="Arial"/>
          <w:b/>
          <w:bCs/>
          <w:sz w:val="22"/>
          <w:szCs w:val="22"/>
        </w:rPr>
        <w:t xml:space="preserve">NO LICENSE</w:t>
      </w:r>
    </w:p>
    <w:p>
      <w:pPr>
        <w:spacing w:after="80" w:before="60"/>
        <w:ind w:left="360"/>
        <w:jc w:val="both"/>
      </w:pPr>
      <w:r>
        <w:rPr>
          <w:rFonts w:ascii="Arial" w:cs="Arial" w:eastAsia="Arial" w:hAnsi="Arial"/>
          <w:sz w:val="21"/>
          <w:szCs w:val="21"/>
        </w:rPr>
        <w:t xml:space="preserve">Nothing in this Agreement grants any right, title, license, or interest in any intellectual property of either party. No obligation to proceed with any transaction is created.</w:t>
      </w:r>
    </w:p>
    <w:p>
      <w:pPr>
        <w:spacing w:after="80" w:before="200"/>
      </w:pPr>
      <w:r>
        <w:rPr>
          <w:rFonts w:ascii="Arial" w:cs="Arial" w:eastAsia="Arial" w:hAnsi="Arial"/>
          <w:b/>
          <w:bCs/>
          <w:sz w:val="22"/>
          <w:szCs w:val="22"/>
        </w:rPr>
        <w:t xml:space="preserve">8.  </w:t>
      </w:r>
      <w:r>
        <w:rPr>
          <w:rFonts w:ascii="Arial" w:cs="Arial" w:eastAsia="Arial" w:hAnsi="Arial"/>
          <w:b/>
          <w:bCs/>
          <w:sz w:val="22"/>
          <w:szCs w:val="22"/>
        </w:rPr>
        <w:t xml:space="preserve">REMEDIES</w:t>
      </w:r>
    </w:p>
    <w:p>
      <w:pPr>
        <w:spacing w:after="80" w:before="60"/>
        <w:ind w:left="360"/>
        <w:jc w:val="both"/>
      </w:pPr>
      <w:r>
        <w:rPr>
          <w:rFonts w:ascii="Arial" w:cs="Arial" w:eastAsia="Arial" w:hAnsi="Arial"/>
          <w:sz w:val="21"/>
          <w:szCs w:val="21"/>
        </w:rPr>
        <w:t xml:space="preserve">Each party acknowledges that breach may cause irreparable harm for which monetary damages would be inadequate. Accordingly, equitable relief, including injunction and specific performance, may be sought in addition to all other remedies.</w:t>
      </w:r>
    </w:p>
    <w:p>
      <w:pPr>
        <w:spacing w:after="80" w:before="200"/>
      </w:pPr>
      <w:r>
        <w:rPr>
          <w:rFonts w:ascii="Arial" w:cs="Arial" w:eastAsia="Arial" w:hAnsi="Arial"/>
          <w:b/>
          <w:bCs/>
          <w:sz w:val="22"/>
          <w:szCs w:val="22"/>
        </w:rPr>
        <w:t xml:space="preserve">9.  </w:t>
      </w:r>
      <w:r>
        <w:rPr>
          <w:rFonts w:ascii="Arial" w:cs="Arial" w:eastAsia="Arial" w:hAnsi="Arial"/>
          <w:b/>
          <w:bCs/>
          <w:sz w:val="22"/>
          <w:szCs w:val="22"/>
        </w:rPr>
        <w:t xml:space="preserve">GOVERNING LAW</w:t>
      </w:r>
    </w:p>
    <w:p>
      <w:pPr>
        <w:spacing w:after="80" w:before="60"/>
        <w:ind w:left="360"/>
        <w:jc w:val="both"/>
      </w:pPr>
      <w:r>
        <w:rPr>
          <w:rFonts w:ascii="Arial" w:cs="Arial" w:eastAsia="Arial" w:hAnsi="Arial"/>
          <w:sz w:val="21"/>
          <w:szCs w:val="21"/>
        </w:rPr>
        <w:t xml:space="preserve">This Agreement is governed by the laws of the Abu Dhabi Global Market (ADGM). Disputes shall be referred to the ADGM Courts.</w:t>
      </w:r>
    </w:p>
    <w:p>
      <w:pPr>
        <w:spacing w:after="60" w:before="60"/>
      </w:pPr>
      <w:r>
        <w:t xml:space="preserve"/>
      </w:r>
    </w:p>
    <w:p>
      <w:pPr>
        <w:pBdr>
          <w:bottom w:val="single" w:color="1E3A5F" w:sz="4" w:space="1"/>
        </w:pBdr>
        <w:spacing w:after="160" w:before="160"/>
      </w:pPr>
    </w:p>
    <w:p>
      <w:pPr>
        <w:spacing w:after="100" w:before="220"/>
      </w:pPr>
      <w:r>
        <w:rPr>
          <w:rFonts w:ascii="Arial" w:cs="Arial" w:eastAsia="Arial" w:hAnsi="Arial"/>
          <w:b/>
          <w:bCs/>
          <w:color w:val="1E3A5F"/>
          <w:sz w:val="24"/>
          <w:szCs w:val="24"/>
        </w:rPr>
        <w:t xml:space="preserve">SIGNATURES</w:t>
      </w:r>
    </w:p>
    <w:p>
      <w:pPr>
        <w:spacing w:after="60" w:before="60"/>
      </w:pPr>
      <w:r>
        <w:t xml:space="preserve"/>
      </w:r>
    </w:p>
    <w:p>
      <w:pPr>
        <w:spacing w:after="60" w:before="180"/>
      </w:pPr>
      <w:r>
        <w:rPr>
          <w:rFonts w:ascii="Arial" w:cs="Arial" w:eastAsia="Arial" w:hAnsi="Arial"/>
          <w:b/>
          <w:bCs/>
          <w:sz w:val="21"/>
          <w:szCs w:val="21"/>
        </w:rPr>
        <w:t xml:space="preserve">MERIDIAN TECHNOLOGIES INC.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Sarah Al-Mansoori</w:t>
      </w:r>
    </w:p>
    <w:p>
      <w:pPr>
        <w:spacing w:after="60" w:before="60"/>
      </w:pPr>
      <w:r>
        <w:rPr>
          <w:rFonts w:ascii="Arial" w:cs="Arial" w:eastAsia="Arial" w:hAnsi="Arial"/>
          <w:sz w:val="21"/>
          <w:szCs w:val="21"/>
        </w:rPr>
        <w:t xml:space="preserve">Title: Chief Financial Officer</w:t>
      </w:r>
    </w:p>
    <w:p>
      <w:pPr>
        <w:spacing w:after="120" w:before="60"/>
      </w:pPr>
      <w:r>
        <w:rPr>
          <w:rFonts w:ascii="Arial" w:cs="Arial" w:eastAsia="Arial" w:hAnsi="Arial"/>
          <w:sz w:val="21"/>
          <w:szCs w:val="21"/>
        </w:rPr>
        <w:t xml:space="preserve">Date: July 10, 2024</w:t>
      </w:r>
    </w:p>
    <w:p>
      <w:pPr>
        <w:spacing w:after="60" w:before="180"/>
      </w:pPr>
      <w:r>
        <w:rPr>
          <w:rFonts w:ascii="Arial" w:cs="Arial" w:eastAsia="Arial" w:hAnsi="Arial"/>
          <w:b/>
          <w:bCs/>
          <w:sz w:val="21"/>
          <w:szCs w:val="21"/>
        </w:rPr>
        <w:t xml:space="preserve">FALCON CAPITAL PARTNERS LLC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James Whitfield</w:t>
      </w:r>
    </w:p>
    <w:p>
      <w:pPr>
        <w:spacing w:after="60" w:before="60"/>
      </w:pPr>
      <w:r>
        <w:rPr>
          <w:rFonts w:ascii="Arial" w:cs="Arial" w:eastAsia="Arial" w:hAnsi="Arial"/>
          <w:sz w:val="21"/>
          <w:szCs w:val="21"/>
        </w:rPr>
        <w:t xml:space="preserve">Title: Managing Partner</w:t>
      </w:r>
    </w:p>
    <w:p>
      <w:pPr>
        <w:spacing w:after="120" w:before="60"/>
      </w:pPr>
      <w:r>
        <w:rPr>
          <w:rFonts w:ascii="Arial" w:cs="Arial" w:eastAsia="Arial" w:hAnsi="Arial"/>
          <w:sz w:val="21"/>
          <w:szCs w:val="21"/>
        </w:rPr>
        <w:t xml:space="preserve">Date: July 10, 2024</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2026-04-04T09:52:21.161Z</dcterms:created>
  <dcterms:modified xsi:type="dcterms:W3CDTF">2026-04-04T09:52:21.161Z</dcterms:modified>
</cp:coreProperties>
</file>

<file path=docProps/custom.xml><?xml version="1.0" encoding="utf-8"?>
<Properties xmlns="http://schemas.openxmlformats.org/officeDocument/2006/custom-properties" xmlns:vt="http://schemas.openxmlformats.org/officeDocument/2006/docPropsVTypes"/>
</file>