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jc w:val="center"/>
      </w:pPr>
      <w:r>
        <w:rPr>
          <w:rFonts w:ascii="Arial" w:cs="Arial" w:eastAsia="Arial" w:hAnsi="Arial"/>
          <w:color w:val="6B7280"/>
          <w:sz w:val="18"/>
          <w:szCs w:val="18"/>
        </w:rPr>
        <w:t xml:space="preserve">Office 1402, API World Tower, Sheikh Zayed Road, Dubai, UAE</w:t>
      </w:r>
    </w:p>
    <w:p>
      <w:pPr>
        <w:spacing w:after="200"/>
        <w:jc w:val="center"/>
      </w:pPr>
      <w:r>
        <w:rPr>
          <w:rFonts w:ascii="Arial" w:cs="Arial" w:eastAsia="Arial" w:hAnsi="Arial"/>
          <w:color w:val="6B7280"/>
          <w:sz w:val="18"/>
          <w:szCs w:val="18"/>
        </w:rPr>
        <w:t xml:space="preserve">TRN: 100423876100003  |  legal@meridiantech.com</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DATA PROCESSING AGREEMENT</w:t>
      </w:r>
    </w:p>
    <w:p>
      <w:pPr>
        <w:spacing w:after="100"/>
        <w:jc w:val="center"/>
      </w:pPr>
      <w:r>
        <w:rPr>
          <w:rFonts w:ascii="Arial" w:cs="Arial" w:eastAsia="Arial" w:hAnsi="Arial"/>
          <w:b/>
          <w:bCs/>
          <w:color w:val="1E3A5F"/>
          <w:sz w:val="38"/>
          <w:szCs w:val="38"/>
        </w:rPr>
        <w:t xml:space="preserve">UAE PDPL Compliant DPA</w:t>
      </w:r>
    </w:p>
    <w:p>
      <w:pPr>
        <w:spacing w:after="80"/>
        <w:jc w:val="center"/>
      </w:pPr>
      <w:r>
        <w:rPr>
          <w:rFonts w:ascii="Arial" w:cs="Arial" w:eastAsia="Arial" w:hAnsi="Arial"/>
          <w:color w:val="374151"/>
          <w:sz w:val="22"/>
          <w:szCs w:val="22"/>
        </w:rPr>
        <w:t xml:space="preserve">Meridian Technologies Inc. (Processor) and Abu Dhabi Department of Health (Controller)</w:t>
      </w:r>
    </w:p>
    <w:p>
      <w:pPr>
        <w:jc w:val="center"/>
      </w:pPr>
      <w:r>
        <w:rPr>
          <w:rFonts w:ascii="Arial" w:cs="Arial" w:eastAsia="Arial" w:hAnsi="Arial"/>
          <w:color w:val="6B7280"/>
          <w:sz w:val="20"/>
          <w:szCs w:val="20"/>
        </w:rPr>
        <w:t xml:space="preserve">Effective Date: April 15, 2024</w:t>
      </w:r>
    </w:p>
    <w:p>
      <w:pPr>
        <w:spacing w:after="280"/>
        <w:jc w:val="center"/>
      </w:pPr>
      <w:r>
        <w:rPr>
          <w:rFonts w:ascii="Arial" w:cs="Arial" w:eastAsia="Arial" w:hAnsi="Arial"/>
          <w:color w:val="9CA3AF"/>
          <w:sz w:val="18"/>
          <w:szCs w:val="18"/>
        </w:rPr>
        <w:t xml:space="preserve">Document Reference: MTI-LEG-014</w:t>
      </w:r>
    </w:p>
    <w:p>
      <w:pPr>
        <w:pBdr>
          <w:bottom w:val="single" w:color="1E3A5F" w:sz="4" w:space="1"/>
        </w:pBdr>
        <w:spacing w:after="160" w:before="160"/>
      </w:pPr>
    </w:p>
    <w:p>
      <w:pPr>
        <w:spacing w:after="60" w:before="60"/>
      </w:pPr>
      <w:r>
        <w:t xml:space="preserve"/>
      </w:r>
    </w:p>
    <w:p>
      <w:pPr>
        <w:spacing w:after="100" w:before="220"/>
      </w:pPr>
      <w:r>
        <w:rPr>
          <w:rFonts w:ascii="Arial" w:cs="Arial" w:eastAsia="Arial" w:hAnsi="Arial"/>
          <w:b/>
          <w:bCs/>
          <w:color w:val="1E3A5F"/>
          <w:sz w:val="24"/>
          <w:szCs w:val="24"/>
        </w:rPr>
        <w:t xml:space="preserve">BACKGROUND</w:t>
      </w:r>
    </w:p>
    <w:p>
      <w:pPr>
        <w:spacing w:after="80" w:before="80"/>
        <w:jc w:val="both"/>
      </w:pPr>
      <w:r>
        <w:rPr>
          <w:rFonts w:ascii="Arial" w:cs="Arial" w:eastAsia="Arial" w:hAnsi="Arial"/>
          <w:sz w:val="21"/>
          <w:szCs w:val="21"/>
        </w:rPr>
        <w:t xml:space="preserve">This Data Processing Agreement ("DPA") forms part of the Master Services Agreement between the parties dated March 1, 2024 (Ref: MTI-MSA-2024-006). It governs the processing of Personal Data by Meridian as Processor on behalf of the Abu Dhabi Department of Health ("DoH" or "Controller").</w:t>
      </w:r>
    </w:p>
    <w:p>
      <w:pPr>
        <w:spacing w:after="60" w:before="60"/>
      </w:pPr>
      <w:r>
        <w:t xml:space="preserve"/>
      </w:r>
    </w:p>
    <w:p>
      <w:pPr>
        <w:spacing w:after="80" w:before="200"/>
      </w:pPr>
      <w:r>
        <w:rPr>
          <w:rFonts w:ascii="Arial" w:cs="Arial" w:eastAsia="Arial" w:hAnsi="Arial"/>
          <w:b/>
          <w:bCs/>
          <w:sz w:val="22"/>
          <w:szCs w:val="22"/>
        </w:rPr>
        <w:t xml:space="preserve">1.  </w:t>
      </w:r>
      <w:r>
        <w:rPr>
          <w:rFonts w:ascii="Arial" w:cs="Arial" w:eastAsia="Arial" w:hAnsi="Arial"/>
          <w:b/>
          <w:bCs/>
          <w:sz w:val="22"/>
          <w:szCs w:val="22"/>
        </w:rPr>
        <w:t xml:space="preserve">DEFINITIONS</w:t>
      </w:r>
    </w:p>
    <w:p>
      <w:pPr>
        <w:spacing w:after="60" w:before="60"/>
        <w:ind w:left="720"/>
        <w:jc w:val="both"/>
      </w:pPr>
      <w:r>
        <w:rPr>
          <w:rFonts w:ascii="Arial" w:cs="Arial" w:eastAsia="Arial" w:hAnsi="Arial"/>
          <w:b/>
          <w:bCs/>
          <w:sz w:val="21"/>
          <w:szCs w:val="21"/>
        </w:rPr>
        <w:t xml:space="preserve">1.1   </w:t>
      </w:r>
      <w:r>
        <w:rPr>
          <w:rFonts w:ascii="Arial" w:cs="Arial" w:eastAsia="Arial" w:hAnsi="Arial"/>
          <w:sz w:val="21"/>
          <w:szCs w:val="21"/>
        </w:rPr>
        <w:t xml:space="preserve">"Personal Data" means any information relating to an identified or identifiable natural person, as defined under UAE Federal Decree-Law No. 45 of 2021 (PDPL) and, where applicable, the EU GDPR.</w:t>
      </w:r>
    </w:p>
    <w:p>
      <w:pPr>
        <w:spacing w:after="60" w:before="60"/>
        <w:ind w:left="720"/>
        <w:jc w:val="both"/>
      </w:pPr>
      <w:r>
        <w:rPr>
          <w:rFonts w:ascii="Arial" w:cs="Arial" w:eastAsia="Arial" w:hAnsi="Arial"/>
          <w:b/>
          <w:bCs/>
          <w:sz w:val="21"/>
          <w:szCs w:val="21"/>
        </w:rPr>
        <w:t xml:space="preserve">1.2   </w:t>
      </w:r>
      <w:r>
        <w:rPr>
          <w:rFonts w:ascii="Arial" w:cs="Arial" w:eastAsia="Arial" w:hAnsi="Arial"/>
          <w:sz w:val="21"/>
          <w:szCs w:val="21"/>
        </w:rPr>
        <w:t xml:space="preserve">"Processing" means any operation performed on Personal Data, including collection, storage, use, transfer, or deletion.</w:t>
      </w:r>
    </w:p>
    <w:p>
      <w:pPr>
        <w:spacing w:after="60" w:before="60"/>
        <w:ind w:left="720"/>
        <w:jc w:val="both"/>
      </w:pPr>
      <w:r>
        <w:rPr>
          <w:rFonts w:ascii="Arial" w:cs="Arial" w:eastAsia="Arial" w:hAnsi="Arial"/>
          <w:b/>
          <w:bCs/>
          <w:sz w:val="21"/>
          <w:szCs w:val="21"/>
        </w:rPr>
        <w:t xml:space="preserve">1.3   </w:t>
      </w:r>
      <w:r>
        <w:rPr>
          <w:rFonts w:ascii="Arial" w:cs="Arial" w:eastAsia="Arial" w:hAnsi="Arial"/>
          <w:sz w:val="21"/>
          <w:szCs w:val="21"/>
        </w:rPr>
        <w:t xml:space="preserve">"Data Subject" means the individual to whom Personal Data relates.</w:t>
      </w:r>
    </w:p>
    <w:p>
      <w:pPr>
        <w:spacing w:after="60" w:before="60"/>
        <w:ind w:left="720"/>
        <w:jc w:val="both"/>
      </w:pPr>
      <w:r>
        <w:rPr>
          <w:rFonts w:ascii="Arial" w:cs="Arial" w:eastAsia="Arial" w:hAnsi="Arial"/>
          <w:b/>
          <w:bCs/>
          <w:sz w:val="21"/>
          <w:szCs w:val="21"/>
        </w:rPr>
        <w:t xml:space="preserve">1.4   </w:t>
      </w:r>
      <w:r>
        <w:rPr>
          <w:rFonts w:ascii="Arial" w:cs="Arial" w:eastAsia="Arial" w:hAnsi="Arial"/>
          <w:sz w:val="21"/>
          <w:szCs w:val="21"/>
        </w:rPr>
        <w:t xml:space="preserve">"Sub-processor" means any third party engaged by Processor to process Personal Data.</w:t>
      </w:r>
    </w:p>
    <w:p>
      <w:pPr>
        <w:spacing w:after="80" w:before="200"/>
      </w:pPr>
      <w:r>
        <w:rPr>
          <w:rFonts w:ascii="Arial" w:cs="Arial" w:eastAsia="Arial" w:hAnsi="Arial"/>
          <w:b/>
          <w:bCs/>
          <w:sz w:val="22"/>
          <w:szCs w:val="22"/>
        </w:rPr>
        <w:t xml:space="preserve">2.  </w:t>
      </w:r>
      <w:r>
        <w:rPr>
          <w:rFonts w:ascii="Arial" w:cs="Arial" w:eastAsia="Arial" w:hAnsi="Arial"/>
          <w:b/>
          <w:bCs/>
          <w:sz w:val="22"/>
          <w:szCs w:val="22"/>
        </w:rPr>
        <w:t xml:space="preserve">SCOPE OF PROCESSING</w:t>
      </w:r>
    </w:p>
    <w:p>
      <w:pPr>
        <w:spacing w:after="60" w:before="60"/>
        <w:ind w:left="720"/>
        <w:jc w:val="both"/>
      </w:pPr>
      <w:r>
        <w:rPr>
          <w:rFonts w:ascii="Arial" w:cs="Arial" w:eastAsia="Arial" w:hAnsi="Arial"/>
          <w:b/>
          <w:bCs/>
          <w:sz w:val="21"/>
          <w:szCs w:val="21"/>
        </w:rPr>
        <w:t xml:space="preserve">2.1   </w:t>
      </w:r>
      <w:r>
        <w:rPr>
          <w:rFonts w:ascii="Arial" w:cs="Arial" w:eastAsia="Arial" w:hAnsi="Arial"/>
          <w:sz w:val="21"/>
          <w:szCs w:val="21"/>
        </w:rPr>
        <w:t xml:space="preserve">Categories of Data Subjects: Healthcare employees, administrative staff, and system users of the Controller.</w:t>
      </w:r>
    </w:p>
    <w:p>
      <w:pPr>
        <w:spacing w:after="60" w:before="60"/>
        <w:ind w:left="720"/>
        <w:jc w:val="both"/>
      </w:pPr>
      <w:r>
        <w:rPr>
          <w:rFonts w:ascii="Arial" w:cs="Arial" w:eastAsia="Arial" w:hAnsi="Arial"/>
          <w:b/>
          <w:bCs/>
          <w:sz w:val="21"/>
          <w:szCs w:val="21"/>
        </w:rPr>
        <w:t xml:space="preserve">2.2   </w:t>
      </w:r>
      <w:r>
        <w:rPr>
          <w:rFonts w:ascii="Arial" w:cs="Arial" w:eastAsia="Arial" w:hAnsi="Arial"/>
          <w:sz w:val="21"/>
          <w:szCs w:val="21"/>
        </w:rPr>
        <w:t xml:space="preserve">Categories of Personal Data: Names, employee IDs, email addresses, role/department data, system access logs, and activity metadata.</w:t>
      </w:r>
    </w:p>
    <w:p>
      <w:pPr>
        <w:spacing w:after="60" w:before="60"/>
        <w:ind w:left="720"/>
        <w:jc w:val="both"/>
      </w:pPr>
      <w:r>
        <w:rPr>
          <w:rFonts w:ascii="Arial" w:cs="Arial" w:eastAsia="Arial" w:hAnsi="Arial"/>
          <w:b/>
          <w:bCs/>
          <w:sz w:val="21"/>
          <w:szCs w:val="21"/>
        </w:rPr>
        <w:t xml:space="preserve">2.3   </w:t>
      </w:r>
      <w:r>
        <w:rPr>
          <w:rFonts w:ascii="Arial" w:cs="Arial" w:eastAsia="Arial" w:hAnsi="Arial"/>
          <w:sz w:val="21"/>
          <w:szCs w:val="21"/>
        </w:rPr>
        <w:t xml:space="preserve">Purpose: Provision of Meridian Platform services as described in the Master Services Agreement.</w:t>
      </w:r>
    </w:p>
    <w:p>
      <w:pPr>
        <w:spacing w:after="60" w:before="60"/>
        <w:ind w:left="720"/>
        <w:jc w:val="both"/>
      </w:pPr>
      <w:r>
        <w:rPr>
          <w:rFonts w:ascii="Arial" w:cs="Arial" w:eastAsia="Arial" w:hAnsi="Arial"/>
          <w:b/>
          <w:bCs/>
          <w:sz w:val="21"/>
          <w:szCs w:val="21"/>
        </w:rPr>
        <w:t xml:space="preserve">2.4   </w:t>
      </w:r>
      <w:r>
        <w:rPr>
          <w:rFonts w:ascii="Arial" w:cs="Arial" w:eastAsia="Arial" w:hAnsi="Arial"/>
          <w:sz w:val="21"/>
          <w:szCs w:val="21"/>
        </w:rPr>
        <w:t xml:space="preserve">Duration: For the term of the Master Services Agreement and for up to ninety (90) days thereafter.</w:t>
      </w:r>
    </w:p>
    <w:p>
      <w:pPr>
        <w:spacing w:after="80" w:before="200"/>
      </w:pPr>
      <w:r>
        <w:rPr>
          <w:rFonts w:ascii="Arial" w:cs="Arial" w:eastAsia="Arial" w:hAnsi="Arial"/>
          <w:b/>
          <w:bCs/>
          <w:sz w:val="22"/>
          <w:szCs w:val="22"/>
        </w:rPr>
        <w:t xml:space="preserve">3.  </w:t>
      </w:r>
      <w:r>
        <w:rPr>
          <w:rFonts w:ascii="Arial" w:cs="Arial" w:eastAsia="Arial" w:hAnsi="Arial"/>
          <w:b/>
          <w:bCs/>
          <w:sz w:val="22"/>
          <w:szCs w:val="22"/>
        </w:rPr>
        <w:t xml:space="preserve">OBLIGATIONS OF PROCESSOR</w:t>
      </w:r>
    </w:p>
    <w:p>
      <w:pPr>
        <w:spacing w:after="80" w:before="60"/>
        <w:ind w:left="360"/>
        <w:jc w:val="both"/>
      </w:pPr>
      <w:r>
        <w:rPr>
          <w:rFonts w:ascii="Arial" w:cs="Arial" w:eastAsia="Arial" w:hAnsi="Arial"/>
          <w:sz w:val="21"/>
          <w:szCs w:val="21"/>
        </w:rPr>
        <w:t xml:space="preserve">Meridian shall: (a) process Personal Data only on documented instructions from Controller; (b) ensure personnel with access are bound by confidentiality obligations; (c) implement and maintain appropriate technical and organisational security measures per Schedule 1; (d) assist Controller in responding to Data Subject requests within legally required timeframes; (e) notify Controller within 72 hours of becoming aware of a Personal Data breach; and (f) delete or return all Personal Data upon termination of the Agreement.</w:t>
      </w:r>
    </w:p>
    <w:p>
      <w:pPr>
        <w:spacing w:after="80" w:before="200"/>
      </w:pPr>
      <w:r>
        <w:rPr>
          <w:rFonts w:ascii="Arial" w:cs="Arial" w:eastAsia="Arial" w:hAnsi="Arial"/>
          <w:b/>
          <w:bCs/>
          <w:sz w:val="22"/>
          <w:szCs w:val="22"/>
        </w:rPr>
        <w:t xml:space="preserve">4.  </w:t>
      </w:r>
      <w:r>
        <w:rPr>
          <w:rFonts w:ascii="Arial" w:cs="Arial" w:eastAsia="Arial" w:hAnsi="Arial"/>
          <w:b/>
          <w:bCs/>
          <w:sz w:val="22"/>
          <w:szCs w:val="22"/>
        </w:rPr>
        <w:t xml:space="preserve">SUB-PROCESSORS</w:t>
      </w:r>
    </w:p>
    <w:p>
      <w:pPr>
        <w:spacing w:after="80" w:before="60"/>
        <w:ind w:left="360"/>
        <w:jc w:val="both"/>
      </w:pPr>
      <w:r>
        <w:rPr>
          <w:rFonts w:ascii="Arial" w:cs="Arial" w:eastAsia="Arial" w:hAnsi="Arial"/>
          <w:sz w:val="21"/>
          <w:szCs w:val="21"/>
        </w:rPr>
        <w:t xml:space="preserve">Processor shall not engage any new Sub-processor without prior written consent of Controller. Approved Sub-processors are listed in Schedule 2. Processor remains fully liable for Sub-processor compliance with this DPA.</w:t>
      </w:r>
    </w:p>
    <w:p>
      <w:pPr>
        <w:spacing w:after="80" w:before="200"/>
      </w:pPr>
      <w:r>
        <w:rPr>
          <w:rFonts w:ascii="Arial" w:cs="Arial" w:eastAsia="Arial" w:hAnsi="Arial"/>
          <w:b/>
          <w:bCs/>
          <w:sz w:val="22"/>
          <w:szCs w:val="22"/>
        </w:rPr>
        <w:t xml:space="preserve">5.  </w:t>
      </w:r>
      <w:r>
        <w:rPr>
          <w:rFonts w:ascii="Arial" w:cs="Arial" w:eastAsia="Arial" w:hAnsi="Arial"/>
          <w:b/>
          <w:bCs/>
          <w:sz w:val="22"/>
          <w:szCs w:val="22"/>
        </w:rPr>
        <w:t xml:space="preserve">INTERNATIONAL TRANSFERS</w:t>
      </w:r>
    </w:p>
    <w:p>
      <w:pPr>
        <w:spacing w:after="80" w:before="60"/>
        <w:ind w:left="360"/>
        <w:jc w:val="both"/>
      </w:pPr>
      <w:r>
        <w:rPr>
          <w:rFonts w:ascii="Arial" w:cs="Arial" w:eastAsia="Arial" w:hAnsi="Arial"/>
          <w:sz w:val="21"/>
          <w:szCs w:val="21"/>
        </w:rPr>
        <w:t xml:space="preserve">Personal Data shall not be transferred outside the UAE without prior written consent of Controller, except as set out in Schedule 2. Any approved transfers shall be subject to appropriate safeguards in accordance with UAE PDPL Article 26.</w:t>
      </w:r>
    </w:p>
    <w:p>
      <w:pPr>
        <w:spacing w:after="80" w:before="200"/>
      </w:pPr>
      <w:r>
        <w:rPr>
          <w:rFonts w:ascii="Arial" w:cs="Arial" w:eastAsia="Arial" w:hAnsi="Arial"/>
          <w:b/>
          <w:bCs/>
          <w:sz w:val="22"/>
          <w:szCs w:val="22"/>
        </w:rPr>
        <w:t xml:space="preserve">6.  </w:t>
      </w:r>
      <w:r>
        <w:rPr>
          <w:rFonts w:ascii="Arial" w:cs="Arial" w:eastAsia="Arial" w:hAnsi="Arial"/>
          <w:b/>
          <w:bCs/>
          <w:sz w:val="22"/>
          <w:szCs w:val="22"/>
        </w:rPr>
        <w:t xml:space="preserve">AUDIT RIGHTS</w:t>
      </w:r>
    </w:p>
    <w:p>
      <w:pPr>
        <w:spacing w:after="80" w:before="60"/>
        <w:ind w:left="360"/>
        <w:jc w:val="both"/>
      </w:pPr>
      <w:r>
        <w:rPr>
          <w:rFonts w:ascii="Arial" w:cs="Arial" w:eastAsia="Arial" w:hAnsi="Arial"/>
          <w:sz w:val="21"/>
          <w:szCs w:val="21"/>
        </w:rPr>
        <w:t xml:space="preserve">Controller may, with thirty (30) days' written notice and no more than once per year, audit Processor's compliance with this DPA. Processor may satisfy this obligation by providing its most recent ISO 27001 certificate and SOC 2 report.</w:t>
      </w:r>
    </w:p>
    <w:p>
      <w:pPr>
        <w:spacing w:after="60" w:before="60"/>
      </w:pPr>
      <w:r>
        <w:t xml:space="preserve"/>
      </w:r>
    </w:p>
    <w:p>
      <w:pPr>
        <w:spacing w:after="100" w:before="220"/>
      </w:pPr>
      <w:r>
        <w:rPr>
          <w:rFonts w:ascii="Arial" w:cs="Arial" w:eastAsia="Arial" w:hAnsi="Arial"/>
          <w:b/>
          <w:bCs/>
          <w:color w:val="1E3A5F"/>
          <w:sz w:val="24"/>
          <w:szCs w:val="24"/>
        </w:rPr>
        <w:t xml:space="preserve">SCHEDULE 1 -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Control Domain</w:t>
            </w:r>
          </w:p>
        </w:tc>
        <w:tc>
          <w:tcPr>
            <w:tcW w:type="dxa" w:w="58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Measure Implemented</w:t>
            </w:r>
          </w:p>
        </w:tc>
      </w:tr>
      <w:tr>
        <w:tc>
          <w:tcPr>
            <w:tcW w:type="dxa" w:w="3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Encryption</w:t>
            </w:r>
          </w:p>
        </w:tc>
        <w:tc>
          <w:tcPr>
            <w:tcW w:type="dxa" w:w="5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AES-256 at rest; TLS 1.3 in transit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Access Control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MFA enforced; RBAC; quarterly access reviews</w:t>
            </w:r>
          </w:p>
        </w:tc>
      </w:tr>
      <w:tr>
        <w:tc>
          <w:tcPr>
            <w:tcW w:type="dxa" w:w="3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Logging &amp; Monitoring</w:t>
            </w:r>
          </w:p>
        </w:tc>
        <w:tc>
          <w:tcPr>
            <w:tcW w:type="dxa" w:w="5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SIEM with 12-month retention; real-time alerting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Vulnerability Management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Monthly scans; annual pen test by approved third party</w:t>
            </w:r>
          </w:p>
        </w:tc>
      </w:tr>
      <w:tr>
        <w:tc>
          <w:tcPr>
            <w:tcW w:type="dxa" w:w="3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Incident Response</w:t>
            </w:r>
          </w:p>
        </w:tc>
        <w:tc>
          <w:tcPr>
            <w:tcW w:type="dxa" w:w="5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Documented IRP; 72-hour breach notification SLA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Residency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data hosted in UAE (AWS me-central-1 region)</w:t>
            </w:r>
          </w:p>
        </w:tc>
      </w:tr>
    </w:tbl>
    <w:p>
      <w:pPr>
        <w:spacing w:after="60" w:before="60"/>
      </w:pPr>
      <w:r>
        <w:t xml:space="preserve"/>
      </w:r>
    </w:p>
    <w:p>
      <w:pPr>
        <w:spacing w:after="100" w:before="220"/>
      </w:pPr>
      <w:r>
        <w:rPr>
          <w:rFonts w:ascii="Arial" w:cs="Arial" w:eastAsia="Arial" w:hAnsi="Arial"/>
          <w:b/>
          <w:bCs/>
          <w:color w:val="1E3A5F"/>
          <w:sz w:val="24"/>
          <w:szCs w:val="24"/>
        </w:rPr>
        <w:t xml:space="preserve">SCHEDULE 2 - APPROVED SUB-PROCESSORS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Sub-processor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Location</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Amazon Web Services (AWS)</w:t>
            </w:r>
          </w:p>
        </w:tc>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Cloud Infrastructure (me-central-1)</w:t>
            </w:r>
          </w:p>
        </w:tc>
        <w:tc>
          <w:tcPr>
            <w:tcW w:type="dxa" w:w="1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UAE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Elastic NV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 Management and Search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Netherlands (SCCs in place)</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SendGrid (Twilio)</w:t>
            </w:r>
          </w:p>
        </w:tc>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Transactional Email Delivery</w:t>
            </w:r>
          </w:p>
        </w:tc>
        <w:tc>
          <w:tcPr>
            <w:tcW w:type="dxa" w:w="1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USA (SCCs in place)</w:t>
            </w:r>
          </w:p>
        </w:tc>
      </w:tr>
    </w:tbl>
    <w:p>
      <w:pPr>
        <w:spacing w:after="60" w:before="60"/>
      </w:pPr>
      <w:r>
        <w:t xml:space="preserve"/>
      </w:r>
    </w:p>
    <w:p>
      <w:pPr>
        <w:pBdr>
          <w:bottom w:val="single" w:color="1E3A5F" w:sz="4" w:space="1"/>
        </w:pBdr>
        <w:spacing w:after="160" w:before="160"/>
      </w:pPr>
    </w:p>
    <w:p>
      <w:pPr>
        <w:spacing w:after="100" w:before="220"/>
      </w:pPr>
      <w:r>
        <w:rPr>
          <w:rFonts w:ascii="Arial" w:cs="Arial" w:eastAsia="Arial" w:hAnsi="Arial"/>
          <w:b/>
          <w:bCs/>
          <w:color w:val="1E3A5F"/>
          <w:sz w:val="24"/>
          <w:szCs w:val="24"/>
        </w:rPr>
        <w:t xml:space="preserve">SIGNATURES</w:t>
      </w:r>
    </w:p>
    <w:p>
      <w:pPr>
        <w:spacing w:after="60" w:before="60"/>
      </w:pPr>
      <w:r>
        <w:t xml:space="preserve"/>
      </w:r>
    </w:p>
    <w:p>
      <w:pPr>
        <w:spacing w:after="60" w:before="180"/>
      </w:pPr>
      <w:r>
        <w:rPr>
          <w:rFonts w:ascii="Arial" w:cs="Arial" w:eastAsia="Arial" w:hAnsi="Arial"/>
          <w:b/>
          <w:bCs/>
          <w:sz w:val="21"/>
          <w:szCs w:val="21"/>
        </w:rPr>
        <w:t xml:space="preserve">PROCESSOR - Meridian Technologies Inc.</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Omar Khalil</w:t>
      </w:r>
    </w:p>
    <w:p>
      <w:pPr>
        <w:spacing w:after="60" w:before="60"/>
      </w:pPr>
      <w:r>
        <w:rPr>
          <w:rFonts w:ascii="Arial" w:cs="Arial" w:eastAsia="Arial" w:hAnsi="Arial"/>
          <w:sz w:val="21"/>
          <w:szCs w:val="21"/>
        </w:rPr>
        <w:t xml:space="preserve">Title: Chief Executive Officer</w:t>
      </w:r>
    </w:p>
    <w:p>
      <w:pPr>
        <w:spacing w:after="120" w:before="60"/>
      </w:pPr>
      <w:r>
        <w:rPr>
          <w:rFonts w:ascii="Arial" w:cs="Arial" w:eastAsia="Arial" w:hAnsi="Arial"/>
          <w:sz w:val="21"/>
          <w:szCs w:val="21"/>
        </w:rPr>
        <w:t xml:space="preserve">Date: April 15, 2024</w:t>
      </w:r>
    </w:p>
    <w:p>
      <w:pPr>
        <w:spacing w:after="60" w:before="180"/>
      </w:pPr>
      <w:r>
        <w:rPr>
          <w:rFonts w:ascii="Arial" w:cs="Arial" w:eastAsia="Arial" w:hAnsi="Arial"/>
          <w:b/>
          <w:bCs/>
          <w:sz w:val="21"/>
          <w:szCs w:val="21"/>
        </w:rPr>
        <w:t xml:space="preserve">CONTROLLER - Abu Dhabi Department of Health</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Dr. Hessa Al-Khoori</w:t>
      </w:r>
    </w:p>
    <w:p>
      <w:pPr>
        <w:spacing w:after="60" w:before="60"/>
      </w:pPr>
      <w:r>
        <w:rPr>
          <w:rFonts w:ascii="Arial" w:cs="Arial" w:eastAsia="Arial" w:hAnsi="Arial"/>
          <w:sz w:val="21"/>
          <w:szCs w:val="21"/>
        </w:rPr>
        <w:t xml:space="preserve">Title: Director of Digital Transformation</w:t>
      </w:r>
    </w:p>
    <w:p>
      <w:pPr>
        <w:spacing w:after="120" w:before="60"/>
      </w:pPr>
      <w:r>
        <w:rPr>
          <w:rFonts w:ascii="Arial" w:cs="Arial" w:eastAsia="Arial" w:hAnsi="Arial"/>
          <w:sz w:val="21"/>
          <w:szCs w:val="21"/>
        </w:rPr>
        <w:t xml:space="preserve">Date: April 15, 2024</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2026-04-04T09:52:21.196Z</dcterms:created>
  <dcterms:modified xsi:type="dcterms:W3CDTF">2026-04-04T09:52:21.196Z</dcterms:modified>
</cp:coreProperties>
</file>

<file path=docProps/custom.xml><?xml version="1.0" encoding="utf-8"?>
<Properties xmlns="http://schemas.openxmlformats.org/officeDocument/2006/custom-properties" xmlns:vt="http://schemas.openxmlformats.org/officeDocument/2006/docPropsVTypes"/>
</file>