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Bilal Ahmed Mohammed</w:t>
      </w:r>
    </w:p>
    <w:p>
      <w:pPr>
        <w:spacing w:after="40"/>
      </w:pPr>
      <w:hyperlink w:history="1" r:id="rIdq3olbcjl6jnnnrtfzw6vs">
        <w:r>
          <w:rPr>
            <w:rFonts w:ascii="Calibri" w:cs="Calibri" w:eastAsia="Calibri" w:hAnsi="Calibri"/>
            <w:color w:val="2E5AAC"/>
            <w:sz w:val="20"/>
            <w:szCs w:val="20"/>
            <w:u w:val="single"/>
          </w:rPr>
          <w:t xml:space="preserve">bmoham20@gmail.com</w:t>
        </w:r>
      </w:hyperlink>
      <w:r>
        <w:rPr>
          <w:rFonts w:ascii="Calibri" w:cs="Calibri" w:eastAsia="Calibri" w:hAnsi="Calibri"/>
          <w:color w:val="595959"/>
          <w:sz w:val="20"/>
          <w:szCs w:val="20"/>
        </w:rPr>
        <w:t xml:space="preserve">  |  </w:t>
      </w:r>
      <w:hyperlink w:history="1" r:id="rIdqogsxptnkuo33urzvmlxb">
        <w:r>
          <w:rPr>
            <w:rFonts w:ascii="Calibri" w:cs="Calibri" w:eastAsia="Calibri" w:hAnsi="Calibri"/>
            <w:color w:val="2E5AAC"/>
            <w:sz w:val="20"/>
            <w:szCs w:val="20"/>
            <w:u w:val="single"/>
          </w:rPr>
          <w:t xml:space="preserve">linkedin.com/in/bilal-ahmed-mohammed</w:t>
        </w:r>
      </w:hyperlink>
      <w:r>
        <w:rPr>
          <w:rFonts w:ascii="Calibri" w:cs="Calibri" w:eastAsia="Calibri" w:hAnsi="Calibri"/>
          <w:color w:val="595959"/>
          <w:sz w:val="20"/>
          <w:szCs w:val="20"/>
        </w:rPr>
        <w:t xml:space="preserve">  |  Portfolio: </w:t>
      </w:r>
      <w:hyperlink w:history="1" r:id="rIdjpgxpabkhclkzxj9bmq82">
        <w:r>
          <w:rPr>
            <w:rFonts w:ascii="Calibri" w:cs="Calibri" w:eastAsia="Calibri" w:hAnsi="Calibri"/>
            <w:color w:val="2E5AAC"/>
            <w:sz w:val="20"/>
            <w:szCs w:val="20"/>
            <w:u w:val="single"/>
          </w:rPr>
          <w:t xml:space="preserve">bilal-mohammed20.github.io</w:t>
        </w:r>
      </w:hyperlink>
    </w:p>
    <w:p>
      <w:pPr>
        <w:spacing w:after="160"/>
      </w:pPr>
      <w:r>
        <w:rPr>
          <w:rFonts w:ascii="Calibri" w:cs="Calibri" w:eastAsia="Calibri" w:hAnsi="Calibri"/>
          <w:i/>
          <w:iCs/>
          <w:color w:val="2E5AAC"/>
          <w:sz w:val="20"/>
          <w:szCs w:val="20"/>
        </w:rPr>
        <w:t xml:space="preserve">Australian Permanent Resident | Open to relocating to Victoria for the right opportunity</w:t>
      </w:r>
    </w:p>
    <w:p>
      <w:pPr>
        <w:pBdr>
          <w:bottom w:val="single" w:color="2E5AAC" w:sz="6" w:space="4"/>
        </w:pBdr>
        <w:spacing w:after="90" w:before="200"/>
      </w:pPr>
      <w:r>
        <w:rPr>
          <w:rFonts w:ascii="Calibri" w:cs="Calibri" w:eastAsia="Calibri" w:hAnsi="Calibri"/>
          <w:b/>
          <w:bCs/>
          <w:color w:val="2E5AAC"/>
          <w:sz w:val="22"/>
          <w:szCs w:val="22"/>
        </w:rPr>
        <w:t xml:space="preserve">CAREER SUMMARY</w:t>
      </w:r>
    </w:p>
    <w:p>
      <w:pPr>
        <w:spacing w:after="180"/>
      </w:pPr>
      <w:r>
        <w:rPr>
          <w:rFonts w:ascii="Calibri" w:cs="Calibri" w:eastAsia="Calibri" w:hAnsi="Calibri"/>
          <w:color w:val="000000"/>
          <w:sz w:val="21"/>
          <w:szCs w:val="21"/>
        </w:rPr>
        <w:t xml:space="preserve">ICT Program Officer who takes digital systems from pilot to full-scale adoption. REGIS (the Research Ethics and Governance Information System) is the proof: designed and delivered its staged statewide rollout across 146 departments for the Department of Health, Tasmania (TAS Health), and built the migration program and the Power BI reporting and automation around it. Represents TAS Health on the national Technical Advisory Group (TechAG) for the National One Stop Shop (NOSS) Program, supporting its transition to the NOSS platform. Combines stakeholder mapping and engagement with the ability to specify requirements and use AI-assisted development to build data and automation solutions (R, SQL, VBA, Power Automate, Power Apps, JavaScript), alongside hands-on Power BI report and dashboard design, acting as the link between stakeholder needs and technical delivery.</w:t>
      </w:r>
    </w:p>
    <w:p>
      <w:pPr>
        <w:pBdr>
          <w:bottom w:val="single" w:color="2E5AAC" w:sz="6" w:space="4"/>
        </w:pBdr>
        <w:spacing w:after="90" w:before="200"/>
      </w:pPr>
      <w:r>
        <w:rPr>
          <w:rFonts w:ascii="Calibri" w:cs="Calibri" w:eastAsia="Calibri" w:hAnsi="Calibri"/>
          <w:b/>
          <w:bCs/>
          <w:color w:val="2E5AAC"/>
          <w:sz w:val="22"/>
          <w:szCs w:val="22"/>
        </w:rPr>
        <w:t xml:space="preserve">CORE COMPETENCIES</w:t>
      </w:r>
    </w:p>
    <w:p>
      <w:pPr>
        <w:spacing w:after="20"/>
      </w:pPr>
      <w:r>
        <w:rPr>
          <w:rFonts w:ascii="Calibri" w:cs="Calibri" w:eastAsia="Calibri" w:hAnsi="Calibri"/>
          <w:b/>
          <w:bCs/>
          <w:color w:val="000000"/>
          <w:sz w:val="21"/>
          <w:szCs w:val="21"/>
        </w:rPr>
        <w:t xml:space="preserve">Digital Transformation &amp; Delivery</w:t>
      </w:r>
    </w:p>
    <w:p>
      <w:pPr>
        <w:spacing w:after="100"/>
      </w:pPr>
      <w:r>
        <w:rPr>
          <w:rFonts w:ascii="Calibri" w:cs="Calibri" w:eastAsia="Calibri" w:hAnsi="Calibri"/>
          <w:color w:val="000000"/>
          <w:sz w:val="21"/>
          <w:szCs w:val="21"/>
        </w:rPr>
        <w:t xml:space="preserve">End-to-end system implementation  •  Requirements gathering &amp; translation  •  Stakeholder mapping  •  Stakeholder engagement  •  Change management  •  Vendor liaison</w:t>
      </w:r>
    </w:p>
    <w:p>
      <w:pPr>
        <w:spacing w:after="20"/>
      </w:pPr>
      <w:r>
        <w:rPr>
          <w:rFonts w:ascii="Calibri" w:cs="Calibri" w:eastAsia="Calibri" w:hAnsi="Calibri"/>
          <w:b/>
          <w:bCs/>
          <w:color w:val="000000"/>
          <w:sz w:val="21"/>
          <w:szCs w:val="21"/>
        </w:rPr>
        <w:t xml:space="preserve">Data, Reporting &amp; Automation</w:t>
      </w:r>
    </w:p>
    <w:p>
      <w:pPr>
        <w:spacing w:after="100"/>
      </w:pPr>
      <w:r>
        <w:rPr>
          <w:rFonts w:ascii="Calibri" w:cs="Calibri" w:eastAsia="Calibri" w:hAnsi="Calibri"/>
          <w:color w:val="000000"/>
          <w:sz w:val="21"/>
          <w:szCs w:val="21"/>
        </w:rPr>
        <w:t xml:space="preserve">Power BI report &amp; dashboard design  •  AI-assisted development (R, SQL, JavaScript, automation)  •  VBA / Power Automate / Power Apps workflows  •  Process mapping (Mermaid)  •  Custom tooling &amp; search/matching engines</w:t>
      </w:r>
    </w:p>
    <w:p>
      <w:pPr>
        <w:spacing w:after="20"/>
      </w:pPr>
      <w:r>
        <w:rPr>
          <w:rFonts w:ascii="Calibri" w:cs="Calibri" w:eastAsia="Calibri" w:hAnsi="Calibri"/>
          <w:b/>
          <w:bCs/>
          <w:color w:val="000000"/>
          <w:sz w:val="21"/>
          <w:szCs w:val="21"/>
        </w:rPr>
        <w:t xml:space="preserve">User Enablement</w:t>
      </w:r>
    </w:p>
    <w:p>
      <w:pPr>
        <w:spacing w:after="180"/>
      </w:pPr>
      <w:r>
        <w:rPr>
          <w:rFonts w:ascii="Calibri" w:cs="Calibri" w:eastAsia="Calibri" w:hAnsi="Calibri"/>
          <w:color w:val="000000"/>
          <w:sz w:val="21"/>
          <w:szCs w:val="21"/>
        </w:rPr>
        <w:t xml:space="preserve">Training design &amp; delivery  •  Documentation  •  Technical support  •  Platform configuration  •  User research &amp; feedback loops</w:t>
      </w:r>
    </w:p>
    <w:p>
      <w:pPr>
        <w:pBdr>
          <w:bottom w:val="single" w:color="2E5AAC" w:sz="6" w:space="4"/>
        </w:pBdr>
        <w:spacing w:after="90" w:before="200"/>
      </w:pPr>
      <w:r>
        <w:rPr>
          <w:rFonts w:ascii="Calibri" w:cs="Calibri" w:eastAsia="Calibri" w:hAnsi="Calibri"/>
          <w:b/>
          <w:bCs/>
          <w:color w:val="2E5AAC"/>
          <w:sz w:val="22"/>
          <w:szCs w:val="22"/>
        </w:rPr>
        <w:t xml:space="preserve">PROFESSIONAL EXPERIENCE</w:t>
      </w:r>
    </w:p>
    <w:p>
      <w:pPr>
        <w:tabs>
          <w:tab w:val="right" w:pos="9026"/>
        </w:tabs>
        <w:spacing w:after="18" w:before="140"/>
      </w:pPr>
      <w:r>
        <w:rPr>
          <w:rFonts w:ascii="Calibri" w:cs="Calibri" w:eastAsia="Calibri" w:hAnsi="Calibri"/>
          <w:b/>
          <w:bCs/>
          <w:color w:val="000000"/>
          <w:sz w:val="22"/>
          <w:szCs w:val="22"/>
        </w:rPr>
        <w:t xml:space="preserve">ICT Program Officer</w:t>
      </w:r>
      <w:r>
        <w:rPr>
          <w:rFonts w:ascii="Calibri" w:cs="Calibri" w:eastAsia="Calibri" w:hAnsi="Calibri"/>
          <w:color w:val="595959"/>
          <w:sz w:val="21"/>
          <w:szCs w:val="21"/>
        </w:rPr>
        <w:t xml:space="preserve">	Nov 2022 – Present</w:t>
      </w:r>
    </w:p>
    <w:p>
      <w:pPr>
        <w:spacing w:after="70"/>
      </w:pPr>
      <w:r>
        <w:rPr>
          <w:rFonts w:ascii="Calibri" w:cs="Calibri" w:eastAsia="Calibri" w:hAnsi="Calibri"/>
          <w:i/>
          <w:iCs/>
          <w:color w:val="595959"/>
          <w:sz w:val="21"/>
          <w:szCs w:val="21"/>
        </w:rPr>
        <w:t xml:space="preserve">Department of Health, Tasmanian Government</w:t>
      </w:r>
    </w:p>
    <w:p>
      <w:pPr>
        <w:pStyle w:val="ListParagraph"/>
        <w:numPr>
          <w:ilvl w:val="0"/>
          <w:numId w:val="2"/>
        </w:numPr>
        <w:spacing w:after="45"/>
      </w:pPr>
      <w:r>
        <w:rPr>
          <w:rFonts w:ascii="Calibri" w:cs="Calibri" w:eastAsia="Calibri" w:hAnsi="Calibri"/>
          <w:color w:val="000000"/>
          <w:sz w:val="21"/>
          <w:szCs w:val="21"/>
        </w:rPr>
        <w:t xml:space="preserve">Designed and delivered a staged statewide rollout of both the Research Governance and Research Ethics modules across 146 departments and supporting departments in the South, North, North West, and Statewide Services regions, piloting first with the largest departments in the South and North to test the platform and validate user acceptance before full rollout. REGIS is now the sole system for research ethics and governance submissions across TAS Health, replacing the prior paper-based process entirely.</w:t>
      </w:r>
    </w:p>
    <w:p>
      <w:pPr>
        <w:pStyle w:val="ListParagraph"/>
        <w:numPr>
          <w:ilvl w:val="0"/>
          <w:numId w:val="2"/>
        </w:numPr>
        <w:spacing w:after="45"/>
      </w:pPr>
      <w:r>
        <w:rPr>
          <w:rFonts w:ascii="Calibri" w:cs="Calibri" w:eastAsia="Calibri" w:hAnsi="Calibri"/>
          <w:color w:val="000000"/>
          <w:sz w:val="21"/>
          <w:szCs w:val="21"/>
        </w:rPr>
        <w:t xml:space="preserve">TAS Health’s primary technical liaison with NSW Health and the platform vendor since 2022: replicating and testing issues in the REGIS sandpit environment, translating them into precise specifications, and providing stakeholders with a solution or workaround while driving fixes through to resolution.</w:t>
      </w:r>
    </w:p>
    <w:p>
      <w:pPr>
        <w:pStyle w:val="ListParagraph"/>
        <w:numPr>
          <w:ilvl w:val="0"/>
          <w:numId w:val="2"/>
        </w:numPr>
        <w:spacing w:after="45"/>
      </w:pPr>
      <w:r>
        <w:rPr>
          <w:rFonts w:ascii="Calibri" w:cs="Calibri" w:eastAsia="Calibri" w:hAnsi="Calibri"/>
          <w:color w:val="000000"/>
          <w:sz w:val="21"/>
          <w:szCs w:val="21"/>
        </w:rPr>
        <w:t xml:space="preserve">Piloted new REGIS features including Teletrial functionality, testing hands-on, gathering user feedback, and refining how it worked before wider rollout.</w:t>
      </w:r>
    </w:p>
    <w:p>
      <w:pPr>
        <w:pStyle w:val="ListParagraph"/>
        <w:numPr>
          <w:ilvl w:val="0"/>
          <w:numId w:val="2"/>
        </w:numPr>
        <w:spacing w:after="45"/>
      </w:pPr>
      <w:r>
        <w:rPr>
          <w:rFonts w:ascii="Calibri" w:cs="Calibri" w:eastAsia="Calibri" w:hAnsi="Calibri"/>
          <w:color w:val="000000"/>
          <w:sz w:val="21"/>
          <w:szCs w:val="21"/>
        </w:rPr>
        <w:t xml:space="preserve">Designed and delivered the migration process that took paper-based projects from 2 pilot studies to 150+ and counting, authoring the published migration guides and providing direct, one-on-one support to researchers and departments throughout. Identified a structural risk in the original process: migration access defaulted to whichever individual first registered a project, who for multi-site or national studies could sit in NSW Health, ACT Health, or another jurisdiction entirely and could leave or become unreachable. Negotiated a fix with NSW Health so access now defaults to research coordinators.</w:t>
      </w:r>
    </w:p>
    <w:p>
      <w:pPr>
        <w:pStyle w:val="ListParagraph"/>
        <w:numPr>
          <w:ilvl w:val="0"/>
          <w:numId w:val="2"/>
        </w:numPr>
        <w:spacing w:after="45"/>
      </w:pPr>
      <w:r>
        <w:rPr>
          <w:rFonts w:ascii="Calibri" w:cs="Calibri" w:eastAsia="Calibri" w:hAnsi="Calibri"/>
          <w:color w:val="000000"/>
          <w:sz w:val="21"/>
          <w:szCs w:val="21"/>
        </w:rPr>
        <w:t xml:space="preserve">Designed the milestone-based workaround researchers and Health Research Officers rely on for TAS annual and progress reports, since REGIS can only route these to the Human Research Ethics Committee (HREC), including a decision tree and cheat sheets used statewide.</w:t>
      </w:r>
    </w:p>
    <w:p>
      <w:pPr>
        <w:pStyle w:val="ListParagraph"/>
        <w:numPr>
          <w:ilvl w:val="0"/>
          <w:numId w:val="2"/>
        </w:numPr>
        <w:spacing w:after="45"/>
      </w:pPr>
      <w:r>
        <w:rPr>
          <w:rFonts w:ascii="Calibri" w:cs="Calibri" w:eastAsia="Calibri" w:hAnsi="Calibri"/>
          <w:color w:val="000000"/>
          <w:sz w:val="21"/>
          <w:szCs w:val="21"/>
        </w:rPr>
        <w:t xml:space="preserve">Authored REGIS’s TAS-specific resource library from scratch (FAQs, training resources, migration guide, annual report instructions), all published live and public.</w:t>
      </w:r>
    </w:p>
    <w:p>
      <w:pPr>
        <w:pStyle w:val="ListParagraph"/>
        <w:numPr>
          <w:ilvl w:val="0"/>
          <w:numId w:val="2"/>
        </w:numPr>
        <w:spacing w:after="45"/>
      </w:pPr>
      <w:r>
        <w:rPr>
          <w:rFonts w:ascii="Calibri" w:cs="Calibri" w:eastAsia="Calibri" w:hAnsi="Calibri"/>
          <w:color w:val="000000"/>
          <w:sz w:val="21"/>
          <w:szCs w:val="21"/>
        </w:rPr>
        <w:t xml:space="preserve">Designs and maintains the Health Research Office’s intranet and public pages, updating both regularly as stakeholder needs change, with editor and publisher access on the intranet.</w:t>
      </w:r>
    </w:p>
    <w:p>
      <w:pPr>
        <w:pStyle w:val="ListParagraph"/>
        <w:numPr>
          <w:ilvl w:val="0"/>
          <w:numId w:val="2"/>
        </w:numPr>
        <w:spacing w:after="45"/>
      </w:pPr>
      <w:r>
        <w:rPr>
          <w:rFonts w:ascii="Calibri" w:cs="Calibri" w:eastAsia="Calibri" w:hAnsi="Calibri"/>
          <w:color w:val="000000"/>
          <w:sz w:val="21"/>
          <w:szCs w:val="21"/>
        </w:rPr>
        <w:t xml:space="preserve">Represents TAS Health on the Technical Advisory Group (TechAG) for the National One Stop Shop (NOSS) Program, supporting its transition to the NOSS platform.</w:t>
      </w:r>
    </w:p>
    <w:p>
      <w:pPr>
        <w:pStyle w:val="ListParagraph"/>
        <w:numPr>
          <w:ilvl w:val="0"/>
          <w:numId w:val="2"/>
        </w:numPr>
        <w:spacing w:after="45"/>
      </w:pPr>
      <w:r>
        <w:rPr>
          <w:rFonts w:ascii="Calibri" w:cs="Calibri" w:eastAsia="Calibri" w:hAnsi="Calibri"/>
          <w:color w:val="000000"/>
          <w:sz w:val="21"/>
          <w:szCs w:val="21"/>
        </w:rPr>
        <w:t xml:space="preserve">Champion for the department’s shift to Microsoft Teams channels for internal communication, authoring the adoption instruction guide.</w:t>
      </w:r>
    </w:p>
    <w:p>
      <w:pPr>
        <w:pStyle w:val="ListParagraph"/>
        <w:numPr>
          <w:ilvl w:val="0"/>
          <w:numId w:val="2"/>
        </w:numPr>
        <w:spacing w:after="45"/>
      </w:pPr>
      <w:r>
        <w:rPr>
          <w:rFonts w:ascii="Calibri" w:cs="Calibri" w:eastAsia="Calibri" w:hAnsi="Calibri"/>
          <w:color w:val="000000"/>
          <w:sz w:val="21"/>
          <w:szCs w:val="21"/>
        </w:rPr>
        <w:t xml:space="preserve">Runs ongoing training sessions and one-on-one consultations for every REGIS stakeholder: Site and Coordinating Principal Investigators, researchers, Heads of Department, Chief Executives, ethics reviewers and committee members, and health research officers, spanning TAS Health’s internal departments and external research institutions, including the University of Tasmania.</w:t>
      </w:r>
    </w:p>
    <w:p>
      <w:pPr>
        <w:pStyle w:val="ListParagraph"/>
        <w:numPr>
          <w:ilvl w:val="0"/>
          <w:numId w:val="2"/>
        </w:numPr>
        <w:spacing w:after="45"/>
      </w:pPr>
      <w:r>
        <w:rPr>
          <w:rFonts w:ascii="Calibri" w:cs="Calibri" w:eastAsia="Calibri" w:hAnsi="Calibri"/>
          <w:color w:val="000000"/>
          <w:sz w:val="21"/>
          <w:szCs w:val="21"/>
        </w:rPr>
        <w:t xml:space="preserve">Built a Power Automate flow reconciling application-tracking spreadsheets into a single, always-current SharePoint list, alongside a Power Apps tool for logging and surfacing email communications against each application (since retired).</w:t>
      </w:r>
    </w:p>
    <w:p>
      <w:pPr>
        <w:pStyle w:val="ListParagraph"/>
        <w:numPr>
          <w:ilvl w:val="0"/>
          <w:numId w:val="2"/>
        </w:numPr>
        <w:spacing w:after="45"/>
      </w:pPr>
      <w:r>
        <w:rPr>
          <w:rFonts w:ascii="Calibri" w:cs="Calibri" w:eastAsia="Calibri" w:hAnsi="Calibri"/>
          <w:color w:val="000000"/>
          <w:sz w:val="21"/>
          <w:szCs w:val="21"/>
        </w:rPr>
        <w:t xml:space="preserve">Directed the AI-assisted build of R-based analysis and VBA/Power Automate/Power Apps/JavaScript workflows, while designing Power BI executive dashboards hands-on for senior medical leadership; recently also picked up data analysis and reporting duties for the wider team.</w:t>
      </w:r>
    </w:p>
    <w:p>
      <w:pPr>
        <w:tabs>
          <w:tab w:val="right" w:pos="9026"/>
        </w:tabs>
        <w:spacing w:after="18" w:before="140"/>
      </w:pPr>
      <w:r>
        <w:rPr>
          <w:rFonts w:ascii="Calibri" w:cs="Calibri" w:eastAsia="Calibri" w:hAnsi="Calibri"/>
          <w:b/>
          <w:bCs/>
          <w:color w:val="000000"/>
          <w:sz w:val="22"/>
          <w:szCs w:val="22"/>
        </w:rPr>
        <w:t xml:space="preserve">Telehealth Coordinator</w:t>
      </w:r>
      <w:r>
        <w:rPr>
          <w:rFonts w:ascii="Calibri" w:cs="Calibri" w:eastAsia="Calibri" w:hAnsi="Calibri"/>
          <w:color w:val="595959"/>
          <w:sz w:val="21"/>
          <w:szCs w:val="21"/>
        </w:rPr>
        <w:t xml:space="preserve">	Dec 2021 – Nov 2022</w:t>
      </w:r>
    </w:p>
    <w:p>
      <w:pPr>
        <w:spacing w:after="70"/>
      </w:pPr>
      <w:r>
        <w:rPr>
          <w:rFonts w:ascii="Calibri" w:cs="Calibri" w:eastAsia="Calibri" w:hAnsi="Calibri"/>
          <w:i/>
          <w:iCs/>
          <w:color w:val="595959"/>
          <w:sz w:val="21"/>
          <w:szCs w:val="21"/>
        </w:rPr>
        <w:t xml:space="preserve">Department of Health, Tasmanian Government</w:t>
      </w:r>
    </w:p>
    <w:p>
      <w:pPr>
        <w:pStyle w:val="ListParagraph"/>
        <w:numPr>
          <w:ilvl w:val="0"/>
          <w:numId w:val="2"/>
        </w:numPr>
        <w:spacing w:after="45"/>
      </w:pPr>
      <w:r>
        <w:rPr>
          <w:rFonts w:ascii="Calibri" w:cs="Calibri" w:eastAsia="Calibri" w:hAnsi="Calibri"/>
          <w:color w:val="000000"/>
          <w:sz w:val="21"/>
          <w:szCs w:val="21"/>
        </w:rPr>
        <w:t xml:space="preserve">Managed Telstra’s MyCare Manager platform for remote patient and clinician support statewide, and worked with ICT teams to enhance it, including integrating patient reports into the department’s clinical patient portal.</w:t>
      </w:r>
    </w:p>
    <w:p>
      <w:pPr>
        <w:pStyle w:val="ListParagraph"/>
        <w:numPr>
          <w:ilvl w:val="0"/>
          <w:numId w:val="2"/>
        </w:numPr>
        <w:spacing w:after="45"/>
      </w:pPr>
      <w:r>
        <w:rPr>
          <w:rFonts w:ascii="Calibri" w:cs="Calibri" w:eastAsia="Calibri" w:hAnsi="Calibri"/>
          <w:color w:val="000000"/>
          <w:sz w:val="21"/>
          <w:szCs w:val="21"/>
        </w:rPr>
        <w:t xml:space="preserve">Supported statewide delivery of the COVID@HomePlus (now Care@Home) remote monitoring program, providing day-to-day technical support and troubleshooting for clinicians, patients and admin staff.</w:t>
      </w:r>
    </w:p>
    <w:p>
      <w:pPr>
        <w:pStyle w:val="ListParagraph"/>
        <w:numPr>
          <w:ilvl w:val="0"/>
          <w:numId w:val="2"/>
        </w:numPr>
        <w:spacing w:after="45"/>
      </w:pPr>
      <w:r>
        <w:rPr>
          <w:rFonts w:ascii="Calibri" w:cs="Calibri" w:eastAsia="Calibri" w:hAnsi="Calibri"/>
          <w:color w:val="000000"/>
          <w:sz w:val="21"/>
          <w:szCs w:val="21"/>
        </w:rPr>
        <w:t xml:space="preserve">Developed Standard Operating Procedures (SOPs) and delivered staff training on remote patient monitoring, letting the service scale fast without losing safety or consistency.</w:t>
      </w:r>
    </w:p>
    <w:p>
      <w:pPr>
        <w:pStyle w:val="ListParagraph"/>
        <w:numPr>
          <w:ilvl w:val="0"/>
          <w:numId w:val="2"/>
        </w:numPr>
        <w:spacing w:after="45"/>
      </w:pPr>
      <w:r>
        <w:rPr>
          <w:rFonts w:ascii="Calibri" w:cs="Calibri" w:eastAsia="Calibri" w:hAnsi="Calibri"/>
          <w:color w:val="000000"/>
          <w:sz w:val="21"/>
          <w:szCs w:val="21"/>
        </w:rPr>
        <w:t xml:space="preserve">Drove service improvements through process mapping, data validation and end-user feedback analysis.</w:t>
      </w:r>
    </w:p>
    <w:p>
      <w:pPr>
        <w:pStyle w:val="ListParagraph"/>
        <w:numPr>
          <w:ilvl w:val="0"/>
          <w:numId w:val="2"/>
        </w:numPr>
        <w:spacing w:after="45"/>
      </w:pPr>
      <w:r>
        <w:rPr>
          <w:rFonts w:ascii="Calibri" w:cs="Calibri" w:eastAsia="Calibri" w:hAnsi="Calibri"/>
          <w:color w:val="000000"/>
          <w:sz w:val="21"/>
          <w:szCs w:val="21"/>
        </w:rPr>
        <w:t xml:space="preserve">Handled sustained, high-volume technical support during peak pandemic periods, across a statewide platform.</w:t>
      </w:r>
    </w:p>
    <w:p>
      <w:pPr>
        <w:tabs>
          <w:tab w:val="right" w:pos="9026"/>
        </w:tabs>
        <w:spacing w:after="18" w:before="140"/>
      </w:pPr>
      <w:r>
        <w:rPr>
          <w:rFonts w:ascii="Calibri" w:cs="Calibri" w:eastAsia="Calibri" w:hAnsi="Calibri"/>
          <w:b/>
          <w:bCs/>
          <w:color w:val="000000"/>
          <w:sz w:val="22"/>
          <w:szCs w:val="22"/>
        </w:rPr>
        <w:t xml:space="preserve">Website Designer &amp; Virtual Tour Creator</w:t>
      </w:r>
      <w:r>
        <w:rPr>
          <w:rFonts w:ascii="Calibri" w:cs="Calibri" w:eastAsia="Calibri" w:hAnsi="Calibri"/>
          <w:color w:val="595959"/>
          <w:sz w:val="21"/>
          <w:szCs w:val="21"/>
        </w:rPr>
        <w:t xml:space="preserve">	Aug 2020 – Mar 2021</w:t>
      </w:r>
    </w:p>
    <w:p>
      <w:pPr>
        <w:spacing w:after="70"/>
      </w:pPr>
      <w:r>
        <w:rPr>
          <w:rFonts w:ascii="Calibri" w:cs="Calibri" w:eastAsia="Calibri" w:hAnsi="Calibri"/>
          <w:i/>
          <w:iCs/>
          <w:color w:val="595959"/>
          <w:sz w:val="21"/>
          <w:szCs w:val="21"/>
        </w:rPr>
        <w:t xml:space="preserve">National Trust of Tasmania</w:t>
      </w:r>
    </w:p>
    <w:p>
      <w:pPr>
        <w:pStyle w:val="ListParagraph"/>
        <w:numPr>
          <w:ilvl w:val="0"/>
          <w:numId w:val="2"/>
        </w:numPr>
        <w:spacing w:after="45"/>
      </w:pPr>
      <w:r>
        <w:rPr>
          <w:rFonts w:ascii="Calibri" w:cs="Calibri" w:eastAsia="Calibri" w:hAnsi="Calibri"/>
          <w:color w:val="000000"/>
          <w:sz w:val="21"/>
          <w:szCs w:val="21"/>
        </w:rPr>
        <w:t xml:space="preserve">Designed the website and produced 360° VR tours for the “This Place Matters” campaign using Matterport, including an immersive tour of the historic Runnymede site.</w:t>
      </w:r>
    </w:p>
    <w:p>
      <w:pPr>
        <w:pStyle w:val="ListParagraph"/>
        <w:numPr>
          <w:ilvl w:val="0"/>
          <w:numId w:val="2"/>
        </w:numPr>
        <w:spacing w:after="45"/>
      </w:pPr>
      <w:r>
        <w:rPr>
          <w:rFonts w:ascii="Calibri" w:cs="Calibri" w:eastAsia="Calibri" w:hAnsi="Calibri"/>
          <w:color w:val="000000"/>
          <w:sz w:val="21"/>
          <w:szCs w:val="21"/>
        </w:rPr>
        <w:t xml:space="preserve">Wrote the narrative and interpretive storytelling presented across each heritage site, not just the technical build.</w:t>
      </w:r>
    </w:p>
    <w:p>
      <w:pPr>
        <w:pStyle w:val="ListParagraph"/>
        <w:numPr>
          <w:ilvl w:val="0"/>
          <w:numId w:val="2"/>
        </w:numPr>
        <w:spacing w:after="45"/>
      </w:pPr>
      <w:r>
        <w:rPr>
          <w:rFonts w:ascii="Calibri" w:cs="Calibri" w:eastAsia="Calibri" w:hAnsi="Calibri"/>
          <w:color w:val="000000"/>
          <w:sz w:val="21"/>
          <w:szCs w:val="21"/>
        </w:rPr>
        <w:t xml:space="preserve">Led performance optimisation and cross-device testing for a smooth public-facing experience.</w:t>
      </w:r>
    </w:p>
    <w:p>
      <w:pPr>
        <w:tabs>
          <w:tab w:val="right" w:pos="9026"/>
        </w:tabs>
        <w:spacing w:after="18" w:before="140"/>
      </w:pPr>
      <w:r>
        <w:rPr>
          <w:rFonts w:ascii="Calibri" w:cs="Calibri" w:eastAsia="Calibri" w:hAnsi="Calibri"/>
          <w:b/>
          <w:bCs/>
          <w:color w:val="000000"/>
          <w:sz w:val="22"/>
          <w:szCs w:val="22"/>
        </w:rPr>
        <w:t xml:space="preserve">Director</w:t>
      </w:r>
      <w:r>
        <w:rPr>
          <w:rFonts w:ascii="Calibri" w:cs="Calibri" w:eastAsia="Calibri" w:hAnsi="Calibri"/>
          <w:color w:val="595959"/>
          <w:sz w:val="21"/>
          <w:szCs w:val="21"/>
        </w:rPr>
        <w:t xml:space="preserve">	Aug 2020 – Mar 2021</w:t>
      </w:r>
    </w:p>
    <w:p>
      <w:pPr>
        <w:spacing w:after="70"/>
      </w:pPr>
      <w:r>
        <w:rPr>
          <w:rFonts w:ascii="Calibri" w:cs="Calibri" w:eastAsia="Calibri" w:hAnsi="Calibri"/>
          <w:i/>
          <w:iCs/>
          <w:color w:val="595959"/>
          <w:sz w:val="21"/>
          <w:szCs w:val="21"/>
        </w:rPr>
        <w:t xml:space="preserve">123D Studio Pty Ltd</w:t>
      </w:r>
    </w:p>
    <w:p>
      <w:pPr>
        <w:pStyle w:val="ListParagraph"/>
        <w:numPr>
          <w:ilvl w:val="0"/>
          <w:numId w:val="2"/>
        </w:numPr>
        <w:spacing w:after="45"/>
      </w:pPr>
      <w:r>
        <w:rPr>
          <w:rFonts w:ascii="Calibri" w:cs="Calibri" w:eastAsia="Calibri" w:hAnsi="Calibri"/>
          <w:color w:val="000000"/>
          <w:sz w:val="21"/>
          <w:szCs w:val="21"/>
        </w:rPr>
        <w:t xml:space="preserve">Co-founding director alongside two other directors; worked as a website designer using WordPress and Squarespace.</w:t>
      </w:r>
    </w:p>
    <w:p>
      <w:pPr>
        <w:tabs>
          <w:tab w:val="right" w:pos="9026"/>
        </w:tabs>
        <w:spacing w:after="18" w:before="140"/>
      </w:pPr>
      <w:r>
        <w:rPr>
          <w:rFonts w:ascii="Calibri" w:cs="Calibri" w:eastAsia="Calibri" w:hAnsi="Calibri"/>
          <w:b/>
          <w:bCs/>
          <w:color w:val="000000"/>
          <w:sz w:val="22"/>
          <w:szCs w:val="22"/>
        </w:rPr>
        <w:t xml:space="preserve">Customer Service Representative</w:t>
      </w:r>
      <w:r>
        <w:rPr>
          <w:rFonts w:ascii="Calibri" w:cs="Calibri" w:eastAsia="Calibri" w:hAnsi="Calibri"/>
          <w:color w:val="595959"/>
          <w:sz w:val="21"/>
          <w:szCs w:val="21"/>
        </w:rPr>
        <w:t xml:space="preserve">	Apr 2017 – Nov 2019</w:t>
      </w:r>
    </w:p>
    <w:p>
      <w:pPr>
        <w:spacing w:after="70"/>
      </w:pPr>
      <w:r>
        <w:rPr>
          <w:rFonts w:ascii="Calibri" w:cs="Calibri" w:eastAsia="Calibri" w:hAnsi="Calibri"/>
          <w:i/>
          <w:iCs/>
          <w:color w:val="595959"/>
          <w:sz w:val="21"/>
          <w:szCs w:val="21"/>
        </w:rPr>
        <w:t xml:space="preserve">BP Box Hill South, Victoria</w:t>
      </w:r>
    </w:p>
    <w:p>
      <w:pPr>
        <w:pStyle w:val="ListParagraph"/>
        <w:numPr>
          <w:ilvl w:val="0"/>
          <w:numId w:val="2"/>
        </w:numPr>
        <w:spacing w:after="45"/>
      </w:pPr>
      <w:r>
        <w:rPr>
          <w:rFonts w:ascii="Calibri" w:cs="Calibri" w:eastAsia="Calibri" w:hAnsi="Calibri"/>
          <w:color w:val="000000"/>
          <w:sz w:val="21"/>
          <w:szCs w:val="21"/>
        </w:rPr>
        <w:t xml:space="preserve">Managed POS systems and daily site operations.</w:t>
      </w:r>
    </w:p>
    <w:p>
      <w:pPr>
        <w:pStyle w:val="ListParagraph"/>
        <w:numPr>
          <w:ilvl w:val="0"/>
          <w:numId w:val="2"/>
        </w:numPr>
        <w:spacing w:after="45"/>
      </w:pPr>
      <w:r>
        <w:rPr>
          <w:rFonts w:ascii="Calibri" w:cs="Calibri" w:eastAsia="Calibri" w:hAnsi="Calibri"/>
          <w:color w:val="000000"/>
          <w:sz w:val="21"/>
          <w:szCs w:val="21"/>
        </w:rPr>
        <w:t xml:space="preserve">Resolved technical and service issues on the spot while maintaining high customer satisfaction.</w:t>
      </w:r>
    </w:p>
    <w:p>
      <w:pPr>
        <w:pBdr>
          <w:bottom w:val="single" w:color="2E5AAC" w:sz="6" w:space="4"/>
        </w:pBdr>
        <w:spacing w:after="90" w:before="200"/>
      </w:pPr>
      <w:r>
        <w:rPr>
          <w:rFonts w:ascii="Calibri" w:cs="Calibri" w:eastAsia="Calibri" w:hAnsi="Calibri"/>
          <w:b/>
          <w:bCs/>
          <w:color w:val="2E5AAC"/>
          <w:sz w:val="22"/>
          <w:szCs w:val="22"/>
        </w:rPr>
        <w:t xml:space="preserve">EDUCATION &amp; CERTIFICATION</w:t>
      </w:r>
    </w:p>
    <w:p>
      <w:pPr>
        <w:spacing w:after="50"/>
      </w:pPr>
      <w:r>
        <w:rPr>
          <w:rFonts w:ascii="Calibri" w:cs="Calibri" w:eastAsia="Calibri" w:hAnsi="Calibri"/>
          <w:b/>
          <w:bCs/>
          <w:color w:val="000000"/>
          <w:sz w:val="21"/>
          <w:szCs w:val="21"/>
        </w:rPr>
        <w:t xml:space="preserve">Master of Information Technology</w:t>
      </w:r>
      <w:r>
        <w:rPr>
          <w:rFonts w:ascii="Calibri" w:cs="Calibri" w:eastAsia="Calibri" w:hAnsi="Calibri"/>
          <w:color w:val="595959"/>
          <w:sz w:val="21"/>
          <w:szCs w:val="21"/>
        </w:rPr>
        <w:t xml:space="preserve">  —  Charles Sturt University, 2019</w:t>
      </w:r>
    </w:p>
    <w:p>
      <w:pPr>
        <w:spacing w:after="50"/>
      </w:pPr>
      <w:r>
        <w:rPr>
          <w:rFonts w:ascii="Calibri" w:cs="Calibri" w:eastAsia="Calibri" w:hAnsi="Calibri"/>
          <w:b/>
          <w:bCs/>
          <w:color w:val="000000"/>
          <w:sz w:val="21"/>
          <w:szCs w:val="21"/>
        </w:rPr>
        <w:t xml:space="preserve">Bachelor of Computer Science Engineering</w:t>
      </w:r>
      <w:r>
        <w:rPr>
          <w:rFonts w:ascii="Calibri" w:cs="Calibri" w:eastAsia="Calibri" w:hAnsi="Calibri"/>
          <w:color w:val="595959"/>
          <w:sz w:val="21"/>
          <w:szCs w:val="21"/>
        </w:rPr>
        <w:t xml:space="preserve">  —  Osmania University, 2016</w:t>
      </w:r>
    </w:p>
    <w:p>
      <w:pPr>
        <w:spacing w:after="50"/>
      </w:pPr>
      <w:r>
        <w:rPr>
          <w:rFonts w:ascii="Calibri" w:cs="Calibri" w:eastAsia="Calibri" w:hAnsi="Calibri"/>
          <w:b/>
          <w:bCs/>
          <w:color w:val="000000"/>
          <w:sz w:val="21"/>
          <w:szCs w:val="21"/>
        </w:rPr>
        <w:t xml:space="preserve">Advanced Diploma in Leadership &amp; Management</w:t>
      </w:r>
      <w:r>
        <w:rPr>
          <w:rFonts w:ascii="Calibri" w:cs="Calibri" w:eastAsia="Calibri" w:hAnsi="Calibri"/>
          <w:color w:val="595959"/>
          <w:sz w:val="21"/>
          <w:szCs w:val="21"/>
        </w:rPr>
        <w:t xml:space="preserve">  —  Clinton Institute, 2020</w:t>
      </w:r>
    </w:p>
    <w:p>
      <w:pPr>
        <w:spacing w:after="50"/>
      </w:pPr>
      <w:r>
        <w:rPr>
          <w:rFonts w:ascii="Calibri" w:cs="Calibri" w:eastAsia="Calibri" w:hAnsi="Calibri"/>
          <w:b/>
          <w:bCs/>
          <w:color w:val="000000"/>
          <w:sz w:val="21"/>
          <w:szCs w:val="21"/>
        </w:rPr>
        <w:t xml:space="preserve">Project Management Short Course</w:t>
      </w:r>
      <w:r>
        <w:rPr>
          <w:rFonts w:ascii="Calibri" w:cs="Calibri" w:eastAsia="Calibri" w:hAnsi="Calibri"/>
          <w:color w:val="595959"/>
          <w:sz w:val="21"/>
          <w:szCs w:val="21"/>
        </w:rPr>
        <w:t xml:space="preserve">  —  University of Tasmania, 2024</w:t>
      </w:r>
    </w:p>
    <w:p>
      <w:pPr>
        <w:spacing w:after="50"/>
      </w:pPr>
      <w:r>
        <w:rPr>
          <w:rFonts w:ascii="Calibri" w:cs="Calibri" w:eastAsia="Calibri" w:hAnsi="Calibri"/>
          <w:b/>
          <w:bCs/>
          <w:color w:val="000000"/>
          <w:sz w:val="21"/>
          <w:szCs w:val="21"/>
        </w:rPr>
        <w:t xml:space="preserve">Certified Project Officer (CPO)</w:t>
      </w:r>
      <w:r>
        <w:rPr>
          <w:rFonts w:ascii="Calibri" w:cs="Calibri" w:eastAsia="Calibri" w:hAnsi="Calibri"/>
          <w:color w:val="595959"/>
          <w:sz w:val="21"/>
          <w:szCs w:val="21"/>
        </w:rPr>
        <w:t xml:space="preserve">  —  Centre for Project Innovation</w:t>
      </w:r>
    </w:p>
    <w:p>
      <w:pPr>
        <w:spacing w:after="50"/>
      </w:pPr>
      <w:r>
        <w:rPr>
          <w:rFonts w:ascii="Calibri" w:cs="Calibri" w:eastAsia="Calibri" w:hAnsi="Calibri"/>
          <w:b/>
          <w:bCs/>
          <w:color w:val="000000"/>
          <w:sz w:val="21"/>
          <w:szCs w:val="21"/>
        </w:rPr>
        <w:t xml:space="preserve">ITIL 4 Foundation Certificate</w:t>
      </w:r>
      <w:r>
        <w:rPr>
          <w:rFonts w:ascii="Calibri" w:cs="Calibri" w:eastAsia="Calibri" w:hAnsi="Calibri"/>
          <w:color w:val="595959"/>
          <w:sz w:val="21"/>
          <w:szCs w:val="21"/>
        </w:rPr>
        <w:t xml:space="preserve">  —  IT Service Management</w:t>
      </w:r>
    </w:p>
    <w:p>
      <w:pPr>
        <w:spacing w:after="50"/>
      </w:pPr>
      <w:r>
        <w:rPr>
          <w:rFonts w:ascii="Calibri" w:cs="Calibri" w:eastAsia="Calibri" w:hAnsi="Calibri"/>
          <w:b/>
          <w:bCs/>
          <w:color w:val="000000"/>
          <w:sz w:val="21"/>
          <w:szCs w:val="21"/>
        </w:rPr>
        <w:t xml:space="preserve">ACS Professional Year (IT)</w:t>
      </w:r>
      <w:r>
        <w:rPr>
          <w:rFonts w:ascii="Calibri" w:cs="Calibri" w:eastAsia="Calibri" w:hAnsi="Calibri"/>
          <w:color w:val="595959"/>
          <w:sz w:val="21"/>
          <w:szCs w:val="21"/>
        </w:rPr>
        <w:t xml:space="preserve">  —  Indus Institute, 2020</w:t>
      </w:r>
    </w:p>
    <w:p>
      <w:pPr>
        <w:spacing w:after="60"/>
      </w:pPr>
      <w:r>
        <w:rPr>
          <w:rFonts w:ascii="Calibri" w:cs="Calibri" w:eastAsia="Calibri" w:hAnsi="Calibri"/>
          <w:sz w:val="4"/>
          <w:szCs w:val="4"/>
        </w:rPr>
        <w:t xml:space="preserve"/>
      </w:r>
    </w:p>
    <w:p>
      <w:pPr>
        <w:pBdr>
          <w:bottom w:val="single" w:color="2E5AAC" w:sz="6" w:space="4"/>
        </w:pBdr>
        <w:spacing w:after="90" w:before="200"/>
      </w:pPr>
      <w:r>
        <w:rPr>
          <w:rFonts w:ascii="Calibri" w:cs="Calibri" w:eastAsia="Calibri" w:hAnsi="Calibri"/>
          <w:b/>
          <w:bCs/>
          <w:color w:val="2E5AAC"/>
          <w:sz w:val="22"/>
          <w:szCs w:val="22"/>
        </w:rPr>
        <w:t xml:space="preserve">TECHNICAL SKILLS</w:t>
      </w:r>
    </w:p>
    <w:p>
      <w:pPr>
        <w:spacing w:after="50"/>
      </w:pPr>
      <w:r>
        <w:rPr>
          <w:rFonts w:ascii="Calibri" w:cs="Calibri" w:eastAsia="Calibri" w:hAnsi="Calibri"/>
          <w:b/>
          <w:bCs/>
          <w:color w:val="000000"/>
          <w:sz w:val="21"/>
          <w:szCs w:val="21"/>
        </w:rPr>
        <w:t xml:space="preserve">Platform Management: </w:t>
      </w:r>
      <w:r>
        <w:rPr>
          <w:rFonts w:ascii="Calibri" w:cs="Calibri" w:eastAsia="Calibri" w:hAnsi="Calibri"/>
          <w:color w:val="595959"/>
          <w:sz w:val="21"/>
          <w:szCs w:val="21"/>
        </w:rPr>
        <w:t xml:space="preserve">REGIS, REDCap, SiteDocs Portal, Vision6, MyCare Manager, Adobe Acrobat Pro for enterprise</w:t>
      </w:r>
    </w:p>
    <w:p>
      <w:pPr>
        <w:spacing w:after="50"/>
      </w:pPr>
      <w:r>
        <w:rPr>
          <w:rFonts w:ascii="Calibri" w:cs="Calibri" w:eastAsia="Calibri" w:hAnsi="Calibri"/>
          <w:b/>
          <w:bCs/>
          <w:color w:val="000000"/>
          <w:sz w:val="21"/>
          <w:szCs w:val="21"/>
        </w:rPr>
        <w:t xml:space="preserve">Automation &amp; Development: </w:t>
      </w:r>
      <w:r>
        <w:rPr>
          <w:rFonts w:ascii="Calibri" w:cs="Calibri" w:eastAsia="Calibri" w:hAnsi="Calibri"/>
          <w:color w:val="595959"/>
          <w:sz w:val="21"/>
          <w:szCs w:val="21"/>
        </w:rPr>
        <w:t xml:space="preserve">R, SQL, VBA, Power Automate, Power Apps, JavaScript</w:t>
      </w:r>
    </w:p>
    <w:p>
      <w:pPr>
        <w:spacing w:after="50"/>
      </w:pPr>
      <w:r>
        <w:rPr>
          <w:rFonts w:ascii="Calibri" w:cs="Calibri" w:eastAsia="Calibri" w:hAnsi="Calibri"/>
          <w:b/>
          <w:bCs/>
          <w:color w:val="000000"/>
          <w:sz w:val="21"/>
          <w:szCs w:val="21"/>
        </w:rPr>
        <w:t xml:space="preserve">Data &amp; Reporting: </w:t>
      </w:r>
      <w:r>
        <w:rPr>
          <w:rFonts w:ascii="Calibri" w:cs="Calibri" w:eastAsia="Calibri" w:hAnsi="Calibri"/>
          <w:color w:val="595959"/>
          <w:sz w:val="21"/>
          <w:szCs w:val="21"/>
        </w:rPr>
        <w:t xml:space="preserve">Power BI</w:t>
      </w:r>
    </w:p>
    <w:p>
      <w:pPr>
        <w:spacing w:after="50"/>
      </w:pPr>
      <w:r>
        <w:rPr>
          <w:rFonts w:ascii="Calibri" w:cs="Calibri" w:eastAsia="Calibri" w:hAnsi="Calibri"/>
          <w:b/>
          <w:bCs/>
          <w:color w:val="000000"/>
          <w:sz w:val="21"/>
          <w:szCs w:val="21"/>
        </w:rPr>
        <w:t xml:space="preserve">Process Mapping &amp; Documentation: </w:t>
      </w:r>
      <w:r>
        <w:rPr>
          <w:rFonts w:ascii="Calibri" w:cs="Calibri" w:eastAsia="Calibri" w:hAnsi="Calibri"/>
          <w:color w:val="595959"/>
          <w:sz w:val="21"/>
          <w:szCs w:val="21"/>
        </w:rPr>
        <w:t xml:space="preserve">Mermaid</w:t>
      </w:r>
    </w:p>
    <w:p>
      <w:pPr>
        <w:spacing w:after="50"/>
      </w:pPr>
      <w:r>
        <w:rPr>
          <w:rFonts w:ascii="Calibri" w:cs="Calibri" w:eastAsia="Calibri" w:hAnsi="Calibri"/>
          <w:b/>
          <w:bCs/>
          <w:color w:val="000000"/>
          <w:sz w:val="21"/>
          <w:szCs w:val="21"/>
        </w:rPr>
        <w:t xml:space="preserve">AI &amp; Development Tools: </w:t>
      </w:r>
      <w:r>
        <w:rPr>
          <w:rFonts w:ascii="Calibri" w:cs="Calibri" w:eastAsia="Calibri" w:hAnsi="Calibri"/>
          <w:color w:val="595959"/>
          <w:sz w:val="21"/>
          <w:szCs w:val="21"/>
        </w:rPr>
        <w:t xml:space="preserve">Claude Code, ChatGPT, Cursor, VS Code</w:t>
      </w:r>
    </w:p>
    <w:p>
      <w:pPr>
        <w:spacing w:after="50"/>
      </w:pPr>
      <w:r>
        <w:rPr>
          <w:rFonts w:ascii="Calibri" w:cs="Calibri" w:eastAsia="Calibri" w:hAnsi="Calibri"/>
          <w:b/>
          <w:bCs/>
          <w:color w:val="000000"/>
          <w:sz w:val="21"/>
          <w:szCs w:val="21"/>
        </w:rPr>
        <w:t xml:space="preserve">Other: </w:t>
      </w:r>
      <w:r>
        <w:rPr>
          <w:rFonts w:ascii="Calibri" w:cs="Calibri" w:eastAsia="Calibri" w:hAnsi="Calibri"/>
          <w:color w:val="595959"/>
          <w:sz w:val="21"/>
          <w:szCs w:val="21"/>
        </w:rPr>
        <w:t xml:space="preserve">MySQL, WordPress, Squarespace, Matterport, Canva</w:t>
      </w:r>
    </w:p>
    <w:sectPr>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3olbcjl6jnnnrtfzw6vs" Type="http://schemas.openxmlformats.org/officeDocument/2006/relationships/hyperlink" Target="mailto:bmoham20@gmail.com" TargetMode="External"/><Relationship Id="rIdqogsxptnkuo33urzvmlxb" Type="http://schemas.openxmlformats.org/officeDocument/2006/relationships/hyperlink" Target="https://www.linkedin.com/in/bilal-ahmed-mohammed" TargetMode="External"/><Relationship Id="rIdjpgxpabkhclkzxj9bmq82" Type="http://schemas.openxmlformats.org/officeDocument/2006/relationships/hyperlink" Target="https://bilal-mohammed20.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2026-09-02T04:08:25.971Z</dcterms:created>
  <dcterms:modified xsi:type="dcterms:W3CDTF">2026-09-02T04:08:25.980Z</dcterms:modified>
</cp:coreProperties>
</file>

<file path=docProps/custom.xml><?xml version="1.0" encoding="utf-8"?>
<Properties xmlns="http://schemas.openxmlformats.org/officeDocument/2006/custom-properties" xmlns:vt="http://schemas.openxmlformats.org/officeDocument/2006/docPropsVTypes"/>
</file>