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Development work done on 16/08/2026</w:t>
      </w:r>
    </w:p>
    <w:p>
      <w:pPr>
        <w:pBdr>
          <w:bottom w:val="single" w:color="D8E3DD" w:sz="6" w:space="8"/>
        </w:pBdr>
        <w:spacing w:after="260"/>
      </w:pPr>
      <w:r>
        <w:rPr>
          <w:color w:val="66736D"/>
          <w:sz w:val="22"/>
          <w:szCs w:val="22"/>
        </w:rPr>
        <w:t xml:space="preserve">Dystil.ai website forms and email backend</w:t>
      </w:r>
    </w:p>
    <w:p>
      <w:pPr>
        <w:pStyle w:val="Heading2"/>
        <w:spacing w:after="120" w:before="0"/>
      </w:pPr>
      <w:r>
        <w:t xml:space="preserve">Overview</w:t>
      </w:r>
    </w:p>
    <w:p>
      <w:pPr>
        <w:spacing w:after="140" w:line="276"/>
      </w:pPr>
      <w:r>
        <w:rPr>
          <w:sz w:val="22"/>
          <w:szCs w:val="22"/>
        </w:rPr>
        <w:t xml:space="preserve">The website has four forms: the student enquiry form, the corporate enquiry form, the bootcamp registration form and the free taster registration form. All four send their contents to a Cloudflare Worker, which uses Brevo to email the submission to askus@dystil.ai and a confirmation to the visitor.</w:t>
      </w:r>
    </w:p>
    <w:p>
      <w:pPr>
        <w:spacing w:after="140" w:line="276"/>
      </w:pPr>
      <w:r>
        <w:rPr>
          <w:sz w:val="22"/>
          <w:szCs w:val="22"/>
        </w:rPr>
        <w:t xml:space="preserve">Today's work reviewed that whole path, fixed the faults it found, and added enquiry tracking with reference numbers. Ten tasks were completed. Eight changes were committed and pushed, four of which also required the Worker to be redeployed. The backend test suite grew from 6 tests to 22, all passing.</w:t>
      </w:r>
    </w:p>
    <w:p>
      <w:pPr>
        <w:pStyle w:val="Heading1"/>
        <w:spacing w:after="160" w:before="320"/>
      </w:pPr>
      <w:r>
        <w:t xml:space="preserve">Task 1 — Review of the forms and the email backend</w:t>
      </w:r>
    </w:p>
    <w:p>
      <w:pPr>
        <w:spacing w:after="140" w:line="276"/>
      </w:pPr>
      <w:r>
        <w:rPr>
          <w:b/>
          <w:bCs/>
          <w:color w:val="123F31"/>
          <w:sz w:val="22"/>
          <w:szCs w:val="22"/>
        </w:rPr>
        <w:t xml:space="preserve">Purpose.  </w:t>
      </w:r>
      <w:r>
        <w:rPr>
          <w:sz w:val="22"/>
          <w:szCs w:val="22"/>
        </w:rPr>
        <w:t xml:space="preserve">Establish how many forms exist and whether the submission path works correctly from end to end.</w:t>
      </w:r>
    </w:p>
    <w:p>
      <w:pPr>
        <w:spacing w:after="140" w:line="276"/>
      </w:pPr>
      <w:r>
        <w:rPr>
          <w:sz w:val="22"/>
          <w:szCs w:val="22"/>
        </w:rPr>
        <w:t xml:space="preserve">Every form, the browser script, the Worker and the stylesheet were read and cross-checked. The four forms were confirmed to be correctly wired: their field names match the Worker's expectations exactly, the character limits agree on both sides, and each page loads the two scripts it needs.</w:t>
      </w:r>
    </w:p>
    <w:p>
      <w:pPr>
        <w:spacing w:after="140" w:line="276"/>
      </w:pPr>
      <w:r>
        <w:rPr>
          <w:sz w:val="22"/>
          <w:szCs w:val="22"/>
        </w:rPr>
        <w:t xml:space="preserve">Three checks were run against the live Worker that confirm it is deployed and configured without sending any email: a request from an approved website was accepted, a request from an unapproved one was refused, and a deliberately malformed request produced the response that only occurs when the Brevo key is present.</w:t>
      </w:r>
    </w:p>
    <w:p>
      <w:pPr>
        <w:spacing w:after="140" w:line="276"/>
      </w:pPr>
      <w:r>
        <w:rPr>
          <w:b/>
          <w:bCs/>
          <w:color w:val="123F31"/>
          <w:sz w:val="22"/>
          <w:szCs w:val="22"/>
        </w:rPr>
        <w:t xml:space="preserve">Outcome.  </w:t>
      </w:r>
      <w:r>
        <w:rPr>
          <w:sz w:val="22"/>
          <w:szCs w:val="22"/>
        </w:rPr>
        <w:t xml:space="preserve">The integration was sound, but the review found one visible defect and three weaknesses. These became Tasks 3, 4, 5 and 9.</w:t>
      </w:r>
    </w:p>
    <w:p>
      <w:pPr>
        <w:pStyle w:val="Heading1"/>
        <w:spacing w:after="160" w:before="320"/>
      </w:pPr>
      <w:r>
        <w:t xml:space="preserve">Task 2 — Removed unused backend files from the repository</w:t>
      </w:r>
    </w:p>
    <w:p>
      <w:pPr>
        <w:spacing w:after="140" w:line="276"/>
      </w:pPr>
      <w:r>
        <w:rPr>
          <w:b/>
          <w:bCs/>
          <w:color w:val="123F31"/>
          <w:sz w:val="22"/>
          <w:szCs w:val="22"/>
        </w:rPr>
        <w:t xml:space="preserve">Problem.  </w:t>
      </w:r>
      <w:r>
        <w:rPr>
          <w:sz w:val="22"/>
          <w:szCs w:val="22"/>
        </w:rPr>
        <w:t xml:space="preserve">The backend folder still contained the installed dependencies of an earlier approach that used Express and Nodemailer, together with their lockfile. The Cloudflare Worker uses none of them. These files had been committed to the repository before the rule that ignores them was added, so the rule was having no effect.</w:t>
      </w:r>
    </w:p>
    <w:p>
      <w:pPr>
        <w:spacing w:after="140" w:line="276"/>
      </w:pPr>
      <w:r>
        <w:rPr>
          <w:sz w:val="22"/>
          <w:szCs w:val="22"/>
        </w:rPr>
        <w:t xml:space="preserve">A file holding live email credentials, including a password, was also found to be tracked in the repository.</w:t>
      </w:r>
    </w:p>
    <w:p>
      <w:pPr>
        <w:spacing w:after="140" w:line="276"/>
      </w:pPr>
      <w:r>
        <w:rPr>
          <w:b/>
          <w:bCs/>
          <w:color w:val="123F31"/>
          <w:sz w:val="22"/>
          <w:szCs w:val="22"/>
        </w:rPr>
        <w:t xml:space="preserve">Action.  </w:t>
      </w:r>
      <w:r>
        <w:rPr>
          <w:sz w:val="22"/>
          <w:szCs w:val="22"/>
        </w:rPr>
        <w:t xml:space="preserve">The dependency folder and its lockfile were deleted and removed from version control. The credentials file was removed from tracking, its local copy was kept, and it was added to the ignore rules so it cannot be committed again.</w:t>
      </w:r>
    </w:p>
    <w:p>
      <w:pPr>
        <w:spacing w:after="140" w:line="276"/>
      </w:pPr>
      <w:r>
        <w:rPr>
          <w:b/>
          <w:bCs/>
          <w:color w:val="123F31"/>
          <w:sz w:val="22"/>
          <w:szCs w:val="22"/>
        </w:rPr>
        <w:t xml:space="preserve">Outcome.  </w:t>
      </w:r>
      <w:r>
        <w:rPr>
          <w:sz w:val="22"/>
          <w:szCs w:val="22"/>
        </w:rPr>
        <w:t xml:space="preserve">The backend folder now contains only the Worker, its tests, its configuration and its documentation. The tests still pass, as the Worker has no runtime dependencies.</w:t>
      </w:r>
    </w:p>
    <w:p>
      <w:pPr>
        <w:spacing w:after="140" w:line="276"/>
      </w:pPr>
      <w:r>
        <w:rPr>
          <w:b/>
          <w:bCs/>
          <w:color w:val="123F31"/>
          <w:sz w:val="22"/>
          <w:szCs w:val="22"/>
        </w:rPr>
        <w:t xml:space="preserve">Note.  </w:t>
      </w:r>
      <w:r>
        <w:rPr>
          <w:sz w:val="22"/>
          <w:szCs w:val="22"/>
        </w:rPr>
        <w:t xml:space="preserve">Removing the credentials file from tracking stops any further exposure but does not erase it from the repository's history. The password is still recoverable from an earlier commit and should be treated as compromised until it is changed.</w:t>
      </w:r>
    </w:p>
    <w:p>
      <w:pPr>
        <w:pStyle w:val="Heading1"/>
        <w:spacing w:after="160" w:before="320"/>
      </w:pPr>
      <w:r>
        <w:t xml:space="preserve">Task 3 — Labelled the corporate focus area dropdown</w:t>
      </w:r>
    </w:p>
    <w:p>
      <w:pPr>
        <w:spacing w:after="140" w:line="276"/>
      </w:pPr>
      <w:r>
        <w:rPr>
          <w:b/>
          <w:bCs/>
          <w:color w:val="123F31"/>
          <w:sz w:val="22"/>
          <w:szCs w:val="22"/>
        </w:rPr>
        <w:t xml:space="preserve">Problem.  </w:t>
      </w:r>
      <w:r>
        <w:rPr>
          <w:sz w:val="22"/>
          <w:szCs w:val="22"/>
        </w:rPr>
        <w:t xml:space="preserve">On the corporate contact form, the first option of the Primary Focus Area dropdown was completely blank. The field appeared as an empty box with nothing prompting the visitor to choose, on the form that generates corporate leads. The other three forms all label this option.</w:t>
      </w:r>
    </w:p>
    <w:p>
      <w:pPr>
        <w:spacing w:after="140" w:line="276"/>
      </w:pPr>
      <w:r>
        <w:rPr>
          <w:b/>
          <w:bCs/>
          <w:color w:val="123F31"/>
          <w:sz w:val="22"/>
          <w:szCs w:val="22"/>
        </w:rPr>
        <w:t xml:space="preserve">Action.  </w:t>
      </w:r>
      <w:r>
        <w:rPr>
          <w:sz w:val="22"/>
          <w:szCs w:val="22"/>
        </w:rPr>
        <w:t xml:space="preserve">The blank option was given the text "Select an option", matching the wording used elsewhere on the site.</w:t>
      </w:r>
    </w:p>
    <w:p>
      <w:pPr>
        <w:spacing w:after="140" w:line="276"/>
      </w:pPr>
      <w:r>
        <w:rPr>
          <w:b/>
          <w:bCs/>
          <w:color w:val="123F31"/>
          <w:sz w:val="22"/>
          <w:szCs w:val="22"/>
        </w:rPr>
        <w:t xml:space="preserve">Outcome.  </w:t>
      </w:r>
      <w:r>
        <w:rPr>
          <w:sz w:val="22"/>
          <w:szCs w:val="22"/>
        </w:rPr>
        <w:t xml:space="preserve">The dropdown now reads clearly. The form's validation was unaffected, as it already prevented an empty selection from being submitted.</w:t>
      </w:r>
    </w:p>
    <w:p>
      <w:pPr>
        <w:pStyle w:val="Heading1"/>
        <w:spacing w:after="160" w:before="320"/>
      </w:pPr>
      <w:r>
        <w:t xml:space="preserve">Task 4 — Rate limiting rebuilt so shared networks are not blocked</w:t>
      </w:r>
    </w:p>
    <w:p>
      <w:pPr>
        <w:spacing w:after="140" w:line="276"/>
      </w:pPr>
      <w:r>
        <w:rPr>
          <w:b/>
          <w:bCs/>
          <w:color w:val="123F31"/>
          <w:sz w:val="22"/>
          <w:szCs w:val="22"/>
        </w:rPr>
        <w:t xml:space="preserve">Problem.  </w:t>
      </w:r>
      <w:r>
        <w:rPr>
          <w:sz w:val="22"/>
          <w:szCs w:val="22"/>
        </w:rPr>
        <w:t xml:space="preserve">The Worker allowed one submission per internet address per minute. A university, office or public network presents a single address for everyone using it, so two students submitting a form at the same time would block one another. One person could also not send two different forms in succession, and if the email provider failed, the visitor was told to try again but was then blocked from doing so for a minute.</w:t>
      </w:r>
    </w:p>
    <w:p>
      <w:pPr>
        <w:spacing w:after="140" w:line="276"/>
      </w:pPr>
      <w:r>
        <w:rPr>
          <w:b/>
          <w:bCs/>
          <w:color w:val="123F31"/>
          <w:sz w:val="22"/>
          <w:szCs w:val="22"/>
        </w:rPr>
        <w:t xml:space="preserve">Action.  </w:t>
      </w:r>
      <w:r>
        <w:rPr>
          <w:sz w:val="22"/>
          <w:szCs w:val="22"/>
        </w:rPr>
        <w:t xml:space="preserve">The limit was rebuilt in two parts. A short sixty-second lock now catches the same person sending the same form twice, identified by their address, the form and their email address together. A separate cap allows any one address ten submissions per ten minutes, which bounds automated abuse. Both are recorded only after the emails have been sent successfully.</w:t>
      </w:r>
    </w:p>
    <w:p>
      <w:pPr>
        <w:spacing w:after="140" w:line="276"/>
      </w:pPr>
      <w:r>
        <w:rPr>
          <w:sz w:val="22"/>
          <w:szCs w:val="22"/>
        </w:rPr>
        <w:t xml:space="preserve">The previous rule allowed sixty submissions an hour from one address; the new arrangement allows exactly the same number, so nothing was given away in protection. What changed is that the allowance is now shared sensibly between people rather than reserved for whoever submits first.</w:t>
      </w:r>
    </w:p>
    <w:p>
      <w:pPr>
        <w:spacing w:after="140" w:line="276"/>
      </w:pPr>
      <w:r>
        <w:rPr>
          <w:b/>
          <w:bCs/>
          <w:color w:val="123F31"/>
          <w:sz w:val="22"/>
          <w:szCs w:val="22"/>
        </w:rPr>
        <w:t xml:space="preserve">Outcome.  </w:t>
      </w:r>
      <w:r>
        <w:rPr>
          <w:sz w:val="22"/>
          <w:szCs w:val="22"/>
        </w:rPr>
        <w:t xml:space="preserve">Visitors on a shared network no longer block each other, a visitor may send a different form immediately, and a failed send can be retried at once. Five tests were added covering these cases.</w:t>
      </w:r>
    </w:p>
    <w:p>
      <w:pPr>
        <w:pStyle w:val="Heading1"/>
        <w:spacing w:after="160" w:before="320"/>
      </w:pPr>
      <w:r>
        <w:t xml:space="preserve">Task 5 — Forms now work without JavaScript</w:t>
      </w:r>
    </w:p>
    <w:p>
      <w:pPr>
        <w:spacing w:after="140" w:line="276"/>
      </w:pPr>
      <w:r>
        <w:rPr>
          <w:b/>
          <w:bCs/>
          <w:color w:val="123F31"/>
          <w:sz w:val="22"/>
          <w:szCs w:val="22"/>
        </w:rPr>
        <w:t xml:space="preserve">Problem.  </w:t>
      </w:r>
      <w:r>
        <w:rPr>
          <w:sz w:val="22"/>
          <w:szCs w:val="22"/>
        </w:rPr>
        <w:t xml:space="preserve">Each form relied entirely on its browser script to send anything. If that script failed to load, submitting the form reloaded the page, discarded everything the visitor had typed, and displayed no message at all. Nothing reached Dystil and the visitor had no way of knowing.</w:t>
      </w:r>
    </w:p>
    <w:p>
      <w:pPr>
        <w:spacing w:after="140" w:line="276"/>
      </w:pPr>
      <w:r>
        <w:rPr>
          <w:b/>
          <w:bCs/>
          <w:color w:val="123F31"/>
          <w:sz w:val="22"/>
          <w:szCs w:val="22"/>
        </w:rPr>
        <w:t xml:space="preserve">Action.  </w:t>
      </w:r>
      <w:r>
        <w:rPr>
          <w:sz w:val="22"/>
          <w:szCs w:val="22"/>
        </w:rPr>
        <w:t xml:space="preserve">Each form now posts directly to the Worker as a fallback, carries its form type in a hidden field rather than depending on the script to add it, and declares the file encoding the CV upload requires. The Worker was taught to recognise a browser submission and reply with a proper result page instead of raw technical output.</w:t>
      </w:r>
    </w:p>
    <w:p>
      <w:pPr>
        <w:spacing w:after="140" w:line="276"/>
      </w:pPr>
      <w:r>
        <w:rPr>
          <w:b/>
          <w:bCs/>
          <w:color w:val="123F31"/>
          <w:sz w:val="22"/>
          <w:szCs w:val="22"/>
        </w:rPr>
        <w:t xml:space="preserve">Outcome.  </w:t>
      </w:r>
      <w:r>
        <w:rPr>
          <w:sz w:val="22"/>
          <w:szCs w:val="22"/>
        </w:rPr>
        <w:t xml:space="preserve">A visitor whose script fails now submits successfully and sees a branded confirmation page. The normal path is unchanged. Three tests were added.</w:t>
      </w:r>
    </w:p>
    <w:p>
      <w:pPr>
        <w:spacing w:after="140" w:line="276"/>
      </w:pPr>
      <w:r>
        <w:rPr>
          <w:b/>
          <w:bCs/>
          <w:color w:val="123F31"/>
          <w:sz w:val="22"/>
          <w:szCs w:val="22"/>
        </w:rPr>
        <w:t xml:space="preserve">Note.  </w:t>
      </w:r>
      <w:r>
        <w:rPr>
          <w:sz w:val="22"/>
          <w:szCs w:val="22"/>
        </w:rPr>
        <w:t xml:space="preserve">The Worker address now appears in five files rather than one, since the fallback cannot read the shared configuration file. All five are listed in the backend documentation so that a future change updates them together.</w:t>
      </w:r>
    </w:p>
    <w:p>
      <w:pPr>
        <w:pStyle w:val="Heading1"/>
        <w:spacing w:after="160" w:before="320"/>
      </w:pPr>
      <w:r>
        <w:t xml:space="preserve">Task 6 — Enquiry tracking database and reference numbers</w:t>
      </w:r>
    </w:p>
    <w:p>
      <w:pPr>
        <w:spacing w:after="140" w:line="276"/>
      </w:pPr>
      <w:r>
        <w:rPr>
          <w:b/>
          <w:bCs/>
          <w:color w:val="123F31"/>
          <w:sz w:val="22"/>
          <w:szCs w:val="22"/>
        </w:rPr>
        <w:t xml:space="preserve">Purpose.  </w:t>
      </w:r>
      <w:r>
        <w:rPr>
          <w:sz w:val="22"/>
          <w:szCs w:val="22"/>
        </w:rPr>
        <w:t xml:space="preserve">Until today nothing was recorded anywhere. An enquiry existed only in the two emails it produced, so a failed send meant the enquiry was lost with no trace, and neither party had anything to quote when discussing it.</w:t>
      </w:r>
    </w:p>
    <w:p>
      <w:pPr>
        <w:spacing w:after="140" w:line="276"/>
      </w:pPr>
      <w:r>
        <w:rPr>
          <w:b/>
          <w:bCs/>
          <w:color w:val="123F31"/>
          <w:sz w:val="22"/>
          <w:szCs w:val="22"/>
        </w:rPr>
        <w:t xml:space="preserve">Action.  </w:t>
      </w:r>
      <w:r>
        <w:rPr>
          <w:sz w:val="22"/>
          <w:szCs w:val="22"/>
        </w:rPr>
        <w:t xml:space="preserve">A Cloudflare D1 database was created in the Western Europe region and every submission is now recorded in it before the emails are sent. Each submission receives a reference number that identifies the form and the year, and each form counts separately from 0001 again every January:</w:t>
      </w:r>
    </w:p>
    <w:p>
      <w:pPr>
        <w:pStyle w:val="ListParagraph"/>
        <w:numPr>
          <w:ilvl w:val="0"/>
          <w:numId w:val="2"/>
        </w:numPr>
        <w:spacing w:after="80" w:line="276"/>
      </w:pPr>
      <w:r>
        <w:rPr>
          <w:sz w:val="22"/>
          <w:szCs w:val="22"/>
        </w:rPr>
        <w:t xml:space="preserve">Student Enquiry — DYS-STU-26-0001</w:t>
      </w:r>
    </w:p>
    <w:p>
      <w:pPr>
        <w:pStyle w:val="ListParagraph"/>
        <w:numPr>
          <w:ilvl w:val="0"/>
          <w:numId w:val="2"/>
        </w:numPr>
        <w:spacing w:after="80" w:line="276"/>
      </w:pPr>
      <w:r>
        <w:rPr>
          <w:sz w:val="22"/>
          <w:szCs w:val="22"/>
        </w:rPr>
        <w:t xml:space="preserve">Corporate Enquiry — DYS-COR-26-0001</w:t>
      </w:r>
    </w:p>
    <w:p>
      <w:pPr>
        <w:pStyle w:val="ListParagraph"/>
        <w:numPr>
          <w:ilvl w:val="0"/>
          <w:numId w:val="2"/>
        </w:numPr>
        <w:spacing w:after="80" w:line="276"/>
      </w:pPr>
      <w:r>
        <w:rPr>
          <w:sz w:val="22"/>
          <w:szCs w:val="22"/>
        </w:rPr>
        <w:t xml:space="preserve">Bootcamp Registration — DYS-BOT-26-0001</w:t>
      </w:r>
    </w:p>
    <w:p>
      <w:pPr>
        <w:pStyle w:val="ListParagraph"/>
        <w:numPr>
          <w:ilvl w:val="0"/>
          <w:numId w:val="2"/>
        </w:numPr>
        <w:spacing w:after="80" w:line="276"/>
      </w:pPr>
      <w:r>
        <w:rPr>
          <w:sz w:val="22"/>
          <w:szCs w:val="22"/>
        </w:rPr>
        <w:t xml:space="preserve">Free Taster Registration — DYS-TAS-26-0001</w:t>
      </w:r>
    </w:p>
    <w:p>
      <w:pPr>
        <w:spacing w:after="140" w:line="276"/>
      </w:pPr>
      <w:r>
        <w:rPr>
          <w:sz w:val="22"/>
          <w:szCs w:val="22"/>
        </w:rPr>
        <w:t xml:space="preserve">The number is issued by a single database instruction that increments and returns in one step, so two submissions arriving at the same moment cannot receive the same reference.</w:t>
      </w:r>
    </w:p>
    <w:p>
      <w:pPr>
        <w:spacing w:after="140" w:line="276"/>
      </w:pPr>
      <w:r>
        <w:rPr>
          <w:sz w:val="22"/>
          <w:szCs w:val="22"/>
        </w:rPr>
        <w:t xml:space="preserve">The reference appears in the subject line of the email to askus@dystil.ai, which makes enquiries searchable and filterable in the mailbox; in a Reference row at the top of the details table; in the visitor's confirmation email and its subject line; and in the message shown on the website immediately after submitting.</w:t>
      </w:r>
    </w:p>
    <w:p>
      <w:pPr>
        <w:spacing w:after="140" w:line="276"/>
      </w:pPr>
      <w:r>
        <w:rPr>
          <w:sz w:val="22"/>
          <w:szCs w:val="22"/>
        </w:rPr>
        <w:t xml:space="preserve">The record holds the form type, the visitor's name and email address, every field they filled in, the CV filename, the time of submission, and whether the emails were delivered. The CV file itself is not stored and remains an email attachment only.</w:t>
      </w:r>
    </w:p>
    <w:p>
      <w:pPr>
        <w:spacing w:after="140" w:line="276"/>
      </w:pPr>
      <w:r>
        <w:rPr>
          <w:b/>
          <w:bCs/>
          <w:color w:val="123F31"/>
          <w:sz w:val="22"/>
          <w:szCs w:val="22"/>
        </w:rPr>
        <w:t xml:space="preserve">Design decision.  </w:t>
      </w:r>
      <w:r>
        <w:rPr>
          <w:sz w:val="22"/>
          <w:szCs w:val="22"/>
        </w:rPr>
        <w:t xml:space="preserve">Because a reference cannot exist without a record, a database failure stops the submission and asks the visitor to try again, rather than sending an enquiry that cannot be traced.</w:t>
      </w:r>
    </w:p>
    <w:p>
      <w:pPr>
        <w:spacing w:after="140" w:line="276"/>
      </w:pPr>
      <w:r>
        <w:rPr>
          <w:b/>
          <w:bCs/>
          <w:color w:val="123F31"/>
          <w:sz w:val="22"/>
          <w:szCs w:val="22"/>
        </w:rPr>
        <w:t xml:space="preserve">Outcome.  </w:t>
      </w:r>
      <w:r>
        <w:rPr>
          <w:sz w:val="22"/>
          <w:szCs w:val="22"/>
        </w:rPr>
        <w:t xml:space="preserve">Every enquiry is now tracked and recoverable. If the email provider fails, the record remains and is marked accordingly, so the enquiry can be retrieved instead of lost. Seven tests were added.</w:t>
      </w:r>
    </w:p>
    <w:p>
      <w:pPr>
        <w:pStyle w:val="Heading1"/>
        <w:spacing w:after="160" w:before="320"/>
      </w:pPr>
      <w:r>
        <w:t xml:space="preserve">Task 7 — Data storage notice added to every form</w:t>
      </w:r>
    </w:p>
    <w:p>
      <w:pPr>
        <w:spacing w:after="140" w:line="276"/>
      </w:pPr>
      <w:r>
        <w:rPr>
          <w:b/>
          <w:bCs/>
          <w:color w:val="123F31"/>
          <w:sz w:val="22"/>
          <w:szCs w:val="22"/>
        </w:rPr>
        <w:t xml:space="preserve">Problem.  </w:t>
      </w:r>
      <w:r>
        <w:rPr>
          <w:sz w:val="22"/>
          <w:szCs w:val="22"/>
        </w:rPr>
        <w:t xml:space="preserve">Submissions are now stored as well as emailed, and the forms said nothing about it. The website has no privacy policy page; the link in the footer does not lead anywhere.</w:t>
      </w:r>
    </w:p>
    <w:p>
      <w:pPr>
        <w:spacing w:after="140" w:line="276"/>
      </w:pPr>
      <w:r>
        <w:rPr>
          <w:b/>
          <w:bCs/>
          <w:color w:val="123F31"/>
          <w:sz w:val="22"/>
          <w:szCs w:val="22"/>
        </w:rPr>
        <w:t xml:space="preserve">Action.  </w:t>
      </w:r>
      <w:r>
        <w:rPr>
          <w:sz w:val="22"/>
          <w:szCs w:val="22"/>
        </w:rPr>
        <w:t xml:space="preserve">A short notice was placed directly above the submit button on all four forms, explaining what is kept, that it is not shared, and how to request a copy or a deletion by email. The registration form carries a variant stating that the CV is emailed but not kept, which is what the system actually does.</w:t>
      </w:r>
    </w:p>
    <w:p>
      <w:pPr>
        <w:spacing w:after="140" w:line="276"/>
      </w:pPr>
      <w:r>
        <w:rPr>
          <w:b/>
          <w:bCs/>
          <w:color w:val="123F31"/>
          <w:sz w:val="22"/>
          <w:szCs w:val="22"/>
        </w:rPr>
        <w:t xml:space="preserve">Outcome.  </w:t>
      </w:r>
      <w:r>
        <w:rPr>
          <w:sz w:val="22"/>
          <w:szCs w:val="22"/>
        </w:rPr>
        <w:t xml:space="preserve">Each form now tells visitors what happens to their details at the point where they provide them. The notice was checked as rendered, on both the student and corporate page designs and at mobile width.</w:t>
      </w:r>
    </w:p>
    <w:p>
      <w:pPr>
        <w:pStyle w:val="Heading1"/>
        <w:spacing w:after="160" w:before="320"/>
      </w:pPr>
      <w:r>
        <w:t xml:space="preserve">Task 8 — Restored the colours on form messages</w:t>
      </w:r>
    </w:p>
    <w:p>
      <w:pPr>
        <w:spacing w:after="140" w:line="276"/>
      </w:pPr>
      <w:r>
        <w:rPr>
          <w:b/>
          <w:bCs/>
          <w:color w:val="123F31"/>
          <w:sz w:val="22"/>
          <w:szCs w:val="22"/>
        </w:rPr>
        <w:t xml:space="preserve">Problem.  </w:t>
      </w:r>
      <w:r>
        <w:rPr>
          <w:sz w:val="22"/>
          <w:szCs w:val="22"/>
        </w:rPr>
        <w:t xml:space="preserve">A wider stylesheet rule was overriding the styling of the success and error messages, so both appeared in grey body text at the wrong size. A failed submission looked like ordinary page content rather than an error. The help text under the CV field was oversized for the same reason.</w:t>
      </w:r>
    </w:p>
    <w:p>
      <w:pPr>
        <w:spacing w:after="140" w:line="276"/>
      </w:pPr>
      <w:r>
        <w:rPr>
          <w:b/>
          <w:bCs/>
          <w:color w:val="123F31"/>
          <w:sz w:val="22"/>
          <w:szCs w:val="22"/>
        </w:rPr>
        <w:t xml:space="preserve">Action.  </w:t>
      </w:r>
      <w:r>
        <w:rPr>
          <w:sz w:val="22"/>
          <w:szCs w:val="22"/>
        </w:rPr>
        <w:t xml:space="preserve">The affected rules were rewritten so that they take precedence over the wider rule.</w:t>
      </w:r>
    </w:p>
    <w:p>
      <w:pPr>
        <w:spacing w:after="140" w:line="276"/>
      </w:pPr>
      <w:r>
        <w:rPr>
          <w:b/>
          <w:bCs/>
          <w:color w:val="123F31"/>
          <w:sz w:val="22"/>
          <w:szCs w:val="22"/>
        </w:rPr>
        <w:t xml:space="preserve">Outcome.  </w:t>
      </w:r>
      <w:r>
        <w:rPr>
          <w:sz w:val="22"/>
          <w:szCs w:val="22"/>
        </w:rPr>
        <w:t xml:space="preserve">Success messages now appear in green and error messages in red, at the intended size. This matters most for the messages added today, which ask the visitor to take action.</w:t>
      </w:r>
    </w:p>
    <w:p>
      <w:pPr>
        <w:pStyle w:val="Heading1"/>
        <w:spacing w:after="160" w:before="320"/>
      </w:pPr>
      <w:r>
        <w:t xml:space="preserve">Task 9 — Corrected the Brevo idempotency key</w:t>
      </w:r>
    </w:p>
    <w:p>
      <w:pPr>
        <w:spacing w:after="140" w:line="276"/>
      </w:pPr>
      <w:r>
        <w:rPr>
          <w:b/>
          <w:bCs/>
          <w:color w:val="123F31"/>
          <w:sz w:val="22"/>
          <w:szCs w:val="22"/>
        </w:rPr>
        <w:t xml:space="preserve">Problem.  </w:t>
      </w:r>
      <w:r>
        <w:rPr>
          <w:sz w:val="22"/>
          <w:szCs w:val="22"/>
        </w:rPr>
        <w:t xml:space="preserve">The Worker was sending a key intended to prevent duplicate emails, but it was doing so incorrectly in three separate ways: it was placed in the body of the request rather than in the request headers, which meant Brevo treated it as a decorative header to stamp on the outgoing email and never processed it; its name was spelled differently from what Brevo expects; and its value was not in the format Brevo requires.</w:t>
      </w:r>
    </w:p>
    <w:p>
      <w:pPr>
        <w:spacing w:after="140" w:line="276"/>
      </w:pPr>
      <w:r>
        <w:rPr>
          <w:b/>
          <w:bCs/>
          <w:color w:val="123F31"/>
          <w:sz w:val="22"/>
          <w:szCs w:val="22"/>
        </w:rPr>
        <w:t xml:space="preserve">Action.  </w:t>
      </w:r>
      <w:r>
        <w:rPr>
          <w:sz w:val="22"/>
          <w:szCs w:val="22"/>
        </w:rPr>
        <w:t xml:space="preserve">Brevo's published documentation was checked to establish the correct behaviour. The key now travels in the request headers, under the correct name, as a correctly formatted value. Because the notification and the confirmation are two separate requests, each is given its own key; sharing one would cause Brevo to reject the second, and the visitor would never receive their confirmation.</w:t>
      </w:r>
    </w:p>
    <w:p>
      <w:pPr>
        <w:spacing w:after="140" w:line="276"/>
      </w:pPr>
      <w:r>
        <w:rPr>
          <w:b/>
          <w:bCs/>
          <w:color w:val="123F31"/>
          <w:sz w:val="22"/>
          <w:szCs w:val="22"/>
        </w:rPr>
        <w:t xml:space="preserve">Outcome.  </w:t>
      </w:r>
      <w:r>
        <w:rPr>
          <w:sz w:val="22"/>
          <w:szCs w:val="22"/>
        </w:rPr>
        <w:t xml:space="preserve">The protection now functions as intended and delivered emails no longer carry a meaningless header. Confirmed by a live submission, which Brevo accepted for both emails.</w:t>
      </w:r>
    </w:p>
    <w:p>
      <w:pPr>
        <w:pStyle w:val="Heading1"/>
        <w:spacing w:after="160" w:before="320"/>
      </w:pPr>
      <w:r>
        <w:t xml:space="preserve">Task 10 — Live verification</w:t>
      </w:r>
    </w:p>
    <w:p>
      <w:pPr>
        <w:spacing w:after="140" w:line="276"/>
      </w:pPr>
      <w:r>
        <w:rPr>
          <w:sz w:val="22"/>
          <w:szCs w:val="22"/>
        </w:rPr>
        <w:t xml:space="preserve">Live submissions were sent through the corporate, registration and taster forms during the day. Each was accepted, produced both emails, and the registration test confirmed that a CV attachment is delivered correctly. The taster tests confirmed that reference numbers are issued and increment correctly, and that the records are written to the database and marked as delivered.</w:t>
      </w:r>
    </w:p>
    <w:p>
      <w:pPr>
        <w:spacing w:after="140" w:line="276"/>
      </w:pPr>
      <w:r>
        <w:rPr>
          <w:sz w:val="22"/>
          <w:szCs w:val="22"/>
        </w:rPr>
        <w:t xml:space="preserve">A final check confirmed that everything is live and consistent:</w:t>
      </w:r>
    </w:p>
    <w:p>
      <w:pPr>
        <w:pStyle w:val="ListParagraph"/>
        <w:numPr>
          <w:ilvl w:val="0"/>
          <w:numId w:val="2"/>
        </w:numPr>
        <w:spacing w:after="80" w:line="276"/>
      </w:pPr>
      <w:r>
        <w:rPr>
          <w:sz w:val="22"/>
          <w:szCs w:val="22"/>
        </w:rPr>
        <w:t xml:space="preserve">The repository is fully synchronised with GitHub and all 22 tests pass.</w:t>
      </w:r>
    </w:p>
    <w:p>
      <w:pPr>
        <w:pStyle w:val="ListParagraph"/>
        <w:numPr>
          <w:ilvl w:val="0"/>
          <w:numId w:val="2"/>
        </w:numPr>
        <w:spacing w:after="80" w:line="276"/>
      </w:pPr>
      <w:r>
        <w:rPr>
          <w:sz w:val="22"/>
          <w:szCs w:val="22"/>
        </w:rPr>
        <w:t xml:space="preserve">All four form pages on the live website carry today's changes, and the live stylesheet is current.</w:t>
      </w:r>
    </w:p>
    <w:p>
      <w:pPr>
        <w:pStyle w:val="ListParagraph"/>
        <w:numPr>
          <w:ilvl w:val="0"/>
          <w:numId w:val="2"/>
        </w:numPr>
        <w:spacing w:after="80" w:line="276"/>
      </w:pPr>
      <w:r>
        <w:rPr>
          <w:sz w:val="22"/>
          <w:szCs w:val="22"/>
        </w:rPr>
        <w:t xml:space="preserve">The Worker is running the newest version and behaves correctly for approved and unapproved websites, for browsers without JavaScript, and for malformed requests.</w:t>
      </w:r>
    </w:p>
    <w:p>
      <w:pPr>
        <w:pStyle w:val="ListParagraph"/>
        <w:numPr>
          <w:ilvl w:val="0"/>
          <w:numId w:val="2"/>
        </w:numPr>
        <w:spacing w:after="80" w:line="276"/>
      </w:pPr>
      <w:r>
        <w:rPr>
          <w:sz w:val="22"/>
          <w:szCs w:val="22"/>
        </w:rPr>
        <w:t xml:space="preserve">The website's configuration file and the forms' fallback addresses agree with each other.</w:t>
      </w:r>
    </w:p>
    <w:p>
      <w:pPr>
        <w:pStyle w:val="ListParagraph"/>
        <w:numPr>
          <w:ilvl w:val="0"/>
          <w:numId w:val="2"/>
        </w:numPr>
        <w:spacing w:after="80" w:line="276"/>
      </w:pPr>
      <w:r>
        <w:rPr>
          <w:sz w:val="22"/>
          <w:szCs w:val="22"/>
        </w:rPr>
        <w:t xml:space="preserve">The database holds the test records, all marked as delivered.</w:t>
      </w:r>
    </w:p>
    <w:p>
      <w:pPr>
        <w:pStyle w:val="Heading1"/>
      </w:pPr>
      <w:r>
        <w:t xml:space="preserve">Summary of changes</w:t>
      </w:r>
    </w:p>
    <w:p>
      <w:pPr>
        <w:spacing w:after="200" w:line="276"/>
      </w:pPr>
      <w:r>
        <w:rPr>
          <w:sz w:val="22"/>
          <w:szCs w:val="22"/>
        </w:rPr>
        <w:t xml:space="preserve">Eight changes were committed and pushed to the repository. Four required the Cloudflare Worker to be redeployed; the remainder took effect on the website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shd w:fill="EDF2F0" w:val="clear"/>
            <w:tcMar>
              <w:top w:type="dxa" w:w="80"/>
              <w:left w:type="dxa" w:w="120"/>
              <w:bottom w:type="dxa" w:w="80"/>
              <w:right w:type="dxa" w:w="120"/>
            </w:tcMar>
          </w:tcPr>
          <w:p>
            <w:pPr>
              <w:spacing w:after="0"/>
            </w:pPr>
            <w:r>
              <w:rPr>
                <w:b/>
                <w:bCs/>
                <w:sz w:val="20"/>
                <w:szCs w:val="20"/>
              </w:rPr>
              <w:t xml:space="preserve">Task</w:t>
            </w:r>
          </w:p>
        </w:tc>
        <w:tc>
          <w:tcPr>
            <w:tcW w:type="dxa" w:w="2600"/>
            <w:shd w:fill="EDF2F0" w:val="clear"/>
            <w:tcMar>
              <w:top w:type="dxa" w:w="80"/>
              <w:left w:type="dxa" w:w="120"/>
              <w:bottom w:type="dxa" w:w="80"/>
              <w:right w:type="dxa" w:w="120"/>
            </w:tcMar>
          </w:tcPr>
          <w:p>
            <w:pPr>
              <w:spacing w:after="0"/>
            </w:pPr>
            <w:r>
              <w:rPr>
                <w:b/>
                <w:bCs/>
                <w:sz w:val="20"/>
                <w:szCs w:val="20"/>
              </w:rPr>
              <w:t xml:space="preserve">Commit</w:t>
            </w:r>
          </w:p>
        </w:tc>
        <w:tc>
          <w:tcPr>
            <w:tcW w:type="dxa" w:w="2226"/>
            <w:shd w:fill="EDF2F0" w:val="clear"/>
            <w:tcMar>
              <w:top w:type="dxa" w:w="80"/>
              <w:left w:type="dxa" w:w="120"/>
              <w:bottom w:type="dxa" w:w="80"/>
              <w:right w:type="dxa" w:w="120"/>
            </w:tcMar>
          </w:tcPr>
          <w:p>
            <w:pPr>
              <w:spacing w:after="0"/>
            </w:pPr>
            <w:r>
              <w:rPr>
                <w:b/>
                <w:bCs/>
                <w:sz w:val="20"/>
                <w:szCs w:val="20"/>
              </w:rPr>
              <w:t xml:space="preserve">Worker redeployed</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1. Review of forms and backend</w:t>
            </w:r>
          </w:p>
        </w:tc>
        <w:tc>
          <w:tcPr>
            <w:tcW w:type="dxa" w:w="2600"/>
            <w:tcMar>
              <w:top w:type="dxa" w:w="80"/>
              <w:left w:type="dxa" w:w="120"/>
              <w:bottom w:type="dxa" w:w="80"/>
              <w:right w:type="dxa" w:w="120"/>
            </w:tcMar>
          </w:tcPr>
          <w:p>
            <w:pPr>
              <w:spacing w:after="0"/>
            </w:pPr>
            <w:r>
              <w:rPr>
                <w:b w:val="false"/>
                <w:bCs w:val="false"/>
                <w:sz w:val="20"/>
                <w:szCs w:val="20"/>
              </w:rPr>
              <w:t xml:space="preserve">—</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2. Removed unused backend files</w:t>
            </w:r>
          </w:p>
        </w:tc>
        <w:tc>
          <w:tcPr>
            <w:tcW w:type="dxa" w:w="2600"/>
            <w:tcMar>
              <w:top w:type="dxa" w:w="80"/>
              <w:left w:type="dxa" w:w="120"/>
              <w:bottom w:type="dxa" w:w="80"/>
              <w:right w:type="dxa" w:w="120"/>
            </w:tcMar>
          </w:tcPr>
          <w:p>
            <w:pPr>
              <w:spacing w:after="0"/>
            </w:pPr>
            <w:r>
              <w:rPr>
                <w:b w:val="false"/>
                <w:bCs w:val="false"/>
                <w:sz w:val="20"/>
                <w:szCs w:val="20"/>
              </w:rPr>
              <w:t xml:space="preserve">bd1e20a</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3. Focus area dropdown label</w:t>
            </w:r>
          </w:p>
        </w:tc>
        <w:tc>
          <w:tcPr>
            <w:tcW w:type="dxa" w:w="2600"/>
            <w:tcMar>
              <w:top w:type="dxa" w:w="80"/>
              <w:left w:type="dxa" w:w="120"/>
              <w:bottom w:type="dxa" w:w="80"/>
              <w:right w:type="dxa" w:w="120"/>
            </w:tcMar>
          </w:tcPr>
          <w:p>
            <w:pPr>
              <w:spacing w:after="0"/>
            </w:pPr>
            <w:r>
              <w:rPr>
                <w:b w:val="false"/>
                <w:bCs w:val="false"/>
                <w:sz w:val="20"/>
                <w:szCs w:val="20"/>
              </w:rPr>
              <w:t xml:space="preserve">b496143</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4. Rate limiting rebuilt</w:t>
            </w:r>
          </w:p>
        </w:tc>
        <w:tc>
          <w:tcPr>
            <w:tcW w:type="dxa" w:w="2600"/>
            <w:tcMar>
              <w:top w:type="dxa" w:w="80"/>
              <w:left w:type="dxa" w:w="120"/>
              <w:bottom w:type="dxa" w:w="80"/>
              <w:right w:type="dxa" w:w="120"/>
            </w:tcMar>
          </w:tcPr>
          <w:p>
            <w:pPr>
              <w:spacing w:after="0"/>
            </w:pPr>
            <w:r>
              <w:rPr>
                <w:b w:val="false"/>
                <w:bCs w:val="false"/>
                <w:sz w:val="20"/>
                <w:szCs w:val="20"/>
              </w:rPr>
              <w:t xml:space="preserve">e958f9a</w:t>
            </w:r>
          </w:p>
        </w:tc>
        <w:tc>
          <w:tcPr>
            <w:tcW w:type="dxa" w:w="2226"/>
            <w:tcMar>
              <w:top w:type="dxa" w:w="80"/>
              <w:left w:type="dxa" w:w="120"/>
              <w:bottom w:type="dxa" w:w="80"/>
              <w:right w:type="dxa" w:w="120"/>
            </w:tcMar>
          </w:tcPr>
          <w:p>
            <w:pPr>
              <w:spacing w:after="0"/>
            </w:pPr>
            <w:r>
              <w:rPr>
                <w:b w:val="false"/>
                <w:bCs w:val="false"/>
                <w:sz w:val="20"/>
                <w:szCs w:val="20"/>
              </w:rPr>
              <w:t xml:space="preserve">Yes</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5. Forms work without JavaScript</w:t>
            </w:r>
          </w:p>
        </w:tc>
        <w:tc>
          <w:tcPr>
            <w:tcW w:type="dxa" w:w="2600"/>
            <w:tcMar>
              <w:top w:type="dxa" w:w="80"/>
              <w:left w:type="dxa" w:w="120"/>
              <w:bottom w:type="dxa" w:w="80"/>
              <w:right w:type="dxa" w:w="120"/>
            </w:tcMar>
          </w:tcPr>
          <w:p>
            <w:pPr>
              <w:spacing w:after="0"/>
            </w:pPr>
            <w:r>
              <w:rPr>
                <w:b w:val="false"/>
                <w:bCs w:val="false"/>
                <w:sz w:val="20"/>
                <w:szCs w:val="20"/>
              </w:rPr>
              <w:t xml:space="preserve">259256e</w:t>
            </w:r>
          </w:p>
        </w:tc>
        <w:tc>
          <w:tcPr>
            <w:tcW w:type="dxa" w:w="2226"/>
            <w:tcMar>
              <w:top w:type="dxa" w:w="80"/>
              <w:left w:type="dxa" w:w="120"/>
              <w:bottom w:type="dxa" w:w="80"/>
              <w:right w:type="dxa" w:w="120"/>
            </w:tcMar>
          </w:tcPr>
          <w:p>
            <w:pPr>
              <w:spacing w:after="0"/>
            </w:pPr>
            <w:r>
              <w:rPr>
                <w:b w:val="false"/>
                <w:bCs w:val="false"/>
                <w:sz w:val="20"/>
                <w:szCs w:val="20"/>
              </w:rPr>
              <w:t xml:space="preserve">Yes</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6. Tracking and reference numbers</w:t>
            </w:r>
          </w:p>
        </w:tc>
        <w:tc>
          <w:tcPr>
            <w:tcW w:type="dxa" w:w="2600"/>
            <w:tcMar>
              <w:top w:type="dxa" w:w="80"/>
              <w:left w:type="dxa" w:w="120"/>
              <w:bottom w:type="dxa" w:w="80"/>
              <w:right w:type="dxa" w:w="120"/>
            </w:tcMar>
          </w:tcPr>
          <w:p>
            <w:pPr>
              <w:spacing w:after="0"/>
            </w:pPr>
            <w:r>
              <w:rPr>
                <w:b w:val="false"/>
                <w:bCs w:val="false"/>
                <w:sz w:val="20"/>
                <w:szCs w:val="20"/>
              </w:rPr>
              <w:t xml:space="preserve">67855f0</w:t>
            </w:r>
          </w:p>
        </w:tc>
        <w:tc>
          <w:tcPr>
            <w:tcW w:type="dxa" w:w="2226"/>
            <w:tcMar>
              <w:top w:type="dxa" w:w="80"/>
              <w:left w:type="dxa" w:w="120"/>
              <w:bottom w:type="dxa" w:w="80"/>
              <w:right w:type="dxa" w:w="120"/>
            </w:tcMar>
          </w:tcPr>
          <w:p>
            <w:pPr>
              <w:spacing w:after="0"/>
            </w:pPr>
            <w:r>
              <w:rPr>
                <w:b w:val="false"/>
                <w:bCs w:val="false"/>
                <w:sz w:val="20"/>
                <w:szCs w:val="20"/>
              </w:rPr>
              <w:t xml:space="preserve">Yes</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7. Data storage notice</w:t>
            </w:r>
          </w:p>
        </w:tc>
        <w:tc>
          <w:tcPr>
            <w:tcW w:type="dxa" w:w="2600"/>
            <w:tcMar>
              <w:top w:type="dxa" w:w="80"/>
              <w:left w:type="dxa" w:w="120"/>
              <w:bottom w:type="dxa" w:w="80"/>
              <w:right w:type="dxa" w:w="120"/>
            </w:tcMar>
          </w:tcPr>
          <w:p>
            <w:pPr>
              <w:spacing w:after="0"/>
            </w:pPr>
            <w:r>
              <w:rPr>
                <w:b w:val="false"/>
                <w:bCs w:val="false"/>
                <w:sz w:val="20"/>
                <w:szCs w:val="20"/>
              </w:rPr>
              <w:t xml:space="preserve">4f321b9</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8. Status message colours</w:t>
            </w:r>
          </w:p>
        </w:tc>
        <w:tc>
          <w:tcPr>
            <w:tcW w:type="dxa" w:w="2600"/>
            <w:tcMar>
              <w:top w:type="dxa" w:w="80"/>
              <w:left w:type="dxa" w:w="120"/>
              <w:bottom w:type="dxa" w:w="80"/>
              <w:right w:type="dxa" w:w="120"/>
            </w:tcMar>
          </w:tcPr>
          <w:p>
            <w:pPr>
              <w:spacing w:after="0"/>
            </w:pPr>
            <w:r>
              <w:rPr>
                <w:b w:val="false"/>
                <w:bCs w:val="false"/>
                <w:sz w:val="20"/>
                <w:szCs w:val="20"/>
              </w:rPr>
              <w:t xml:space="preserve">65b29dc</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9. Brevo idempotency key</w:t>
            </w:r>
          </w:p>
        </w:tc>
        <w:tc>
          <w:tcPr>
            <w:tcW w:type="dxa" w:w="2600"/>
            <w:tcMar>
              <w:top w:type="dxa" w:w="80"/>
              <w:left w:type="dxa" w:w="120"/>
              <w:bottom w:type="dxa" w:w="80"/>
              <w:right w:type="dxa" w:w="120"/>
            </w:tcMar>
          </w:tcPr>
          <w:p>
            <w:pPr>
              <w:spacing w:after="0"/>
            </w:pPr>
            <w:r>
              <w:rPr>
                <w:b w:val="false"/>
                <w:bCs w:val="false"/>
                <w:sz w:val="20"/>
                <w:szCs w:val="20"/>
              </w:rPr>
              <w:t xml:space="preserve">7fa050e</w:t>
            </w:r>
          </w:p>
        </w:tc>
        <w:tc>
          <w:tcPr>
            <w:tcW w:type="dxa" w:w="2226"/>
            <w:tcMar>
              <w:top w:type="dxa" w:w="80"/>
              <w:left w:type="dxa" w:w="120"/>
              <w:bottom w:type="dxa" w:w="80"/>
              <w:right w:type="dxa" w:w="120"/>
            </w:tcMar>
          </w:tcPr>
          <w:p>
            <w:pPr>
              <w:spacing w:after="0"/>
            </w:pPr>
            <w:r>
              <w:rPr>
                <w:b w:val="false"/>
                <w:bCs w:val="false"/>
                <w:sz w:val="20"/>
                <w:szCs w:val="20"/>
              </w:rPr>
              <w:t xml:space="preserve">Yes</w:t>
            </w:r>
          </w:p>
        </w:tc>
      </w:tr>
      <w:tr>
        <w:trPr>
          <w:tblHeader w:val="false"/>
        </w:trPr>
        <w:tc>
          <w:tcPr>
            <w:tcW w:type="dxa" w:w="4200"/>
            <w:tcMar>
              <w:top w:type="dxa" w:w="80"/>
              <w:left w:type="dxa" w:w="120"/>
              <w:bottom w:type="dxa" w:w="80"/>
              <w:right w:type="dxa" w:w="120"/>
            </w:tcMar>
          </w:tcPr>
          <w:p>
            <w:pPr>
              <w:spacing w:after="0"/>
            </w:pPr>
            <w:r>
              <w:rPr>
                <w:b w:val="false"/>
                <w:bCs w:val="false"/>
                <w:sz w:val="20"/>
                <w:szCs w:val="20"/>
              </w:rPr>
              <w:t xml:space="preserve">10. Live verification</w:t>
            </w:r>
          </w:p>
        </w:tc>
        <w:tc>
          <w:tcPr>
            <w:tcW w:type="dxa" w:w="2600"/>
            <w:tcMar>
              <w:top w:type="dxa" w:w="80"/>
              <w:left w:type="dxa" w:w="120"/>
              <w:bottom w:type="dxa" w:w="80"/>
              <w:right w:type="dxa" w:w="120"/>
            </w:tcMar>
          </w:tcPr>
          <w:p>
            <w:pPr>
              <w:spacing w:after="0"/>
            </w:pPr>
            <w:r>
              <w:rPr>
                <w:b w:val="false"/>
                <w:bCs w:val="false"/>
                <w:sz w:val="20"/>
                <w:szCs w:val="20"/>
              </w:rPr>
              <w:t xml:space="preserve">—</w:t>
            </w:r>
          </w:p>
        </w:tc>
        <w:tc>
          <w:tcPr>
            <w:tcW w:type="dxa" w:w="2226"/>
            <w:tcMar>
              <w:top w:type="dxa" w:w="80"/>
              <w:left w:type="dxa" w:w="120"/>
              <w:bottom w:type="dxa" w:w="80"/>
              <w:right w:type="dxa" w:w="120"/>
            </w:tcMar>
          </w:tcPr>
          <w:p>
            <w:pPr>
              <w:spacing w:after="0"/>
            </w:pPr>
            <w:r>
              <w:rPr>
                <w:b w:val="false"/>
                <w:bCs w:val="false"/>
                <w:sz w:val="20"/>
                <w:szCs w:val="20"/>
              </w:rPr>
              <w:t xml:space="preserve">No</w:t>
            </w:r>
          </w:p>
        </w:tc>
      </w:tr>
    </w:tbl>
    <w:p>
      <w:pPr>
        <w:pStyle w:val="Heading1"/>
      </w:pPr>
      <w:r>
        <w:t xml:space="preserve">Outstanding items</w:t>
      </w:r>
    </w:p>
    <w:p>
      <w:pPr>
        <w:spacing w:after="140" w:line="276"/>
      </w:pPr>
      <w:r>
        <w:rPr>
          <w:sz w:val="22"/>
          <w:szCs w:val="22"/>
        </w:rPr>
        <w:t xml:space="preserve">These require a decision rather than development work.</w:t>
      </w:r>
    </w:p>
    <w:p>
      <w:pPr>
        <w:spacing w:after="140" w:line="276"/>
      </w:pPr>
      <w:r>
        <w:rPr>
          <w:b/>
          <w:bCs/>
          <w:color w:val="123F31"/>
          <w:sz w:val="22"/>
          <w:szCs w:val="22"/>
        </w:rPr>
        <w:t xml:space="preserve">1. Change the email password.  </w:t>
      </w:r>
      <w:r>
        <w:rPr>
          <w:sz w:val="22"/>
          <w:szCs w:val="22"/>
        </w:rPr>
        <w:t xml:space="preserve">The credentials file removed in Task 2 remains readable in the repository's history on GitHub. Changing that mailbox password is the step that closes the exposure, and should be done whether or not the repository is public.</w:t>
      </w:r>
    </w:p>
    <w:p>
      <w:pPr>
        <w:spacing w:after="140" w:line="276"/>
      </w:pPr>
      <w:r>
        <w:rPr>
          <w:b/>
          <w:bCs/>
          <w:color w:val="123F31"/>
          <w:sz w:val="22"/>
          <w:szCs w:val="22"/>
        </w:rPr>
        <w:t xml:space="preserve">2. Retention period and privacy policy.  </w:t>
      </w:r>
      <w:r>
        <w:rPr>
          <w:sz w:val="22"/>
          <w:szCs w:val="22"/>
        </w:rPr>
        <w:t xml:space="preserve">Personal data is now stored in the database. A retention period should be decided, and the privacy policy link in the footer, which currently leads nowhere, should point to a real page stating that enquiry details are kept.</w:t>
      </w:r>
    </w:p>
    <w:p>
      <w:pPr>
        <w:spacing w:after="140" w:line="276"/>
      </w:pPr>
      <w:r>
        <w:rPr>
          <w:b/>
          <w:bCs/>
          <w:color w:val="123F31"/>
          <w:sz w:val="22"/>
          <w:szCs w:val="22"/>
        </w:rPr>
        <w:t xml:space="preserve">3. Clear the test data.  </w:t>
      </w:r>
      <w:r>
        <w:rPr>
          <w:sz w:val="22"/>
          <w:szCs w:val="22"/>
        </w:rPr>
        <w:t xml:space="preserve">Four test submissions are in the askus@dystil.ai mailbox and two test records are in the database, with the taster counter standing at 2. Deleting the records and resetting that counter would let the first genuine taster enquiry be numbered 0001.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23F31"/>
      <w:sz w:val="40"/>
      <w:szCs w:val="40"/>
    </w:rPr>
  </w:style>
  <w:style w:type="paragraph" w:styleId="Heading1">
    <w:name w:val="Heading 1"/>
    <w:basedOn w:val="Normal"/>
    <w:next w:val="Normal"/>
    <w:qFormat/>
    <w:pPr>
      <w:spacing w:after="160" w:before="320"/>
    </w:pPr>
    <w:rPr>
      <w:rFonts w:ascii="Calibri" w:cs="Calibri" w:eastAsia="Calibri" w:hAnsi="Calibri"/>
      <w:b/>
      <w:bCs/>
      <w:color w:val="123F31"/>
      <w:sz w:val="26"/>
      <w:szCs w:val="26"/>
    </w:rPr>
  </w:style>
  <w:style w:type="paragraph" w:styleId="Heading2">
    <w:name w:val="Heading 2"/>
    <w:basedOn w:val="Normal"/>
    <w:next w:val="Normal"/>
    <w:qFormat/>
    <w:pPr>
      <w:spacing w:after="120" w:before="240"/>
    </w:pPr>
    <w:rPr>
      <w:rFonts w:ascii="Calibri" w:cs="Calibri" w:eastAsia="Calibri" w:hAnsi="Calibri"/>
      <w:b/>
      <w:bCs/>
      <w:color w:val="243C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work done on 16/08/2026</dc:title>
  <dc:creator>Dystil</dc:creator>
  <cp:lastModifiedBy>Un-named</cp:lastModifiedBy>
  <cp:revision>1</cp:revision>
  <dcterms:created xsi:type="dcterms:W3CDTF">2026-08-16T16:15:05.908Z</dcterms:created>
  <dcterms:modified xsi:type="dcterms:W3CDTF">2026-08-16T16:15:05.909Z</dcterms:modified>
</cp:coreProperties>
</file>

<file path=docProps/custom.xml><?xml version="1.0" encoding="utf-8"?>
<Properties xmlns="http://schemas.openxmlformats.org/officeDocument/2006/custom-properties" xmlns:vt="http://schemas.openxmlformats.org/officeDocument/2006/docPropsVTypes"/>
</file>