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jc w:val="center"/>
      </w:pPr>
      <w:r>
        <w:rPr>
          <w:b/>
          <w:i w:val="0"/>
          <w:color w:val="000000"/>
          <w:sz w:val="24"/>
        </w:rPr>
        <w:t>Week 10 Progress Report: Predictive Modeling and What-If Analysis</w:t>
      </w:r>
    </w:p>
    <w:p>
      <w:pPr>
        <w:spacing w:line="480" w:lineRule="auto"/>
        <w:jc w:val="center"/>
      </w:pPr>
      <w:r>
        <w:rPr>
          <w:b/>
          <w:i w:val="0"/>
          <w:color w:val="000000"/>
          <w:sz w:val="24"/>
        </w:rPr>
        <w:t>A Hotel Overbooking Decision-Support System</w:t>
      </w:r>
    </w:p>
    <w:p>
      <w:pPr>
        <w:spacing w:line="480" w:lineRule="auto"/>
      </w:pPr>
    </w:p>
    <w:p>
      <w:pPr>
        <w:spacing w:line="480" w:lineRule="auto"/>
        <w:jc w:val="center"/>
      </w:pPr>
      <w:r>
        <w:rPr>
          <w:b w:val="0"/>
          <w:i w:val="0"/>
          <w:color w:val="000000"/>
          <w:sz w:val="24"/>
        </w:rPr>
        <w:t>Chao-Ting Chueh and Bilal Syed (Group 11)</w:t>
      </w:r>
    </w:p>
    <w:p>
      <w:pPr>
        <w:spacing w:line="480" w:lineRule="auto"/>
        <w:jc w:val="center"/>
      </w:pPr>
      <w:r>
        <w:rPr>
          <w:b w:val="0"/>
          <w:i w:val="0"/>
          <w:color w:val="000000"/>
          <w:sz w:val="24"/>
        </w:rPr>
        <w:t>Department of Analytics, Saint Louis University</w:t>
      </w:r>
    </w:p>
    <w:p>
      <w:pPr>
        <w:spacing w:line="480" w:lineRule="auto"/>
        <w:jc w:val="center"/>
      </w:pPr>
      <w:r>
        <w:rPr>
          <w:b w:val="0"/>
          <w:i w:val="0"/>
          <w:color w:val="000000"/>
          <w:sz w:val="24"/>
        </w:rPr>
        <w:t>Master's Research Project (MS Analytics)</w:t>
      </w:r>
    </w:p>
    <w:p>
      <w:pPr>
        <w:spacing w:line="480" w:lineRule="auto"/>
        <w:jc w:val="center"/>
      </w:pPr>
      <w:r>
        <w:rPr>
          <w:b w:val="0"/>
          <w:i w:val="0"/>
          <w:color w:val="000000"/>
          <w:sz w:val="24"/>
        </w:rPr>
        <w:t>Dr. Srikanth Mudigonda</w:t>
      </w:r>
    </w:p>
    <w:p>
      <w:pPr>
        <w:spacing w:line="480" w:lineRule="auto"/>
        <w:jc w:val="center"/>
      </w:pPr>
      <w:r>
        <w:rPr>
          <w:b w:val="0"/>
          <w:i w:val="0"/>
          <w:color w:val="000000"/>
          <w:sz w:val="24"/>
        </w:rPr>
        <w:t>October 26, 2026</w:t>
      </w:r>
    </w:p>
    <w:p>
      <w:r>
        <w:br w:type="page"/>
      </w:r>
    </w:p>
    <w:p>
      <w:pPr>
        <w:spacing w:line="480" w:lineRule="auto"/>
        <w:jc w:val="center"/>
      </w:pPr>
      <w:r>
        <w:rPr>
          <w:b/>
          <w:i w:val="0"/>
          <w:color w:val="000000"/>
          <w:sz w:val="24"/>
        </w:rPr>
        <w:t>Week 10 Progress Report: Predictive Modeling and What-If Analysis</w:t>
      </w:r>
    </w:p>
    <w:p>
      <w:pPr>
        <w:spacing w:line="480" w:lineRule="auto"/>
        <w:jc w:val="center"/>
      </w:pPr>
      <w:r>
        <w:rPr>
          <w:b/>
          <w:i w:val="0"/>
          <w:color w:val="000000"/>
          <w:sz w:val="24"/>
        </w:rPr>
        <w:t>Key Performance Indicators and Justification</w:t>
      </w:r>
    </w:p>
    <w:p>
      <w:pPr>
        <w:spacing w:line="480" w:lineRule="auto" w:after="0"/>
        <w:ind w:firstLine="720"/>
      </w:pPr>
      <w:r>
        <w:rPr>
          <w:sz w:val="24"/>
        </w:rPr>
        <w:t>We selected two key performance indicators (KPIs) that directly shape the hotel revenue manager's nightly decisions.</w:t>
      </w:r>
    </w:p>
    <w:p>
      <w:pPr>
        <w:spacing w:line="480" w:lineRule="auto"/>
      </w:pPr>
      <w:r>
        <w:rPr>
          <w:b/>
          <w:i w:val="0"/>
          <w:color w:val="000000"/>
          <w:sz w:val="24"/>
        </w:rPr>
        <w:t>KPI 1: Booking Cancellation Probability</w:t>
      </w:r>
    </w:p>
    <w:p>
      <w:pPr>
        <w:spacing w:line="480" w:lineRule="auto" w:after="0"/>
        <w:ind w:firstLine="720"/>
      </w:pPr>
      <w:r>
        <w:rPr>
          <w:b/>
          <w:i w:val="0"/>
          <w:color w:val="000000"/>
          <w:sz w:val="24"/>
        </w:rPr>
        <w:t xml:space="preserve">What it measures. </w:t>
      </w:r>
      <w:r>
        <w:rPr>
          <w:b w:val="0"/>
          <w:i w:val="0"/>
          <w:color w:val="000000"/>
          <w:sz w:val="24"/>
        </w:rPr>
        <w:t>The probability that a single reservation is cancelled before arrival.</w:t>
      </w:r>
    </w:p>
    <w:p>
      <w:pPr>
        <w:spacing w:line="480" w:lineRule="auto" w:after="0"/>
        <w:ind w:firstLine="720"/>
      </w:pPr>
      <w:r>
        <w:rPr>
          <w:b/>
          <w:i w:val="0"/>
          <w:color w:val="000000"/>
          <w:sz w:val="24"/>
        </w:rPr>
        <w:t xml:space="preserve">Relevance. </w:t>
      </w:r>
      <w:r>
        <w:rPr>
          <w:b w:val="0"/>
          <w:i w:val="0"/>
          <w:color w:val="000000"/>
          <w:sz w:val="24"/>
        </w:rPr>
        <w:t>Cancellations are the main source of uncertainty for the overbooking decision. A reliable per-booking probability lets the hotel sell slightly above capacity without walking guests, which protects occupancy revenue and guest goodwill and supports both operational performance and profitability.</w:t>
      </w:r>
    </w:p>
    <w:p>
      <w:pPr>
        <w:spacing w:line="480" w:lineRule="auto"/>
      </w:pPr>
      <w:r>
        <w:rPr>
          <w:b/>
          <w:i w:val="0"/>
          <w:color w:val="000000"/>
          <w:sz w:val="24"/>
        </w:rPr>
        <w:t>KPI 2: Expected Nightly Occupancy Rate</w:t>
      </w:r>
    </w:p>
    <w:p>
      <w:pPr>
        <w:spacing w:line="480" w:lineRule="auto" w:after="0"/>
        <w:ind w:firstLine="720"/>
      </w:pPr>
      <w:r>
        <w:rPr>
          <w:b/>
          <w:i w:val="0"/>
          <w:color w:val="000000"/>
          <w:sz w:val="24"/>
        </w:rPr>
        <w:t xml:space="preserve">What it measures. </w:t>
      </w:r>
      <w:r>
        <w:rPr>
          <w:b w:val="0"/>
          <w:i w:val="0"/>
          <w:color w:val="000000"/>
          <w:sz w:val="24"/>
        </w:rPr>
        <w:t>The expected share of rooms occupied on a future stay-date, from 0 to 100%.</w:t>
      </w:r>
    </w:p>
    <w:p>
      <w:pPr>
        <w:spacing w:line="480" w:lineRule="auto" w:after="0"/>
        <w:ind w:firstLine="720"/>
      </w:pPr>
      <w:r>
        <w:rPr>
          <w:b/>
          <w:i w:val="0"/>
          <w:color w:val="000000"/>
          <w:sz w:val="24"/>
        </w:rPr>
        <w:t xml:space="preserve">Relevance. </w:t>
      </w:r>
      <w:r>
        <w:rPr>
          <w:b w:val="0"/>
          <w:i w:val="0"/>
          <w:color w:val="000000"/>
          <w:sz w:val="24"/>
        </w:rPr>
        <w:t>Expected occupancy is the demand signal behind pricing and overbooking aggressiveness. High expected occupancy supports firmer rates and tighter inventory, whereas low expected occupancy supports discounts and caution. This connects directly to revenue per available room and to financial sustainability.</w:t>
      </w:r>
    </w:p>
    <w:p>
      <w:pPr>
        <w:spacing w:line="480" w:lineRule="auto"/>
        <w:jc w:val="center"/>
      </w:pPr>
      <w:r>
        <w:rPr>
          <w:b/>
          <w:i w:val="0"/>
          <w:color w:val="000000"/>
          <w:sz w:val="24"/>
        </w:rPr>
        <w:t>Predictive Models</w:t>
      </w:r>
    </w:p>
    <w:p>
      <w:pPr>
        <w:spacing w:line="480" w:lineRule="auto"/>
      </w:pPr>
      <w:r>
        <w:rPr>
          <w:b/>
          <w:i w:val="0"/>
          <w:color w:val="000000"/>
          <w:sz w:val="24"/>
        </w:rPr>
        <w:t>KPI 1: Gradient Boosting Classifier</w:t>
      </w:r>
    </w:p>
    <w:p>
      <w:pPr>
        <w:spacing w:line="480" w:lineRule="auto" w:after="0"/>
        <w:ind w:firstLine="720"/>
      </w:pPr>
      <w:r>
        <w:rPr>
          <w:b/>
          <w:i w:val="0"/>
          <w:color w:val="000000"/>
          <w:sz w:val="24"/>
        </w:rPr>
        <w:t xml:space="preserve">Predictors and relevance. </w:t>
      </w:r>
      <w:r>
        <w:rPr>
          <w:b w:val="0"/>
          <w:i w:val="0"/>
          <w:color w:val="000000"/>
          <w:sz w:val="24"/>
        </w:rPr>
        <w:t>Lead time, average daily rate, party size (adults and children), previous cancellations, repeat-guest flag, special requests, total nights, hotel, market segment, booking channel, and deposit type. All are known when a reservation is created, so the model uses no post-decision information and avoids leakage.</w:t>
      </w:r>
    </w:p>
    <w:p>
      <w:pPr>
        <w:spacing w:line="480" w:lineRule="auto" w:after="0"/>
        <w:ind w:firstLine="720"/>
      </w:pPr>
      <w:r>
        <w:rPr>
          <w:b/>
          <w:i w:val="0"/>
          <w:color w:val="000000"/>
          <w:sz w:val="24"/>
        </w:rPr>
        <w:t xml:space="preserve">Algorithm and rationale. </w:t>
      </w:r>
      <w:r>
        <w:rPr>
          <w:b w:val="0"/>
          <w:i w:val="0"/>
          <w:color w:val="000000"/>
          <w:sz w:val="24"/>
        </w:rPr>
        <w:t>A Gradient Boosting classifier (Friedman, 2001). Cancellation depends on non-linear interactions; for example, a long lead time combined with a non-refundable deposit behaves differently from either factor alone. Gradient boosting captures these interactions and pairs cleanly with SHAP (Lundberg &amp; Lee, 2017) for exact per-booking explanations. On an out-of-time split the model reached a ROC-AUC of about 0.88 and a Brier score of about 0.12.</w:t>
      </w:r>
    </w:p>
    <w:p>
      <w:pPr>
        <w:spacing w:line="480" w:lineRule="auto"/>
      </w:pPr>
      <w:r>
        <w:rPr>
          <w:b/>
          <w:i w:val="0"/>
          <w:color w:val="000000"/>
          <w:sz w:val="24"/>
        </w:rPr>
        <w:t>KPI 2: Gradient Boosting Regressor</w:t>
      </w:r>
    </w:p>
    <w:p>
      <w:pPr>
        <w:spacing w:line="480" w:lineRule="auto" w:after="0"/>
        <w:ind w:firstLine="720"/>
      </w:pPr>
      <w:r>
        <w:rPr>
          <w:b/>
          <w:i w:val="0"/>
          <w:color w:val="000000"/>
          <w:sz w:val="24"/>
        </w:rPr>
        <w:t xml:space="preserve">Predictors and relevance. </w:t>
      </w:r>
      <w:r>
        <w:rPr>
          <w:b w:val="0"/>
          <w:i w:val="0"/>
          <w:color w:val="000000"/>
          <w:sz w:val="24"/>
        </w:rPr>
        <w:t>Month, season, week number, day of month, weekend flag, year, and hotel; that is, the calendar position of a future stay-date, all available in advance.</w:t>
      </w:r>
    </w:p>
    <w:p>
      <w:pPr>
        <w:spacing w:line="480" w:lineRule="auto" w:after="0"/>
        <w:ind w:firstLine="720"/>
      </w:pPr>
      <w:r>
        <w:rPr>
          <w:b/>
          <w:i w:val="0"/>
          <w:color w:val="000000"/>
          <w:sz w:val="24"/>
        </w:rPr>
        <w:t xml:space="preserve">Algorithm and rationale. </w:t>
      </w:r>
      <w:r>
        <w:rPr>
          <w:b w:val="0"/>
          <w:i w:val="0"/>
          <w:color w:val="000000"/>
          <w:sz w:val="24"/>
        </w:rPr>
        <w:t>A Gradient Boosting regressor. Demand is seasonal and non-linear across the calendar, and gradient boosting captures that shape while supporting SHAP. The out-of-time R-squared was about 0.18 with a mean absolute error of about 10 occupancy points. The modest R-squared reflects real night-to-night demand noise, so the model is presented as a guide used alongside manager judgment rather than a guarantee.</w:t>
      </w:r>
    </w:p>
    <w:p>
      <w:pPr>
        <w:spacing w:line="480" w:lineRule="auto"/>
        <w:jc w:val="center"/>
      </w:pPr>
      <w:r>
        <w:rPr>
          <w:b/>
          <w:i w:val="0"/>
          <w:color w:val="000000"/>
          <w:sz w:val="24"/>
        </w:rPr>
        <w:t>Expanded Application Functionality</w:t>
      </w:r>
    </w:p>
    <w:p>
      <w:pPr>
        <w:spacing w:line="480" w:lineRule="auto" w:after="0"/>
        <w:ind w:firstLine="720"/>
      </w:pPr>
      <w:r>
        <w:rPr>
          <w:sz w:val="24"/>
        </w:rPr>
        <w:t>A new screen, Predictive Models and What-If, was added to the existing Streamlit application. For each KPI it provides all four required capabilities, summarized in Table 1.</w:t>
      </w:r>
    </w:p>
    <w:p>
      <w:pPr>
        <w:spacing w:line="360" w:lineRule="auto" w:before="120"/>
      </w:pPr>
      <w:r>
        <w:rPr>
          <w:b/>
          <w:i w:val="0"/>
          <w:color w:val="000000"/>
          <w:sz w:val="24"/>
        </w:rPr>
        <w:t>Table 1</w:t>
      </w:r>
    </w:p>
    <w:p>
      <w:pPr>
        <w:spacing w:line="360" w:lineRule="auto"/>
      </w:pPr>
      <w:r>
        <w:rPr>
          <w:b w:val="0"/>
          <w:i/>
          <w:color w:val="000000"/>
          <w:sz w:val="24"/>
        </w:rPr>
        <w:t>Required Capabilities and How the Application Delivers Them</w:t>
      </w:r>
    </w:p>
    <w:tbl>
      <w:tblPr>
        <w:tblW w:type="auto" w:w="0"/>
        <w:jc w:val="center"/>
        <w:tblLook w:firstColumn="1" w:firstRow="1" w:lastColumn="0" w:lastRow="0" w:noHBand="0" w:noVBand="1" w:val="04A0"/>
      </w:tblPr>
      <w:tblGrid>
        <w:gridCol w:w="4680"/>
        <w:gridCol w:w="4680"/>
      </w:tblGrid>
      <w:tr>
        <w:tc>
          <w:tcPr>
            <w:tcW w:type="dxa" w:w="3168"/>
            <w:tcBorders>
              <w:top w:val="single" w:sz="6" w:color="000000" w:space="0"/>
              <w:bottom w:val="single" w:sz="6" w:color="000000" w:space="0"/>
              <w:left w:val="nil" w:sz="6" w:color="000000" w:space="0"/>
              <w:right w:val="nil" w:sz="6" w:color="000000" w:space="0"/>
            </w:tcBorders>
          </w:tcPr>
          <w:p>
            <w:pPr>
              <w:spacing w:line="240" w:lineRule="auto"/>
            </w:pPr>
            <w:r>
              <w:rPr>
                <w:b/>
                <w:sz w:val="19"/>
              </w:rPr>
              <w:t>Requirement</w:t>
            </w:r>
          </w:p>
        </w:tc>
        <w:tc>
          <w:tcPr>
            <w:tcW w:type="dxa" w:w="6048"/>
            <w:tcBorders>
              <w:top w:val="single" w:sz="6" w:color="000000" w:space="0"/>
              <w:bottom w:val="single" w:sz="6" w:color="000000" w:space="0"/>
              <w:left w:val="nil" w:sz="6" w:color="000000" w:space="0"/>
              <w:right w:val="nil" w:sz="6" w:color="000000" w:space="0"/>
            </w:tcBorders>
          </w:tcPr>
          <w:p>
            <w:pPr>
              <w:spacing w:line="240" w:lineRule="auto"/>
            </w:pPr>
            <w:r>
              <w:rPr>
                <w:b/>
                <w:sz w:val="19"/>
              </w:rPr>
              <w:t>How the application delivers it</w:t>
            </w:r>
          </w:p>
        </w:tc>
      </w:tr>
      <w:tr>
        <w:tc>
          <w:tcPr>
            <w:tcW w:type="dxa" w:w="3168"/>
            <w:tcBorders>
              <w:top w:val="nil" w:sz="6" w:color="000000" w:space="0"/>
              <w:bottom w:val="nil" w:sz="6" w:color="000000" w:space="0"/>
              <w:left w:val="nil" w:sz="6" w:color="000000" w:space="0"/>
              <w:right w:val="nil" w:sz="6" w:color="000000" w:space="0"/>
            </w:tcBorders>
          </w:tcPr>
          <w:p>
            <w:pPr>
              <w:spacing w:line="240" w:lineRule="auto"/>
            </w:pPr>
            <w:r>
              <w:rPr>
                <w:sz w:val="19"/>
              </w:rPr>
              <w:t>(a) Predictor importance and contributions</w:t>
            </w:r>
          </w:p>
        </w:tc>
        <w:tc>
          <w:tcPr>
            <w:tcW w:type="dxa" w:w="6048"/>
            <w:tcBorders>
              <w:top w:val="nil" w:sz="6" w:color="000000" w:space="0"/>
              <w:bottom w:val="nil" w:sz="6" w:color="000000" w:space="0"/>
              <w:left w:val="nil" w:sz="6" w:color="000000" w:space="0"/>
              <w:right w:val="nil" w:sz="6" w:color="000000" w:space="0"/>
            </w:tcBorders>
          </w:tcPr>
          <w:p>
            <w:pPr>
              <w:spacing w:line="240" w:lineRule="auto"/>
            </w:pPr>
            <w:r>
              <w:rPr>
                <w:sz w:val="19"/>
              </w:rPr>
              <w:t>Overall importance is the mean absolute SHAP value across many cases (whole model). Per-prediction contributions are the SHAP values for the single what-if case. The two are shown in separate, clearly labeled sections.</w:t>
            </w:r>
          </w:p>
        </w:tc>
      </w:tr>
      <w:tr>
        <w:tc>
          <w:tcPr>
            <w:tcW w:type="dxa" w:w="3168"/>
            <w:tcBorders>
              <w:top w:val="nil" w:sz="6" w:color="000000" w:space="0"/>
              <w:bottom w:val="nil" w:sz="6" w:color="000000" w:space="0"/>
              <w:left w:val="nil" w:sz="6" w:color="000000" w:space="0"/>
              <w:right w:val="nil" w:sz="6" w:color="000000" w:space="0"/>
            </w:tcBorders>
          </w:tcPr>
          <w:p>
            <w:pPr>
              <w:spacing w:line="240" w:lineRule="auto"/>
            </w:pPr>
            <w:r>
              <w:rPr>
                <w:sz w:val="19"/>
              </w:rPr>
              <w:t>(b) Contextual interpretation</w:t>
            </w:r>
          </w:p>
        </w:tc>
        <w:tc>
          <w:tcPr>
            <w:tcW w:type="dxa" w:w="6048"/>
            <w:tcBorders>
              <w:top w:val="nil" w:sz="6" w:color="000000" w:space="0"/>
              <w:bottom w:val="nil" w:sz="6" w:color="000000" w:space="0"/>
              <w:left w:val="nil" w:sz="6" w:color="000000" w:space="0"/>
              <w:right w:val="nil" w:sz="6" w:color="000000" w:space="0"/>
            </w:tcBorders>
          </w:tcPr>
          <w:p>
            <w:pPr>
              <w:spacing w:line="240" w:lineRule="auto"/>
            </w:pPr>
            <w:r>
              <w:rPr>
                <w:sz w:val="19"/>
              </w:rPr>
              <w:t>Each contribution is read as direction (sign), magnitude (size), and practical meaning, with an explicit statement that these are associations, not causation.</w:t>
            </w:r>
          </w:p>
        </w:tc>
      </w:tr>
      <w:tr>
        <w:tc>
          <w:tcPr>
            <w:tcW w:type="dxa" w:w="3168"/>
            <w:tcBorders>
              <w:top w:val="nil" w:sz="6" w:color="000000" w:space="0"/>
              <w:bottom w:val="nil" w:sz="6" w:color="000000" w:space="0"/>
              <w:left w:val="nil" w:sz="6" w:color="000000" w:space="0"/>
              <w:right w:val="nil" w:sz="6" w:color="000000" w:space="0"/>
            </w:tcBorders>
          </w:tcPr>
          <w:p>
            <w:pPr>
              <w:spacing w:line="240" w:lineRule="auto"/>
            </w:pPr>
            <w:r>
              <w:rPr>
                <w:sz w:val="19"/>
              </w:rPr>
              <w:t>(c) What-if analysis</w:t>
            </w:r>
          </w:p>
        </w:tc>
        <w:tc>
          <w:tcPr>
            <w:tcW w:type="dxa" w:w="6048"/>
            <w:tcBorders>
              <w:top w:val="nil" w:sz="6" w:color="000000" w:space="0"/>
              <w:bottom w:val="nil" w:sz="6" w:color="000000" w:space="0"/>
              <w:left w:val="nil" w:sz="6" w:color="000000" w:space="0"/>
              <w:right w:val="nil" w:sz="6" w:color="000000" w:space="0"/>
            </w:tcBorders>
          </w:tcPr>
          <w:p>
            <w:pPr>
              <w:spacing w:line="240" w:lineRule="auto"/>
            </w:pPr>
            <w:r>
              <w:rPr>
                <w:sz w:val="19"/>
              </w:rPr>
              <w:t>Users edit predictor values and see the scenario prediction next to a fixed baseline prediction, with the change in points. An input change may or may not move the prediction.</w:t>
            </w:r>
          </w:p>
        </w:tc>
      </w:tr>
      <w:tr>
        <w:tc>
          <w:tcPr>
            <w:tcW w:type="dxa" w:w="3168"/>
            <w:tcBorders>
              <w:top w:val="nil" w:sz="6" w:color="000000" w:space="0"/>
              <w:bottom w:val="single" w:sz="6" w:color="000000" w:space="0"/>
              <w:left w:val="nil" w:sz="6" w:color="000000" w:space="0"/>
              <w:right w:val="nil" w:sz="6" w:color="000000" w:space="0"/>
            </w:tcBorders>
          </w:tcPr>
          <w:p>
            <w:pPr>
              <w:spacing w:line="240" w:lineRule="auto"/>
            </w:pPr>
            <w:r>
              <w:rPr>
                <w:sz w:val="19"/>
              </w:rPr>
              <w:t>(d) Automatically generated summary</w:t>
            </w:r>
          </w:p>
        </w:tc>
        <w:tc>
          <w:tcPr>
            <w:tcW w:type="dxa" w:w="6048"/>
            <w:tcBorders>
              <w:top w:val="nil" w:sz="6" w:color="000000" w:space="0"/>
              <w:bottom w:val="single" w:sz="6" w:color="000000" w:space="0"/>
              <w:left w:val="nil" w:sz="6" w:color="000000" w:space="0"/>
              <w:right w:val="nil" w:sz="6" w:color="000000" w:space="0"/>
            </w:tcBorders>
          </w:tcPr>
          <w:p>
            <w:pPr>
              <w:spacing w:line="240" w:lineRule="auto"/>
            </w:pPr>
            <w:r>
              <w:rPr>
                <w:sz w:val="19"/>
              </w:rPr>
              <w:t>After each what-if, the application writes a summary of the scenario inputs, the updated prediction, the change from baseline, and the implications and limitations, framed as a model-based scenario rather than a guaranteed real-world effect.</w:t>
            </w:r>
          </w:p>
        </w:tc>
      </w:tr>
    </w:tbl>
    <w:p>
      <w:pPr>
        <w:spacing w:line="480" w:lineRule="auto"/>
        <w:jc w:val="center"/>
      </w:pPr>
      <w:r>
        <w:rPr>
          <w:b/>
          <w:i w:val="0"/>
          <w:color w:val="000000"/>
          <w:sz w:val="24"/>
        </w:rPr>
        <w:t>Work Accomplished to Date</w:t>
      </w:r>
    </w:p>
    <w:p>
      <w:pPr>
        <w:pStyle w:val="ListBullet"/>
        <w:spacing w:line="480" w:lineRule="auto"/>
      </w:pPr>
      <w:r>
        <w:rPr>
          <w:b w:val="0"/>
          <w:i w:val="0"/>
          <w:color w:val="000000"/>
          <w:sz w:val="24"/>
        </w:rPr>
        <w:t>Weeks 1 through 5: defined the decision problem and built and validated a fully synthetic relational dataset calibrated to the Antonio et al. (2019) hotel-booking data, with all 22 validation checks passing.</w:t>
      </w:r>
    </w:p>
    <w:p>
      <w:pPr>
        <w:pStyle w:val="ListBullet"/>
        <w:spacing w:line="480" w:lineRule="auto"/>
      </w:pPr>
      <w:r>
        <w:rPr>
          <w:b w:val="0"/>
          <w:i w:val="0"/>
          <w:color w:val="000000"/>
          <w:sz w:val="24"/>
        </w:rPr>
        <w:t>Week 6: produced a low-fidelity user-interface blueprint and the decision logic.</w:t>
      </w:r>
    </w:p>
    <w:p>
      <w:pPr>
        <w:pStyle w:val="ListBullet"/>
        <w:spacing w:line="480" w:lineRule="auto"/>
      </w:pPr>
      <w:r>
        <w:rPr>
          <w:b w:val="0"/>
          <w:i w:val="0"/>
          <w:color w:val="000000"/>
          <w:sz w:val="24"/>
        </w:rPr>
        <w:t>Week 9: built the first working Streamlit prototype, with Hotel Overview and Overbooking Decision Support screens, a cancellation model, and Monte Carlo buffer optimization.</w:t>
      </w:r>
    </w:p>
    <w:p>
      <w:pPr>
        <w:pStyle w:val="ListBullet"/>
        <w:spacing w:line="480" w:lineRule="auto"/>
      </w:pPr>
      <w:r>
        <w:rPr>
          <w:b w:val="0"/>
          <w:i w:val="0"/>
          <w:color w:val="000000"/>
          <w:sz w:val="24"/>
        </w:rPr>
        <w:t>Week 10 (this deliverable): added two predictive KPIs with Gradient Boosting models, SHAP-based overall importance and per-prediction contributions, an interactive what-if with baseline comparison, and automatically generated scenario summaries.</w:t>
      </w:r>
    </w:p>
    <w:p>
      <w:pPr>
        <w:spacing w:line="480" w:lineRule="auto"/>
        <w:jc w:val="center"/>
      </w:pPr>
      <w:r>
        <w:rPr>
          <w:b/>
          <w:i w:val="0"/>
          <w:color w:val="000000"/>
          <w:sz w:val="24"/>
        </w:rPr>
        <w:t>Group Member Contributions</w:t>
      </w:r>
    </w:p>
    <w:p>
      <w:pPr>
        <w:spacing w:line="360" w:lineRule="auto" w:before="120"/>
      </w:pPr>
      <w:r>
        <w:rPr>
          <w:b/>
          <w:i w:val="0"/>
          <w:color w:val="000000"/>
          <w:sz w:val="24"/>
        </w:rPr>
        <w:t>Table 2</w:t>
      </w:r>
    </w:p>
    <w:p>
      <w:pPr>
        <w:spacing w:line="360" w:lineRule="auto"/>
      </w:pPr>
      <w:r>
        <w:rPr>
          <w:b w:val="0"/>
          <w:i/>
          <w:color w:val="000000"/>
          <w:sz w:val="24"/>
        </w:rPr>
        <w:t>Summary of Each Group Member's Contributions</w:t>
      </w:r>
    </w:p>
    <w:tbl>
      <w:tblPr>
        <w:tblW w:type="auto" w:w="0"/>
        <w:jc w:val="center"/>
        <w:tblLook w:firstColumn="1" w:firstRow="1" w:lastColumn="0" w:lastRow="0" w:noHBand="0" w:noVBand="1" w:val="04A0"/>
      </w:tblPr>
      <w:tblGrid>
        <w:gridCol w:w="4680"/>
        <w:gridCol w:w="4680"/>
      </w:tblGrid>
      <w:tr>
        <w:tc>
          <w:tcPr>
            <w:tcW w:type="dxa" w:w="2592"/>
            <w:tcBorders>
              <w:top w:val="single" w:sz="6" w:color="000000" w:space="0"/>
              <w:bottom w:val="single" w:sz="6" w:color="000000" w:space="0"/>
              <w:left w:val="nil" w:sz="6" w:color="000000" w:space="0"/>
              <w:right w:val="nil" w:sz="6" w:color="000000" w:space="0"/>
            </w:tcBorders>
          </w:tcPr>
          <w:p>
            <w:pPr>
              <w:spacing w:line="240" w:lineRule="auto"/>
            </w:pPr>
            <w:r>
              <w:rPr>
                <w:b/>
                <w:sz w:val="20"/>
              </w:rPr>
              <w:t>Member</w:t>
            </w:r>
          </w:p>
        </w:tc>
        <w:tc>
          <w:tcPr>
            <w:tcW w:type="dxa" w:w="6624"/>
            <w:tcBorders>
              <w:top w:val="single" w:sz="6" w:color="000000" w:space="0"/>
              <w:bottom w:val="single" w:sz="6" w:color="000000" w:space="0"/>
              <w:left w:val="nil" w:sz="6" w:color="000000" w:space="0"/>
              <w:right w:val="nil" w:sz="6" w:color="000000" w:space="0"/>
            </w:tcBorders>
          </w:tcPr>
          <w:p>
            <w:pPr>
              <w:spacing w:line="240" w:lineRule="auto"/>
            </w:pPr>
            <w:r>
              <w:rPr>
                <w:b/>
                <w:sz w:val="20"/>
              </w:rPr>
              <w:t>Contribution</w:t>
            </w:r>
          </w:p>
        </w:tc>
      </w:tr>
      <w:tr>
        <w:tc>
          <w:tcPr>
            <w:tcW w:type="dxa" w:w="2592"/>
            <w:tcBorders>
              <w:top w:val="nil" w:sz="6" w:color="000000" w:space="0"/>
              <w:bottom w:val="nil" w:sz="6" w:color="000000" w:space="0"/>
              <w:left w:val="nil" w:sz="6" w:color="000000" w:space="0"/>
              <w:right w:val="nil" w:sz="6" w:color="000000" w:space="0"/>
            </w:tcBorders>
          </w:tcPr>
          <w:p>
            <w:pPr>
              <w:spacing w:line="240" w:lineRule="auto"/>
            </w:pPr>
            <w:r>
              <w:rPr>
                <w:sz w:val="20"/>
              </w:rPr>
              <w:t>Chao-Ting Chueh</w:t>
            </w:r>
          </w:p>
        </w:tc>
        <w:tc>
          <w:tcPr>
            <w:tcW w:type="dxa" w:w="6624"/>
            <w:tcBorders>
              <w:top w:val="nil" w:sz="6" w:color="000000" w:space="0"/>
              <w:bottom w:val="nil" w:sz="6" w:color="000000" w:space="0"/>
              <w:left w:val="nil" w:sz="6" w:color="000000" w:space="0"/>
              <w:right w:val="nil" w:sz="6" w:color="000000" w:space="0"/>
            </w:tcBorders>
          </w:tcPr>
          <w:p>
            <w:pPr>
              <w:spacing w:line="240" w:lineRule="auto"/>
            </w:pPr>
            <w:r>
              <w:rPr>
                <w:sz w:val="20"/>
              </w:rPr>
              <w:t>Predictive modeling (Gradient Boosting for both KPIs), SHAP explainability, what-if logic, and model validation.</w:t>
            </w:r>
          </w:p>
        </w:tc>
      </w:tr>
      <w:tr>
        <w:tc>
          <w:tcPr>
            <w:tcW w:type="dxa" w:w="2592"/>
            <w:tcBorders>
              <w:top w:val="nil" w:sz="6" w:color="000000" w:space="0"/>
              <w:bottom w:val="single" w:sz="6" w:color="000000" w:space="0"/>
              <w:left w:val="nil" w:sz="6" w:color="000000" w:space="0"/>
              <w:right w:val="nil" w:sz="6" w:color="000000" w:space="0"/>
            </w:tcBorders>
          </w:tcPr>
          <w:p>
            <w:pPr>
              <w:spacing w:line="240" w:lineRule="auto"/>
            </w:pPr>
            <w:r>
              <w:rPr>
                <w:sz w:val="20"/>
              </w:rPr>
              <w:t>Bilal Syed</w:t>
            </w:r>
          </w:p>
        </w:tc>
        <w:tc>
          <w:tcPr>
            <w:tcW w:type="dxa" w:w="6624"/>
            <w:tcBorders>
              <w:top w:val="nil" w:sz="6" w:color="000000" w:space="0"/>
              <w:bottom w:val="single" w:sz="6" w:color="000000" w:space="0"/>
              <w:left w:val="nil" w:sz="6" w:color="000000" w:space="0"/>
              <w:right w:val="nil" w:sz="6" w:color="000000" w:space="0"/>
            </w:tcBorders>
          </w:tcPr>
          <w:p>
            <w:pPr>
              <w:spacing w:line="240" w:lineRule="auto"/>
            </w:pPr>
            <w:r>
              <w:rPr>
                <w:sz w:val="20"/>
              </w:rPr>
              <w:t>Streamlit application screens, data-pipeline integration, auto-summary and interpretation text, progress report, and demonstration video.</w:t>
            </w:r>
          </w:p>
        </w:tc>
      </w:tr>
    </w:tbl>
    <w:p>
      <w:pPr>
        <w:spacing w:line="360" w:lineRule="auto"/>
      </w:pPr>
      <w:r>
        <w:rPr>
          <w:b w:val="0"/>
          <w:i/>
          <w:color w:val="000000"/>
          <w:sz w:val="24"/>
        </w:rPr>
        <w:t xml:space="preserve">Note. </w:t>
      </w:r>
      <w:r>
        <w:rPr>
          <w:sz w:val="21"/>
        </w:rPr>
        <w:t>Update the member names and the split to match your team before submitting.</w:t>
      </w:r>
    </w:p>
    <w:p>
      <w:pPr>
        <w:spacing w:line="480" w:lineRule="auto"/>
        <w:jc w:val="center"/>
      </w:pPr>
      <w:r>
        <w:rPr>
          <w:b/>
          <w:i w:val="0"/>
          <w:color w:val="000000"/>
          <w:sz w:val="24"/>
        </w:rPr>
        <w:t>Important Limitations</w:t>
      </w:r>
    </w:p>
    <w:p>
      <w:pPr>
        <w:pStyle w:val="ListBullet"/>
        <w:spacing w:line="480" w:lineRule="auto"/>
      </w:pPr>
      <w:r>
        <w:rPr>
          <w:b w:val="0"/>
          <w:i w:val="0"/>
          <w:color w:val="000000"/>
          <w:sz w:val="24"/>
        </w:rPr>
        <w:t>All data is synthetic (calibrated to real benchmarks), so results are model-based scenarios rather than live hotel decisions.</w:t>
      </w:r>
    </w:p>
    <w:p>
      <w:pPr>
        <w:pStyle w:val="ListBullet"/>
        <w:spacing w:line="480" w:lineRule="auto"/>
      </w:pPr>
      <w:r>
        <w:rPr>
          <w:b w:val="0"/>
          <w:i w:val="0"/>
          <w:color w:val="000000"/>
          <w:sz w:val="24"/>
        </w:rPr>
        <w:t>SHAP contributions show association learned from historical data, not cause and effect.</w:t>
      </w:r>
    </w:p>
    <w:p>
      <w:pPr>
        <w:pStyle w:val="ListBullet"/>
        <w:spacing w:line="480" w:lineRule="auto"/>
      </w:pPr>
      <w:r>
        <w:rPr>
          <w:b w:val="0"/>
          <w:i w:val="0"/>
          <w:color w:val="000000"/>
          <w:sz w:val="24"/>
        </w:rPr>
        <w:t>The occupancy model explains the seasonal component of demand; substantial night-level variation remains unexplained.</w:t>
      </w:r>
    </w:p>
    <w:p>
      <w:pPr>
        <w:pStyle w:val="ListBullet"/>
        <w:spacing w:line="480" w:lineRule="auto"/>
      </w:pPr>
      <w:r>
        <w:rPr>
          <w:b w:val="0"/>
          <w:i w:val="0"/>
          <w:color w:val="000000"/>
          <w:sz w:val="24"/>
        </w:rPr>
        <w:t>The 70% contribution-margin assumption used in the overbooking screen is not yet sourced to an industry figure and is carried as a bounded assumption.</w:t>
      </w:r>
    </w:p>
    <w:p>
      <w:r>
        <w:br w:type="page"/>
      </w:r>
    </w:p>
    <w:p>
      <w:pPr>
        <w:spacing w:line="480" w:lineRule="auto"/>
        <w:jc w:val="center"/>
      </w:pPr>
      <w:r>
        <w:rPr>
          <w:b/>
          <w:i w:val="0"/>
          <w:color w:val="000000"/>
          <w:sz w:val="24"/>
        </w:rPr>
        <w:t>References</w:t>
      </w:r>
    </w:p>
    <w:p>
      <w:pPr>
        <w:spacing w:line="480" w:lineRule="auto"/>
        <w:ind w:left="720" w:hanging="720"/>
      </w:pPr>
      <w:r>
        <w:rPr>
          <w:b w:val="0"/>
          <w:i w:val="0"/>
          <w:color w:val="000000"/>
          <w:sz w:val="24"/>
        </w:rPr>
        <w:t xml:space="preserve">Antonio, N., de Almeida, A., &amp; Nunes, L. (2019). Hotel booking demand datasets. </w:t>
      </w:r>
      <w:r>
        <w:rPr>
          <w:b w:val="0"/>
          <w:i/>
          <w:color w:val="000000"/>
          <w:sz w:val="24"/>
        </w:rPr>
        <w:t>Data in Brief, 22</w:t>
      </w:r>
      <w:r>
        <w:rPr>
          <w:b w:val="0"/>
          <w:i w:val="0"/>
          <w:color w:val="000000"/>
          <w:sz w:val="24"/>
        </w:rPr>
        <w:t>, 41–49. https://doi.org/10.1016/j.dib.2018.11.126</w:t>
      </w:r>
    </w:p>
    <w:p>
      <w:pPr>
        <w:spacing w:line="480" w:lineRule="auto"/>
        <w:ind w:left="720" w:hanging="720"/>
      </w:pPr>
      <w:r>
        <w:rPr>
          <w:b w:val="0"/>
          <w:i w:val="0"/>
          <w:color w:val="000000"/>
          <w:sz w:val="24"/>
        </w:rPr>
        <w:t xml:space="preserve">Friedman, J. H. (2001). Greedy function approximation: A gradient boosting machine. </w:t>
      </w:r>
      <w:r>
        <w:rPr>
          <w:b w:val="0"/>
          <w:i/>
          <w:color w:val="000000"/>
          <w:sz w:val="24"/>
        </w:rPr>
        <w:t>The Annals of Statistics, 29</w:t>
      </w:r>
      <w:r>
        <w:rPr>
          <w:b w:val="0"/>
          <w:i w:val="0"/>
          <w:color w:val="000000"/>
          <w:sz w:val="24"/>
        </w:rPr>
        <w:t>(5), 1189–1232. https://doi.org/10.1214/aos/1013203451</w:t>
      </w:r>
    </w:p>
    <w:p>
      <w:pPr>
        <w:spacing w:line="480" w:lineRule="auto"/>
        <w:ind w:left="720" w:hanging="720"/>
      </w:pPr>
      <w:r>
        <w:rPr>
          <w:b w:val="0"/>
          <w:i w:val="0"/>
          <w:color w:val="000000"/>
          <w:sz w:val="24"/>
        </w:rPr>
        <w:t xml:space="preserve">Lundberg, S. M., &amp; Lee, S.-I. (2017). A unified approach to interpreting model predictions. </w:t>
      </w:r>
      <w:r>
        <w:rPr>
          <w:b w:val="0"/>
          <w:i/>
          <w:color w:val="000000"/>
          <w:sz w:val="24"/>
        </w:rPr>
        <w:t>Advances in Neural Information Processing Systems, 30</w:t>
      </w:r>
      <w:r>
        <w:rPr>
          <w:b w:val="0"/>
          <w:i w:val="0"/>
          <w:color w:val="000000"/>
          <w:sz w:val="24"/>
        </w:rPr>
        <w:t>, 4765–4774.</w:t>
      </w:r>
    </w:p>
    <w:p>
      <w:pPr>
        <w:spacing w:line="480" w:lineRule="auto"/>
        <w:ind w:left="720" w:hanging="720"/>
      </w:pPr>
      <w:r>
        <w:rPr>
          <w:b w:val="0"/>
          <w:i w:val="0"/>
          <w:color w:val="000000"/>
          <w:sz w:val="24"/>
        </w:rPr>
        <w:t xml:space="preserve">Talluri, K. T., &amp; van Ryzin, G. J. (2004). </w:t>
      </w:r>
      <w:r>
        <w:rPr>
          <w:b w:val="0"/>
          <w:i/>
          <w:color w:val="000000"/>
          <w:sz w:val="24"/>
        </w:rPr>
        <w:t>The theory and practice of revenue management</w:t>
      </w:r>
      <w:r>
        <w:rPr>
          <w:b w:val="0"/>
          <w:i w:val="0"/>
          <w:color w:val="000000"/>
          <w:sz w:val="24"/>
        </w:rPr>
        <w:t>. Springer. https://doi.org/10.1007/b139000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