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Annual Municipal Performance Report 2024-25</w:t>
      </w:r>
    </w:p>
    <w:p>
      <w:r>
        <w:t>Sahyadripur Municipal Corporation</w:t>
      </w:r>
    </w:p>
    <w:p>
      <w:pPr>
        <w:pStyle w:val="Heading1"/>
      </w:pPr>
      <w:r>
        <w:t>Executive summary</w:t>
      </w:r>
    </w:p>
    <w:p>
      <w:r>
        <w:t>The Sahyadripur Municipal Corporation registered a rising volume of citizen complaints in 2024-25, about 8 percent more than the previous year. Overall SLA compliance was 61 percent. Garbage, street lighting, electricity and water complaints were resolved fastest, while drainage, roads and encroachment remained the weakest departments against their SLAs.</w:t>
      </w:r>
    </w:p>
    <w:p>
      <w:pPr>
        <w:pStyle w:val="Heading1"/>
      </w:pPr>
      <w:r>
        <w:t>Key achievements</w:t>
      </w:r>
    </w:p>
    <w:p>
      <w:r>
        <w:t>Door-to-door garbage collection reached all wards. LED conversion of street lights was completed in 8 wards. The mobile app became the largest complaint channel at about 38 percent of all complaints. The grievance redressal policy was adopted, introducing a four-level escalation matrix.</w:t>
      </w:r>
    </w:p>
    <w:p>
      <w:pPr>
        <w:pStyle w:val="Heading1"/>
      </w:pPr>
      <w:r>
        <w:t>Challenges</w:t>
      </w:r>
    </w:p>
    <w:p>
      <w:r>
        <w:t>Ambedkar Nagar (W05), Ganesh Peth (W12) and Hanuman Wadi (W17) had resolution times nearly double those of the best wards. Drainage complaints surged in July and August, and the June to September period saw the largest backlogs. Staff shortages in the Roads department and rising pothole complaints on the Ring Road are a growing concern. A garbage collection breakdown in March 2025 affected Ganesh Peth and Kasturba Nagar for about two weeks.</w:t>
      </w:r>
    </w:p>
    <w:p>
      <w:pPr>
        <w:pStyle w:val="Heading1"/>
      </w:pPr>
      <w:r>
        <w:t>Recommendations</w:t>
      </w:r>
    </w:p>
    <w:p>
      <w:r>
        <w:t>Add crews in the underperforming wards before the next monsoon, bring forward desilting to April, strengthen contractor penalties in solid waste management, and use complaint forecasts to plan seasonal resources. The Commissioner should review wards in the bottom quartile monthly.</w:t>
      </w:r>
    </w:p>
    <w:p>
      <w:pPr>
        <w:pStyle w:val="Heading1"/>
      </w:pPr>
      <w:r>
        <w:t>Department SLA compliance</w:t>
      </w:r>
    </w:p>
    <w:tbl>
      <w:tblPr>
        <w:tblStyle w:val="TableGrid"/>
        <w:tblW w:type="auto" w:w="0"/>
        <w:tblLook w:firstColumn="1" w:firstRow="1" w:lastColumn="0" w:lastRow="0" w:noHBand="0" w:noVBand="1" w:val="04A0"/>
      </w:tblPr>
      <w:tblGrid>
        <w:gridCol w:w="2880"/>
        <w:gridCol w:w="2880"/>
        <w:gridCol w:w="2880"/>
      </w:tblGrid>
      <w:tr>
        <w:tc>
          <w:tcPr>
            <w:tcW w:type="dxa" w:w="2880"/>
          </w:tcPr>
          <w:p>
            <w:r>
              <w:t>Department</w:t>
            </w:r>
          </w:p>
        </w:tc>
        <w:tc>
          <w:tcPr>
            <w:tcW w:type="dxa" w:w="2880"/>
          </w:tcPr>
          <w:p>
            <w:r>
              <w:t>Complaint SLA (hours)</w:t>
            </w:r>
          </w:p>
        </w:tc>
        <w:tc>
          <w:tcPr>
            <w:tcW w:type="dxa" w:w="2880"/>
          </w:tcPr>
          <w:p>
            <w:r>
              <w:t>SLA compliance</w:t>
            </w:r>
          </w:p>
        </w:tc>
      </w:tr>
      <w:tr>
        <w:tc>
          <w:tcPr>
            <w:tcW w:type="dxa" w:w="2880"/>
          </w:tcPr>
          <w:p>
            <w:r>
              <w:t>Solid Waste Management</w:t>
            </w:r>
          </w:p>
        </w:tc>
        <w:tc>
          <w:tcPr>
            <w:tcW w:type="dxa" w:w="2880"/>
          </w:tcPr>
          <w:p>
            <w:r>
              <w:t>24</w:t>
            </w:r>
          </w:p>
        </w:tc>
        <w:tc>
          <w:tcPr>
            <w:tcW w:type="dxa" w:w="2880"/>
          </w:tcPr>
          <w:p>
            <w:r>
              <w:t>84%</w:t>
            </w:r>
          </w:p>
        </w:tc>
      </w:tr>
      <w:tr>
        <w:tc>
          <w:tcPr>
            <w:tcW w:type="dxa" w:w="2880"/>
          </w:tcPr>
          <w:p>
            <w:r>
              <w:t>Street Lighting</w:t>
            </w:r>
          </w:p>
        </w:tc>
        <w:tc>
          <w:tcPr>
            <w:tcW w:type="dxa" w:w="2880"/>
          </w:tcPr>
          <w:p>
            <w:r>
              <w:t>72</w:t>
            </w:r>
          </w:p>
        </w:tc>
        <w:tc>
          <w:tcPr>
            <w:tcW w:type="dxa" w:w="2880"/>
          </w:tcPr>
          <w:p>
            <w:r>
              <w:t>76%</w:t>
            </w:r>
          </w:p>
        </w:tc>
      </w:tr>
      <w:tr>
        <w:tc>
          <w:tcPr>
            <w:tcW w:type="dxa" w:w="2880"/>
          </w:tcPr>
          <w:p>
            <w:r>
              <w:t>Electricity</w:t>
            </w:r>
          </w:p>
        </w:tc>
        <w:tc>
          <w:tcPr>
            <w:tcW w:type="dxa" w:w="2880"/>
          </w:tcPr>
          <w:p>
            <w:r>
              <w:t>24</w:t>
            </w:r>
          </w:p>
        </w:tc>
        <w:tc>
          <w:tcPr>
            <w:tcW w:type="dxa" w:w="2880"/>
          </w:tcPr>
          <w:p>
            <w:r>
              <w:t>75%</w:t>
            </w:r>
          </w:p>
        </w:tc>
      </w:tr>
      <w:tr>
        <w:tc>
          <w:tcPr>
            <w:tcW w:type="dxa" w:w="2880"/>
          </w:tcPr>
          <w:p>
            <w:r>
              <w:t>Water Supply</w:t>
            </w:r>
          </w:p>
        </w:tc>
        <w:tc>
          <w:tcPr>
            <w:tcW w:type="dxa" w:w="2880"/>
          </w:tcPr>
          <w:p>
            <w:r>
              <w:t>48</w:t>
            </w:r>
          </w:p>
        </w:tc>
        <w:tc>
          <w:tcPr>
            <w:tcW w:type="dxa" w:w="2880"/>
          </w:tcPr>
          <w:p>
            <w:r>
              <w:t>74%</w:t>
            </w:r>
          </w:p>
        </w:tc>
      </w:tr>
      <w:tr>
        <w:tc>
          <w:tcPr>
            <w:tcW w:type="dxa" w:w="2880"/>
          </w:tcPr>
          <w:p>
            <w:r>
              <w:t>Public Health</w:t>
            </w:r>
          </w:p>
        </w:tc>
        <w:tc>
          <w:tcPr>
            <w:tcW w:type="dxa" w:w="2880"/>
          </w:tcPr>
          <w:p>
            <w:r>
              <w:t>48</w:t>
            </w:r>
          </w:p>
        </w:tc>
        <w:tc>
          <w:tcPr>
            <w:tcW w:type="dxa" w:w="2880"/>
          </w:tcPr>
          <w:p>
            <w:r>
              <w:t>57%</w:t>
            </w:r>
          </w:p>
        </w:tc>
      </w:tr>
      <w:tr>
        <w:tc>
          <w:tcPr>
            <w:tcW w:type="dxa" w:w="2880"/>
          </w:tcPr>
          <w:p>
            <w:r>
              <w:t>Drainage &amp; Sewerage</w:t>
            </w:r>
          </w:p>
        </w:tc>
        <w:tc>
          <w:tcPr>
            <w:tcW w:type="dxa" w:w="2880"/>
          </w:tcPr>
          <w:p>
            <w:r>
              <w:t>72</w:t>
            </w:r>
          </w:p>
        </w:tc>
        <w:tc>
          <w:tcPr>
            <w:tcW w:type="dxa" w:w="2880"/>
          </w:tcPr>
          <w:p>
            <w:r>
              <w:t>43%</w:t>
            </w:r>
          </w:p>
        </w:tc>
      </w:tr>
      <w:tr>
        <w:tc>
          <w:tcPr>
            <w:tcW w:type="dxa" w:w="2880"/>
          </w:tcPr>
          <w:p>
            <w:r>
              <w:t>Encroachment Removal</w:t>
            </w:r>
          </w:p>
        </w:tc>
        <w:tc>
          <w:tcPr>
            <w:tcW w:type="dxa" w:w="2880"/>
          </w:tcPr>
          <w:p>
            <w:r>
              <w:t>168</w:t>
            </w:r>
          </w:p>
        </w:tc>
        <w:tc>
          <w:tcPr>
            <w:tcW w:type="dxa" w:w="2880"/>
          </w:tcPr>
          <w:p>
            <w:r>
              <w:t>38%</w:t>
            </w:r>
          </w:p>
        </w:tc>
      </w:tr>
      <w:tr>
        <w:tc>
          <w:tcPr>
            <w:tcW w:type="dxa" w:w="2880"/>
          </w:tcPr>
          <w:p>
            <w:r>
              <w:t>Roads &amp; Maintenance</w:t>
            </w:r>
          </w:p>
        </w:tc>
        <w:tc>
          <w:tcPr>
            <w:tcW w:type="dxa" w:w="2880"/>
          </w:tcPr>
          <w:p>
            <w:r>
              <w:t>120</w:t>
            </w:r>
          </w:p>
        </w:tc>
        <w:tc>
          <w:tcPr>
            <w:tcW w:type="dxa" w:w="2880"/>
          </w:tcPr>
          <w:p>
            <w:r>
              <w:t>36%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Municipal Performance Report 2024-25</dc:title>
  <dc:subject/>
  <dc:creator>python-docx</dc:creator>
  <cp:keywords/>
  <dc:description>generated by python-docx</dc:description>
  <cp:lastModifiedBy/>
  <cp:revision>1</cp:revision>
  <dcterms:created xsi:type="dcterms:W3CDTF">2025-04-01T00:00:00Z</dcterms:created>
  <dcterms:modified xsi:type="dcterms:W3CDTF">2013-12-23T23:15:00Z</dcterms:modified>
  <cp:category/>
</cp:coreProperties>
</file>