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21C1D" w14:textId="77777777" w:rsidR="00B9432C" w:rsidRDefault="00B9432C">
      <w:pPr>
        <w:spacing w:after="180"/>
      </w:pPr>
    </w:p>
    <w:p w14:paraId="72E21C1E" w14:textId="77777777" w:rsidR="00B9432C" w:rsidRDefault="002E7E76">
      <w:pPr>
        <w:spacing w:after="100"/>
        <w:jc w:val="center"/>
      </w:pPr>
      <w:r>
        <w:rPr>
          <w:b/>
          <w:bCs/>
          <w:color w:val="FFFFFF"/>
          <w:sz w:val="52"/>
          <w:szCs w:val="52"/>
          <w:shd w:val="clear" w:color="auto" w:fill="1F4E79"/>
        </w:rPr>
        <w:t>EXECUTIVE SUMMARY</w:t>
      </w:r>
    </w:p>
    <w:p w14:paraId="72E21C1F" w14:textId="77777777" w:rsidR="00B9432C" w:rsidRDefault="002E7E76">
      <w:pPr>
        <w:spacing w:after="80"/>
        <w:jc w:val="center"/>
      </w:pPr>
      <w:r>
        <w:rPr>
          <w:b/>
          <w:bCs/>
          <w:color w:val="1F4E79"/>
          <w:sz w:val="36"/>
          <w:szCs w:val="36"/>
        </w:rPr>
        <w:t>Telecom Customer Churn Analysis</w:t>
      </w:r>
    </w:p>
    <w:p w14:paraId="72E21C20" w14:textId="77777777" w:rsidR="00B9432C" w:rsidRDefault="002E7E76">
      <w:pPr>
        <w:spacing w:after="40"/>
        <w:jc w:val="center"/>
      </w:pPr>
      <w:r>
        <w:rPr>
          <w:color w:val="555555"/>
          <w:sz w:val="20"/>
          <w:szCs w:val="20"/>
        </w:rPr>
        <w:t>Data Source: Customer Churn Dataset  |  Total Records: 7,043  |  Analysis Period: Full Tenure Lifecycle</w:t>
      </w:r>
    </w:p>
    <w:p w14:paraId="72E21C21" w14:textId="77777777" w:rsidR="00B9432C" w:rsidRDefault="002E7E76">
      <w:pPr>
        <w:spacing w:after="40"/>
        <w:jc w:val="center"/>
      </w:pPr>
      <w:r>
        <w:rPr>
          <w:i/>
          <w:iCs/>
          <w:color w:val="555555"/>
          <w:sz w:val="20"/>
          <w:szCs w:val="20"/>
        </w:rPr>
        <w:t>Prepared by: Data Analytics Team  |  Date: April 2026</w:t>
      </w:r>
    </w:p>
    <w:p w14:paraId="72E21C22" w14:textId="77777777" w:rsidR="00B9432C" w:rsidRDefault="00B9432C">
      <w:pPr>
        <w:spacing w:after="200"/>
      </w:pPr>
    </w:p>
    <w:p w14:paraId="72E21C23" w14:textId="77777777" w:rsidR="00B9432C" w:rsidRDefault="002E7E76">
      <w:pPr>
        <w:pBdr>
          <w:bottom w:val="single" w:sz="8" w:space="2" w:color="2E75B6"/>
        </w:pBdr>
        <w:spacing w:after="160"/>
      </w:pPr>
      <w:r>
        <w:rPr>
          <w:b/>
          <w:bCs/>
          <w:caps/>
          <w:color w:val="1F4E79"/>
          <w:sz w:val="28"/>
          <w:szCs w:val="28"/>
        </w:rPr>
        <w:t>1. Key Performance Snapshot</w:t>
      </w:r>
    </w:p>
    <w:p w14:paraId="72E21C24" w14:textId="77777777" w:rsidR="00B9432C" w:rsidRDefault="00B9432C">
      <w:pPr>
        <w:spacing w:after="6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9432C" w14:paraId="72E21C2D" w14:textId="77777777">
        <w:tc>
          <w:tcPr>
            <w:tcW w:w="2340" w:type="dxa"/>
            <w:shd w:val="clear" w:color="auto" w:fill="1F4E79"/>
            <w:tcMar>
              <w:top w:w="100" w:type="dxa"/>
              <w:left w:w="120" w:type="dxa"/>
              <w:bottom w:w="100" w:type="dxa"/>
              <w:right w:w="120" w:type="dxa"/>
            </w:tcMar>
          </w:tcPr>
          <w:p w14:paraId="72E21C25" w14:textId="77777777" w:rsidR="00B9432C" w:rsidRDefault="002E7E76">
            <w:pPr>
              <w:spacing w:after="40"/>
              <w:jc w:val="center"/>
            </w:pPr>
            <w:r>
              <w:rPr>
                <w:b/>
                <w:bCs/>
                <w:color w:val="FFFFFF"/>
                <w:sz w:val="36"/>
                <w:szCs w:val="36"/>
              </w:rPr>
              <w:t>7,043</w:t>
            </w:r>
          </w:p>
          <w:p w14:paraId="72E21C26" w14:textId="77777777" w:rsidR="00B9432C" w:rsidRDefault="002E7E76">
            <w:pPr>
              <w:jc w:val="center"/>
            </w:pPr>
            <w:r>
              <w:rPr>
                <w:color w:val="FFFFFF"/>
                <w:sz w:val="18"/>
                <w:szCs w:val="18"/>
              </w:rPr>
              <w:t>Total Customers</w:t>
            </w:r>
          </w:p>
        </w:tc>
        <w:tc>
          <w:tcPr>
            <w:tcW w:w="2340" w:type="dxa"/>
            <w:shd w:val="clear" w:color="auto" w:fill="C00000"/>
            <w:tcMar>
              <w:top w:w="100" w:type="dxa"/>
              <w:left w:w="120" w:type="dxa"/>
              <w:bottom w:w="100" w:type="dxa"/>
              <w:right w:w="120" w:type="dxa"/>
            </w:tcMar>
          </w:tcPr>
          <w:p w14:paraId="72E21C27" w14:textId="77777777" w:rsidR="00B9432C" w:rsidRDefault="002E7E76">
            <w:pPr>
              <w:spacing w:after="40"/>
              <w:jc w:val="center"/>
            </w:pPr>
            <w:r>
              <w:rPr>
                <w:b/>
                <w:bCs/>
                <w:color w:val="FFFFFF"/>
                <w:sz w:val="36"/>
                <w:szCs w:val="36"/>
              </w:rPr>
              <w:t>26.54%</w:t>
            </w:r>
          </w:p>
          <w:p w14:paraId="72E21C28" w14:textId="77777777" w:rsidR="00B9432C" w:rsidRDefault="002E7E76">
            <w:pPr>
              <w:jc w:val="center"/>
            </w:pPr>
            <w:r>
              <w:rPr>
                <w:color w:val="FFFFFF"/>
                <w:sz w:val="18"/>
                <w:szCs w:val="18"/>
              </w:rPr>
              <w:t>Churned</w:t>
            </w:r>
          </w:p>
        </w:tc>
        <w:tc>
          <w:tcPr>
            <w:tcW w:w="2340" w:type="dxa"/>
            <w:shd w:val="clear" w:color="auto" w:fill="375623"/>
            <w:tcMar>
              <w:top w:w="100" w:type="dxa"/>
              <w:left w:w="120" w:type="dxa"/>
              <w:bottom w:w="100" w:type="dxa"/>
              <w:right w:w="120" w:type="dxa"/>
            </w:tcMar>
          </w:tcPr>
          <w:p w14:paraId="72E21C29" w14:textId="77777777" w:rsidR="00B9432C" w:rsidRDefault="002E7E76">
            <w:pPr>
              <w:spacing w:after="40"/>
              <w:jc w:val="center"/>
            </w:pPr>
            <w:r>
              <w:rPr>
                <w:b/>
                <w:bCs/>
                <w:color w:val="FFFFFF"/>
                <w:sz w:val="36"/>
                <w:szCs w:val="36"/>
              </w:rPr>
              <w:t>73.46%</w:t>
            </w:r>
          </w:p>
          <w:p w14:paraId="72E21C2A" w14:textId="77777777" w:rsidR="00B9432C" w:rsidRDefault="002E7E76">
            <w:pPr>
              <w:jc w:val="center"/>
            </w:pPr>
            <w:r>
              <w:rPr>
                <w:color w:val="FFFFFF"/>
                <w:sz w:val="18"/>
                <w:szCs w:val="18"/>
              </w:rPr>
              <w:t>Retained</w:t>
            </w:r>
          </w:p>
        </w:tc>
        <w:tc>
          <w:tcPr>
            <w:tcW w:w="2340" w:type="dxa"/>
            <w:shd w:val="clear" w:color="auto" w:fill="C55A11"/>
            <w:tcMar>
              <w:top w:w="100" w:type="dxa"/>
              <w:left w:w="120" w:type="dxa"/>
              <w:bottom w:w="100" w:type="dxa"/>
              <w:right w:w="120" w:type="dxa"/>
            </w:tcMar>
          </w:tcPr>
          <w:p w14:paraId="72E21C2B" w14:textId="77777777" w:rsidR="00B9432C" w:rsidRDefault="002E7E76">
            <w:pPr>
              <w:spacing w:after="40"/>
              <w:jc w:val="center"/>
            </w:pPr>
            <w:r>
              <w:rPr>
                <w:b/>
                <w:bCs/>
                <w:color w:val="FFFFFF"/>
                <w:sz w:val="36"/>
                <w:szCs w:val="36"/>
              </w:rPr>
              <w:t>16.21%</w:t>
            </w:r>
          </w:p>
          <w:p w14:paraId="72E21C2C" w14:textId="77777777" w:rsidR="00B9432C" w:rsidRDefault="002E7E76">
            <w:pPr>
              <w:jc w:val="center"/>
            </w:pPr>
            <w:r>
              <w:rPr>
                <w:color w:val="FFFFFF"/>
                <w:sz w:val="18"/>
                <w:szCs w:val="18"/>
              </w:rPr>
              <w:t>Senior Citizens</w:t>
            </w:r>
          </w:p>
        </w:tc>
      </w:tr>
    </w:tbl>
    <w:p w14:paraId="72E21C2E" w14:textId="77777777" w:rsidR="00B9432C" w:rsidRDefault="00B9432C">
      <w:pPr>
        <w:spacing w:after="16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9432C" w14:paraId="72E21C37" w14:textId="77777777">
        <w:tc>
          <w:tcPr>
            <w:tcW w:w="2340" w:type="dxa"/>
            <w:shd w:val="clear" w:color="auto" w:fill="2E4057"/>
            <w:tcMar>
              <w:top w:w="100" w:type="dxa"/>
              <w:left w:w="120" w:type="dxa"/>
              <w:bottom w:w="100" w:type="dxa"/>
              <w:right w:w="120" w:type="dxa"/>
            </w:tcMar>
          </w:tcPr>
          <w:p w14:paraId="72E21C2F" w14:textId="77777777" w:rsidR="00B9432C" w:rsidRDefault="002E7E76">
            <w:pPr>
              <w:spacing w:after="40"/>
              <w:jc w:val="center"/>
            </w:pPr>
            <w:r>
              <w:rPr>
                <w:b/>
                <w:bCs/>
                <w:color w:val="FFFFFF"/>
                <w:sz w:val="36"/>
                <w:szCs w:val="36"/>
              </w:rPr>
              <w:t>$64.76</w:t>
            </w:r>
          </w:p>
          <w:p w14:paraId="72E21C30" w14:textId="77777777" w:rsidR="00B9432C" w:rsidRDefault="002E7E76">
            <w:pPr>
              <w:jc w:val="center"/>
            </w:pPr>
            <w:r>
              <w:rPr>
                <w:color w:val="FFFFFF"/>
                <w:sz w:val="18"/>
                <w:szCs w:val="18"/>
              </w:rPr>
              <w:t>Avg. Monthly Charge</w:t>
            </w:r>
          </w:p>
        </w:tc>
        <w:tc>
          <w:tcPr>
            <w:tcW w:w="2340" w:type="dxa"/>
            <w:shd w:val="clear" w:color="auto" w:fill="2E4057"/>
            <w:tcMar>
              <w:top w:w="100" w:type="dxa"/>
              <w:left w:w="120" w:type="dxa"/>
              <w:bottom w:w="100" w:type="dxa"/>
              <w:right w:w="120" w:type="dxa"/>
            </w:tcMar>
          </w:tcPr>
          <w:p w14:paraId="72E21C31" w14:textId="77777777" w:rsidR="00B9432C" w:rsidRDefault="002E7E76">
            <w:pPr>
              <w:spacing w:after="40"/>
              <w:jc w:val="center"/>
            </w:pPr>
            <w:r>
              <w:rPr>
                <w:b/>
                <w:bCs/>
                <w:color w:val="FFFFFF"/>
                <w:sz w:val="36"/>
                <w:szCs w:val="36"/>
              </w:rPr>
              <w:t>32.4 mo</w:t>
            </w:r>
          </w:p>
          <w:p w14:paraId="72E21C32" w14:textId="77777777" w:rsidR="00B9432C" w:rsidRDefault="002E7E76">
            <w:pPr>
              <w:jc w:val="center"/>
            </w:pPr>
            <w:r>
              <w:rPr>
                <w:color w:val="FFFFFF"/>
                <w:sz w:val="18"/>
                <w:szCs w:val="18"/>
              </w:rPr>
              <w:t>Avg. Tenure</w:t>
            </w:r>
          </w:p>
        </w:tc>
        <w:tc>
          <w:tcPr>
            <w:tcW w:w="2340" w:type="dxa"/>
            <w:shd w:val="clear" w:color="auto" w:fill="2E4057"/>
            <w:tcMar>
              <w:top w:w="100" w:type="dxa"/>
              <w:left w:w="120" w:type="dxa"/>
              <w:bottom w:w="100" w:type="dxa"/>
              <w:right w:w="120" w:type="dxa"/>
            </w:tcMar>
          </w:tcPr>
          <w:p w14:paraId="72E21C33" w14:textId="77777777" w:rsidR="00B9432C" w:rsidRDefault="002E7E76">
            <w:pPr>
              <w:spacing w:after="40"/>
              <w:jc w:val="center"/>
            </w:pPr>
            <w:r>
              <w:rPr>
                <w:b/>
                <w:bCs/>
                <w:color w:val="FFFFFF"/>
                <w:sz w:val="36"/>
                <w:szCs w:val="36"/>
              </w:rPr>
              <w:t>$2,279.73</w:t>
            </w:r>
          </w:p>
          <w:p w14:paraId="72E21C34" w14:textId="77777777" w:rsidR="00B9432C" w:rsidRDefault="002E7E76">
            <w:pPr>
              <w:jc w:val="center"/>
            </w:pPr>
            <w:r>
              <w:rPr>
                <w:color w:val="FFFFFF"/>
                <w:sz w:val="18"/>
                <w:szCs w:val="18"/>
              </w:rPr>
              <w:t>Avg. Total Charges</w:t>
            </w:r>
          </w:p>
        </w:tc>
        <w:tc>
          <w:tcPr>
            <w:tcW w:w="2340" w:type="dxa"/>
            <w:shd w:val="clear" w:color="auto" w:fill="2E4057"/>
            <w:tcMar>
              <w:top w:w="100" w:type="dxa"/>
              <w:left w:w="120" w:type="dxa"/>
              <w:bottom w:w="100" w:type="dxa"/>
              <w:right w:w="120" w:type="dxa"/>
            </w:tcMar>
          </w:tcPr>
          <w:p w14:paraId="72E21C35" w14:textId="77777777" w:rsidR="00B9432C" w:rsidRDefault="002E7E76">
            <w:pPr>
              <w:spacing w:after="40"/>
              <w:jc w:val="center"/>
            </w:pPr>
            <w:r>
              <w:rPr>
                <w:b/>
                <w:bCs/>
                <w:color w:val="FFFFFF"/>
                <w:sz w:val="36"/>
                <w:szCs w:val="36"/>
              </w:rPr>
              <w:t>$118.75</w:t>
            </w:r>
          </w:p>
          <w:p w14:paraId="72E21C36" w14:textId="77777777" w:rsidR="00B9432C" w:rsidRDefault="002E7E76">
            <w:pPr>
              <w:jc w:val="center"/>
            </w:pPr>
            <w:r>
              <w:rPr>
                <w:color w:val="FFFFFF"/>
                <w:sz w:val="18"/>
                <w:szCs w:val="18"/>
              </w:rPr>
              <w:t>Max Monthly Charge</w:t>
            </w:r>
          </w:p>
        </w:tc>
      </w:tr>
    </w:tbl>
    <w:p w14:paraId="72E21C38" w14:textId="77777777" w:rsidR="00B9432C" w:rsidRDefault="00B9432C">
      <w:pPr>
        <w:spacing w:after="200"/>
      </w:pPr>
    </w:p>
    <w:p w14:paraId="72E21C39" w14:textId="77777777" w:rsidR="00B9432C" w:rsidRDefault="002E7E76">
      <w:pPr>
        <w:pBdr>
          <w:bottom w:val="single" w:sz="8" w:space="2" w:color="2E75B6"/>
        </w:pBdr>
        <w:spacing w:after="160"/>
      </w:pPr>
      <w:r>
        <w:rPr>
          <w:b/>
          <w:bCs/>
          <w:caps/>
          <w:color w:val="1F4E79"/>
          <w:sz w:val="28"/>
          <w:szCs w:val="28"/>
        </w:rPr>
        <w:t>2. Analysis Overview</w:t>
      </w:r>
    </w:p>
    <w:p w14:paraId="72E21C3A" w14:textId="77777777" w:rsidR="00B9432C" w:rsidRDefault="002E7E76">
      <w:pPr>
        <w:spacing w:before="60" w:after="80"/>
      </w:pPr>
      <w:r>
        <w:t>This executive summary presents findings from an exploratory data analysis performed on a telecom customer churn dataset comprising 7,043 customer records and 21 variables. The objective of the analysis was to identify key churn patterns, understand customer segmentation by demographics and service usage, and surface actionable business insights to reduce customer attrition.</w:t>
      </w:r>
    </w:p>
    <w:p w14:paraId="72E21C3B" w14:textId="5C93BA69" w:rsidR="00B9432C" w:rsidRDefault="002E7E76">
      <w:pPr>
        <w:spacing w:before="60" w:after="80"/>
      </w:pPr>
      <w:r>
        <w:t xml:space="preserve">The dataset was confirmed to have no missing values and no duplicate customer IDs following data cleaning procedures (blank </w:t>
      </w:r>
      <w:r w:rsidR="000872DD">
        <w:t>Total Charges</w:t>
      </w:r>
      <w:r>
        <w:t xml:space="preserve"> entries were replaced with zero, and </w:t>
      </w:r>
      <w:r w:rsidR="000872DD">
        <w:t>Senior Citizen</w:t>
      </w:r>
      <w:r>
        <w:t xml:space="preserve"> encoding was converted from binary to Yes/No for clarity).</w:t>
      </w:r>
    </w:p>
    <w:p w14:paraId="72E21C3C" w14:textId="77777777" w:rsidR="00B9432C" w:rsidRDefault="00B9432C">
      <w:pPr>
        <w:spacing w:after="120"/>
      </w:pPr>
    </w:p>
    <w:p w14:paraId="72E21C3D" w14:textId="77777777" w:rsidR="00B9432C" w:rsidRDefault="002E7E76">
      <w:pPr>
        <w:pBdr>
          <w:bottom w:val="single" w:sz="8" w:space="2" w:color="2E75B6"/>
        </w:pBdr>
        <w:spacing w:after="160"/>
      </w:pPr>
      <w:r>
        <w:rPr>
          <w:b/>
          <w:bCs/>
          <w:caps/>
          <w:color w:val="1F4E79"/>
          <w:sz w:val="28"/>
          <w:szCs w:val="28"/>
        </w:rPr>
        <w:t>3. Churn Rate Overview</w:t>
      </w:r>
    </w:p>
    <w:p w14:paraId="72E21C3E" w14:textId="77777777" w:rsidR="00B9432C" w:rsidRDefault="002E7E76">
      <w:pPr>
        <w:spacing w:before="180" w:after="60"/>
      </w:pPr>
      <w:r>
        <w:rPr>
          <w:b/>
          <w:bCs/>
          <w:color w:val="2E75B6"/>
          <w:sz w:val="24"/>
          <w:szCs w:val="24"/>
        </w:rPr>
        <w:t>3.1 Overall Churn Distribution</w:t>
      </w:r>
    </w:p>
    <w:p w14:paraId="72E21C3F" w14:textId="77777777" w:rsidR="00B9432C" w:rsidRDefault="002E7E76">
      <w:pPr>
        <w:spacing w:before="60" w:after="80"/>
      </w:pPr>
      <w:r>
        <w:t>Of the 7,043 customers analysed, 1,869 customers (26.54%) have churned, while the remaining 5,174 customers (73.46%) remain active. This churn rate is significant — approximately 1 in 4 customers leaves the service — representing a material revenue risk and a clear opportunity for targeted retention initiatives.</w:t>
      </w:r>
    </w:p>
    <w:p w14:paraId="72E21C40" w14:textId="77777777" w:rsidR="00B9432C" w:rsidRDefault="00B9432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2730"/>
        <w:gridCol w:w="2730"/>
      </w:tblGrid>
      <w:tr w:rsidR="00B9432C" w14:paraId="72E21C44" w14:textId="77777777">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tcPr>
          <w:p w14:paraId="72E21C41" w14:textId="77777777" w:rsidR="00B9432C" w:rsidRDefault="002E7E76">
            <w:pPr>
              <w:jc w:val="center"/>
            </w:pPr>
            <w:r>
              <w:rPr>
                <w:b/>
                <w:bCs/>
                <w:color w:val="FFFFFF"/>
                <w:sz w:val="20"/>
                <w:szCs w:val="20"/>
              </w:rPr>
              <w:t>Segment</w:t>
            </w:r>
          </w:p>
        </w:tc>
        <w:tc>
          <w:tcPr>
            <w:tcW w:w="273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tcPr>
          <w:p w14:paraId="72E21C42" w14:textId="77777777" w:rsidR="00B9432C" w:rsidRDefault="002E7E76">
            <w:pPr>
              <w:jc w:val="center"/>
            </w:pPr>
            <w:r>
              <w:rPr>
                <w:b/>
                <w:bCs/>
                <w:color w:val="FFFFFF"/>
                <w:sz w:val="20"/>
                <w:szCs w:val="20"/>
              </w:rPr>
              <w:t>Customer Count</w:t>
            </w:r>
          </w:p>
        </w:tc>
        <w:tc>
          <w:tcPr>
            <w:tcW w:w="273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tcPr>
          <w:p w14:paraId="72E21C43" w14:textId="77777777" w:rsidR="00B9432C" w:rsidRDefault="002E7E76">
            <w:pPr>
              <w:jc w:val="center"/>
            </w:pPr>
            <w:r>
              <w:rPr>
                <w:b/>
                <w:bCs/>
                <w:color w:val="FFFFFF"/>
                <w:sz w:val="20"/>
                <w:szCs w:val="20"/>
              </w:rPr>
              <w:t>Percentage</w:t>
            </w:r>
          </w:p>
        </w:tc>
      </w:tr>
      <w:tr w:rsidR="00B9432C" w14:paraId="72E21C48" w14:textId="77777777">
        <w:tc>
          <w:tcPr>
            <w:tcW w:w="39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45" w14:textId="77777777" w:rsidR="00B9432C" w:rsidRDefault="002E7E76">
            <w:pPr>
              <w:jc w:val="center"/>
            </w:pPr>
            <w:r>
              <w:rPr>
                <w:sz w:val="20"/>
                <w:szCs w:val="20"/>
              </w:rPr>
              <w:t>Churned Customers</w:t>
            </w:r>
          </w:p>
        </w:tc>
        <w:tc>
          <w:tcPr>
            <w:tcW w:w="273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46" w14:textId="77777777" w:rsidR="00B9432C" w:rsidRDefault="002E7E76">
            <w:pPr>
              <w:jc w:val="center"/>
            </w:pPr>
            <w:r>
              <w:rPr>
                <w:sz w:val="20"/>
                <w:szCs w:val="20"/>
              </w:rPr>
              <w:t>1,869</w:t>
            </w:r>
          </w:p>
        </w:tc>
        <w:tc>
          <w:tcPr>
            <w:tcW w:w="273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47" w14:textId="77777777" w:rsidR="00B9432C" w:rsidRDefault="002E7E76">
            <w:pPr>
              <w:jc w:val="center"/>
            </w:pPr>
            <w:r>
              <w:rPr>
                <w:sz w:val="20"/>
                <w:szCs w:val="20"/>
              </w:rPr>
              <w:t>26.54%</w:t>
            </w:r>
          </w:p>
        </w:tc>
      </w:tr>
      <w:tr w:rsidR="00B9432C" w14:paraId="72E21C4C" w14:textId="77777777">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C49" w14:textId="77777777" w:rsidR="00B9432C" w:rsidRDefault="002E7E76">
            <w:pPr>
              <w:jc w:val="center"/>
            </w:pPr>
            <w:r>
              <w:rPr>
                <w:sz w:val="20"/>
                <w:szCs w:val="20"/>
              </w:rPr>
              <w:t>Retained Customers</w:t>
            </w:r>
          </w:p>
        </w:tc>
        <w:tc>
          <w:tcPr>
            <w:tcW w:w="273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C4A" w14:textId="77777777" w:rsidR="00B9432C" w:rsidRDefault="002E7E76">
            <w:pPr>
              <w:jc w:val="center"/>
            </w:pPr>
            <w:r>
              <w:rPr>
                <w:sz w:val="20"/>
                <w:szCs w:val="20"/>
              </w:rPr>
              <w:t>5,174</w:t>
            </w:r>
          </w:p>
        </w:tc>
        <w:tc>
          <w:tcPr>
            <w:tcW w:w="273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C4B" w14:textId="77777777" w:rsidR="00B9432C" w:rsidRDefault="002E7E76">
            <w:pPr>
              <w:jc w:val="center"/>
            </w:pPr>
            <w:r>
              <w:rPr>
                <w:sz w:val="20"/>
                <w:szCs w:val="20"/>
              </w:rPr>
              <w:t>73.46%</w:t>
            </w:r>
          </w:p>
        </w:tc>
      </w:tr>
      <w:tr w:rsidR="00B9432C" w14:paraId="72E21C50" w14:textId="77777777">
        <w:tc>
          <w:tcPr>
            <w:tcW w:w="39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4D" w14:textId="77777777" w:rsidR="00B9432C" w:rsidRDefault="002E7E76">
            <w:pPr>
              <w:jc w:val="center"/>
            </w:pPr>
            <w:r>
              <w:rPr>
                <w:sz w:val="20"/>
                <w:szCs w:val="20"/>
              </w:rPr>
              <w:t>Total Customers</w:t>
            </w:r>
          </w:p>
        </w:tc>
        <w:tc>
          <w:tcPr>
            <w:tcW w:w="273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4E" w14:textId="77777777" w:rsidR="00B9432C" w:rsidRDefault="002E7E76">
            <w:pPr>
              <w:jc w:val="center"/>
            </w:pPr>
            <w:r>
              <w:rPr>
                <w:sz w:val="20"/>
                <w:szCs w:val="20"/>
              </w:rPr>
              <w:t>7,043</w:t>
            </w:r>
          </w:p>
        </w:tc>
        <w:tc>
          <w:tcPr>
            <w:tcW w:w="273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4F" w14:textId="77777777" w:rsidR="00B9432C" w:rsidRDefault="002E7E76">
            <w:pPr>
              <w:jc w:val="center"/>
            </w:pPr>
            <w:r>
              <w:rPr>
                <w:sz w:val="20"/>
                <w:szCs w:val="20"/>
              </w:rPr>
              <w:t>100.00%</w:t>
            </w:r>
          </w:p>
        </w:tc>
      </w:tr>
    </w:tbl>
    <w:p w14:paraId="72E21C51" w14:textId="77777777" w:rsidR="00B9432C" w:rsidRDefault="00B9432C">
      <w:pPr>
        <w:spacing w:after="200"/>
      </w:pPr>
    </w:p>
    <w:p w14:paraId="72E21C52" w14:textId="77777777" w:rsidR="00B9432C" w:rsidRDefault="002E7E76">
      <w:pPr>
        <w:pBdr>
          <w:bottom w:val="single" w:sz="8" w:space="2" w:color="2E75B6"/>
        </w:pBdr>
        <w:spacing w:after="160"/>
      </w:pPr>
      <w:r>
        <w:rPr>
          <w:b/>
          <w:bCs/>
          <w:caps/>
          <w:color w:val="1F4E79"/>
          <w:sz w:val="28"/>
          <w:szCs w:val="28"/>
        </w:rPr>
        <w:lastRenderedPageBreak/>
        <w:t>4. Demographic Analysis</w:t>
      </w:r>
    </w:p>
    <w:p w14:paraId="72E21C53" w14:textId="77777777" w:rsidR="00B9432C" w:rsidRDefault="002E7E76">
      <w:pPr>
        <w:spacing w:before="180" w:after="60"/>
      </w:pPr>
      <w:r>
        <w:rPr>
          <w:b/>
          <w:bCs/>
          <w:color w:val="2E75B6"/>
          <w:sz w:val="24"/>
          <w:szCs w:val="24"/>
        </w:rPr>
        <w:t>4.1 Gender</w:t>
      </w:r>
    </w:p>
    <w:p w14:paraId="72E21C54" w14:textId="77777777" w:rsidR="00B9432C" w:rsidRDefault="002E7E76">
      <w:pPr>
        <w:spacing w:before="60" w:after="80"/>
      </w:pPr>
      <w:r>
        <w:t>Churn is distributed almost equally</w:t>
      </w:r>
      <w:r>
        <w:t xml:space="preserve"> across gender lines, with Male and Female customers showing comparable churn behaviour. This indicates that gender is not a significant standalone predictor of churn for this customer base. Retention strategies should therefore not be differentiated by gender.</w:t>
      </w:r>
    </w:p>
    <w:p w14:paraId="72E21C55" w14:textId="77777777" w:rsidR="00B9432C" w:rsidRDefault="002E7E76">
      <w:pPr>
        <w:spacing w:before="180" w:after="60"/>
      </w:pPr>
      <w:r>
        <w:rPr>
          <w:b/>
          <w:bCs/>
          <w:color w:val="2E75B6"/>
          <w:sz w:val="24"/>
          <w:szCs w:val="24"/>
        </w:rPr>
        <w:t>4.2 Senior Citizens</w:t>
      </w:r>
    </w:p>
    <w:p w14:paraId="72E21C56" w14:textId="77777777" w:rsidR="00B9432C" w:rsidRDefault="002E7E76">
      <w:pPr>
        <w:spacing w:before="60" w:after="80"/>
      </w:pPr>
      <w:r>
        <w:t>Senior citizens represent 16.21% of the total customer base (approximately 1,141 customers), while non-senior citizens account for the remaining 83.79% (approximately 5,902 customers). However, senior citizens exhibit a disproportionately higher churn rate:</w:t>
      </w:r>
    </w:p>
    <w:p w14:paraId="72E21C57" w14:textId="77777777" w:rsidR="00B9432C" w:rsidRDefault="00B9432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2730"/>
        <w:gridCol w:w="2730"/>
      </w:tblGrid>
      <w:tr w:rsidR="00B9432C" w14:paraId="72E21C5B" w14:textId="77777777">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tcPr>
          <w:p w14:paraId="72E21C58" w14:textId="77777777" w:rsidR="00B9432C" w:rsidRDefault="002E7E76">
            <w:pPr>
              <w:jc w:val="center"/>
            </w:pPr>
            <w:r>
              <w:rPr>
                <w:b/>
                <w:bCs/>
                <w:color w:val="FFFFFF"/>
                <w:sz w:val="20"/>
                <w:szCs w:val="20"/>
              </w:rPr>
              <w:t>Segment</w:t>
            </w:r>
          </w:p>
        </w:tc>
        <w:tc>
          <w:tcPr>
            <w:tcW w:w="273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tcPr>
          <w:p w14:paraId="72E21C59" w14:textId="77777777" w:rsidR="00B9432C" w:rsidRDefault="002E7E76">
            <w:pPr>
              <w:jc w:val="center"/>
            </w:pPr>
            <w:r>
              <w:rPr>
                <w:b/>
                <w:bCs/>
                <w:color w:val="FFFFFF"/>
                <w:sz w:val="20"/>
                <w:szCs w:val="20"/>
              </w:rPr>
              <w:t>Share of Customer Base</w:t>
            </w:r>
          </w:p>
        </w:tc>
        <w:tc>
          <w:tcPr>
            <w:tcW w:w="273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tcPr>
          <w:p w14:paraId="72E21C5A" w14:textId="77777777" w:rsidR="00B9432C" w:rsidRDefault="002E7E76">
            <w:pPr>
              <w:jc w:val="center"/>
            </w:pPr>
            <w:r>
              <w:rPr>
                <w:b/>
                <w:bCs/>
                <w:color w:val="FFFFFF"/>
                <w:sz w:val="20"/>
                <w:szCs w:val="20"/>
              </w:rPr>
              <w:t>Churn Rate (Approx.)</w:t>
            </w:r>
          </w:p>
        </w:tc>
      </w:tr>
      <w:tr w:rsidR="00B9432C" w14:paraId="72E21C5F" w14:textId="77777777">
        <w:tc>
          <w:tcPr>
            <w:tcW w:w="39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5C" w14:textId="77777777" w:rsidR="00B9432C" w:rsidRDefault="002E7E76">
            <w:pPr>
              <w:jc w:val="center"/>
            </w:pPr>
            <w:r>
              <w:rPr>
                <w:sz w:val="20"/>
                <w:szCs w:val="20"/>
              </w:rPr>
              <w:t>Senior Citizens</w:t>
            </w:r>
          </w:p>
        </w:tc>
        <w:tc>
          <w:tcPr>
            <w:tcW w:w="273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5D" w14:textId="77777777" w:rsidR="00B9432C" w:rsidRDefault="002E7E76">
            <w:pPr>
              <w:jc w:val="center"/>
            </w:pPr>
            <w:r>
              <w:rPr>
                <w:sz w:val="20"/>
                <w:szCs w:val="20"/>
              </w:rPr>
              <w:t>16.21%</w:t>
            </w:r>
          </w:p>
        </w:tc>
        <w:tc>
          <w:tcPr>
            <w:tcW w:w="273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5E" w14:textId="77777777" w:rsidR="00B9432C" w:rsidRDefault="002E7E76">
            <w:pPr>
              <w:jc w:val="center"/>
            </w:pPr>
            <w:r>
              <w:rPr>
                <w:sz w:val="20"/>
                <w:szCs w:val="20"/>
              </w:rPr>
              <w:t>~41%</w:t>
            </w:r>
          </w:p>
        </w:tc>
      </w:tr>
      <w:tr w:rsidR="00B9432C" w14:paraId="72E21C63" w14:textId="77777777">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C60" w14:textId="77777777" w:rsidR="00B9432C" w:rsidRDefault="002E7E76">
            <w:pPr>
              <w:jc w:val="center"/>
            </w:pPr>
            <w:r>
              <w:rPr>
                <w:sz w:val="20"/>
                <w:szCs w:val="20"/>
              </w:rPr>
              <w:t>Non-Senior Citizens</w:t>
            </w:r>
          </w:p>
        </w:tc>
        <w:tc>
          <w:tcPr>
            <w:tcW w:w="273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C61" w14:textId="77777777" w:rsidR="00B9432C" w:rsidRDefault="002E7E76">
            <w:pPr>
              <w:jc w:val="center"/>
            </w:pPr>
            <w:r>
              <w:rPr>
                <w:sz w:val="20"/>
                <w:szCs w:val="20"/>
              </w:rPr>
              <w:t>83.79%</w:t>
            </w:r>
          </w:p>
        </w:tc>
        <w:tc>
          <w:tcPr>
            <w:tcW w:w="273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C62" w14:textId="77777777" w:rsidR="00B9432C" w:rsidRDefault="002E7E76">
            <w:pPr>
              <w:jc w:val="center"/>
            </w:pPr>
            <w:r>
              <w:rPr>
                <w:sz w:val="20"/>
                <w:szCs w:val="20"/>
              </w:rPr>
              <w:t>~23%</w:t>
            </w:r>
          </w:p>
        </w:tc>
      </w:tr>
    </w:tbl>
    <w:p w14:paraId="72E21C64" w14:textId="77777777" w:rsidR="00B9432C" w:rsidRDefault="00B9432C">
      <w:pPr>
        <w:spacing w:after="80"/>
      </w:pPr>
    </w:p>
    <w:p w14:paraId="72E21C65" w14:textId="77777777" w:rsidR="00B9432C" w:rsidRDefault="002E7E76">
      <w:pPr>
        <w:spacing w:before="60" w:after="80"/>
      </w:pPr>
      <w:r>
        <w:t>Senior citizens churn at nearly twice</w:t>
      </w:r>
      <w:r>
        <w:t xml:space="preserve"> the rate of non-senior customers. This vulnerability may reflect price sensitivity, limited digital adoption, or a lack of tailored support structures. Targeted retention programmes for senior customers are strongly recommended.</w:t>
      </w:r>
    </w:p>
    <w:p w14:paraId="72E21C66" w14:textId="77777777" w:rsidR="00B9432C" w:rsidRDefault="002E7E76">
      <w:pPr>
        <w:spacing w:before="180" w:after="60"/>
      </w:pPr>
      <w:r>
        <w:rPr>
          <w:b/>
          <w:bCs/>
          <w:color w:val="2E75B6"/>
          <w:sz w:val="24"/>
          <w:szCs w:val="24"/>
        </w:rPr>
        <w:t>4.3 Partners &amp; Dependents</w:t>
      </w:r>
    </w:p>
    <w:p w14:paraId="72E21C67" w14:textId="77777777" w:rsidR="00B9432C" w:rsidRDefault="002E7E76">
      <w:pPr>
        <w:spacing w:before="60" w:after="80"/>
      </w:pPr>
      <w:r>
        <w:t>Customers without a partner or dependents are considerably more likely to churn than those with family structures. Single-household customers — who may have lower switching costs — represent a disproportionate share of churned accounts. This underscores the value of family-plan incentives and loyalty-based bundling to increase stickiness among solo customers.</w:t>
      </w:r>
    </w:p>
    <w:p w14:paraId="72E21C68" w14:textId="77777777" w:rsidR="00B9432C" w:rsidRDefault="00B9432C">
      <w:pPr>
        <w:spacing w:after="200"/>
      </w:pPr>
    </w:p>
    <w:p w14:paraId="72E21C69" w14:textId="77777777" w:rsidR="00B9432C" w:rsidRDefault="002E7E76">
      <w:pPr>
        <w:pBdr>
          <w:bottom w:val="single" w:sz="8" w:space="2" w:color="2E75B6"/>
        </w:pBdr>
        <w:spacing w:after="160"/>
      </w:pPr>
      <w:r>
        <w:rPr>
          <w:b/>
          <w:bCs/>
          <w:caps/>
          <w:color w:val="1F4E79"/>
          <w:sz w:val="28"/>
          <w:szCs w:val="28"/>
        </w:rPr>
        <w:t>5. Service &amp; Subscription Analysis</w:t>
      </w:r>
    </w:p>
    <w:p w14:paraId="72E21C6A" w14:textId="77777777" w:rsidR="00B9432C" w:rsidRDefault="002E7E76">
      <w:pPr>
        <w:spacing w:before="180" w:after="60"/>
      </w:pPr>
      <w:r>
        <w:rPr>
          <w:b/>
          <w:bCs/>
          <w:color w:val="2E75B6"/>
          <w:sz w:val="24"/>
          <w:szCs w:val="24"/>
        </w:rPr>
        <w:t>5.1 Internet Service Type</w:t>
      </w:r>
    </w:p>
    <w:p w14:paraId="72E21C6B" w14:textId="77777777" w:rsidR="00B9432C" w:rsidRDefault="002E7E76">
      <w:pPr>
        <w:spacing w:before="60" w:after="80"/>
      </w:pPr>
      <w:r>
        <w:t>Internet service type is one of the strongest indicators of churn. Customers subscribed to Fiber Optic internet exhibit the highest churn rate, while DSL subscribers and customers with no internet service show considerably lower churn.</w:t>
      </w:r>
    </w:p>
    <w:p w14:paraId="72E21C6C" w14:textId="77777777" w:rsidR="00B9432C" w:rsidRDefault="00B9432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B9432C" w14:paraId="72E21C70" w14:textId="77777777">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tcPr>
          <w:p w14:paraId="72E21C6D" w14:textId="77777777" w:rsidR="00B9432C" w:rsidRDefault="002E7E76">
            <w:pPr>
              <w:jc w:val="center"/>
            </w:pPr>
            <w:r>
              <w:rPr>
                <w:b/>
                <w:bCs/>
                <w:color w:val="FFFFFF"/>
                <w:sz w:val="20"/>
                <w:szCs w:val="20"/>
              </w:rPr>
              <w:t>Internet Service</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tcPr>
          <w:p w14:paraId="72E21C6E" w14:textId="77777777" w:rsidR="00B9432C" w:rsidRDefault="002E7E76">
            <w:pPr>
              <w:jc w:val="center"/>
            </w:pPr>
            <w:r>
              <w:rPr>
                <w:b/>
                <w:bCs/>
                <w:color w:val="FFFFFF"/>
                <w:sz w:val="20"/>
                <w:szCs w:val="20"/>
              </w:rPr>
              <w:t>Churn Tendency</w:t>
            </w:r>
          </w:p>
        </w:tc>
        <w:tc>
          <w:tcPr>
            <w:tcW w:w="47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tcPr>
          <w:p w14:paraId="72E21C6F" w14:textId="77777777" w:rsidR="00B9432C" w:rsidRDefault="002E7E76">
            <w:pPr>
              <w:jc w:val="center"/>
            </w:pPr>
            <w:r>
              <w:rPr>
                <w:b/>
                <w:bCs/>
                <w:color w:val="FFFFFF"/>
                <w:sz w:val="20"/>
                <w:szCs w:val="20"/>
              </w:rPr>
              <w:t>Observation</w:t>
            </w:r>
          </w:p>
        </w:tc>
      </w:tr>
      <w:tr w:rsidR="00B9432C" w14:paraId="72E21C74" w14:textId="77777777">
        <w:tc>
          <w:tcPr>
            <w:tcW w:w="26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71" w14:textId="77777777" w:rsidR="00B9432C" w:rsidRDefault="002E7E76">
            <w:pPr>
              <w:jc w:val="center"/>
            </w:pPr>
            <w:r>
              <w:rPr>
                <w:sz w:val="20"/>
                <w:szCs w:val="20"/>
              </w:rPr>
              <w:t>Fiber Optic</w:t>
            </w:r>
          </w:p>
        </w:tc>
        <w:tc>
          <w:tcPr>
            <w:tcW w:w="2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72" w14:textId="77777777" w:rsidR="00B9432C" w:rsidRDefault="002E7E76">
            <w:pPr>
              <w:jc w:val="center"/>
            </w:pPr>
            <w:r>
              <w:rPr>
                <w:sz w:val="20"/>
                <w:szCs w:val="20"/>
              </w:rPr>
              <w:t>High</w:t>
            </w:r>
          </w:p>
        </w:tc>
        <w:tc>
          <w:tcPr>
            <w:tcW w:w="476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73" w14:textId="77777777" w:rsidR="00B9432C" w:rsidRDefault="002E7E76">
            <w:pPr>
              <w:jc w:val="center"/>
            </w:pPr>
            <w:r>
              <w:rPr>
                <w:sz w:val="20"/>
                <w:szCs w:val="20"/>
              </w:rPr>
              <w:t>Highest churn segment — likely price/value perception issue</w:t>
            </w:r>
          </w:p>
        </w:tc>
      </w:tr>
      <w:tr w:rsidR="00B9432C" w14:paraId="72E21C78"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C75" w14:textId="77777777" w:rsidR="00B9432C" w:rsidRDefault="002E7E76">
            <w:pPr>
              <w:jc w:val="center"/>
            </w:pPr>
            <w:r>
              <w:rPr>
                <w:sz w:val="20"/>
                <w:szCs w:val="20"/>
              </w:rPr>
              <w:t>DSL</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C76" w14:textId="77777777" w:rsidR="00B9432C" w:rsidRDefault="002E7E76">
            <w:pPr>
              <w:jc w:val="center"/>
            </w:pPr>
            <w:r>
              <w:rPr>
                <w:sz w:val="20"/>
                <w:szCs w:val="20"/>
              </w:rPr>
              <w:t>Medium</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C77" w14:textId="77777777" w:rsidR="00B9432C" w:rsidRDefault="002E7E76">
            <w:pPr>
              <w:jc w:val="center"/>
            </w:pPr>
            <w:r>
              <w:rPr>
                <w:sz w:val="20"/>
                <w:szCs w:val="20"/>
              </w:rPr>
              <w:t>Moderate churn — more stable, lower-cost tier</w:t>
            </w:r>
          </w:p>
        </w:tc>
      </w:tr>
      <w:tr w:rsidR="00B9432C" w14:paraId="72E21C7C" w14:textId="77777777">
        <w:tc>
          <w:tcPr>
            <w:tcW w:w="26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79" w14:textId="77777777" w:rsidR="00B9432C" w:rsidRDefault="002E7E76">
            <w:pPr>
              <w:jc w:val="center"/>
            </w:pPr>
            <w:r>
              <w:rPr>
                <w:sz w:val="20"/>
                <w:szCs w:val="20"/>
              </w:rPr>
              <w:t>No Internet</w:t>
            </w:r>
          </w:p>
        </w:tc>
        <w:tc>
          <w:tcPr>
            <w:tcW w:w="2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7A" w14:textId="77777777" w:rsidR="00B9432C" w:rsidRDefault="002E7E76">
            <w:pPr>
              <w:jc w:val="center"/>
            </w:pPr>
            <w:r>
              <w:rPr>
                <w:sz w:val="20"/>
                <w:szCs w:val="20"/>
              </w:rPr>
              <w:t>Low</w:t>
            </w:r>
          </w:p>
        </w:tc>
        <w:tc>
          <w:tcPr>
            <w:tcW w:w="476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7B" w14:textId="77777777" w:rsidR="00B9432C" w:rsidRDefault="002E7E76">
            <w:pPr>
              <w:jc w:val="center"/>
            </w:pPr>
            <w:r>
              <w:rPr>
                <w:sz w:val="20"/>
                <w:szCs w:val="20"/>
              </w:rPr>
              <w:t>Lowest churn — basic service with minimal expectations</w:t>
            </w:r>
          </w:p>
        </w:tc>
      </w:tr>
    </w:tbl>
    <w:p w14:paraId="72E21C7D" w14:textId="77777777" w:rsidR="00B9432C" w:rsidRDefault="00B9432C">
      <w:pPr>
        <w:spacing w:after="80"/>
      </w:pPr>
    </w:p>
    <w:p w14:paraId="72E21C7E" w14:textId="77777777" w:rsidR="00B9432C" w:rsidRDefault="002E7E76">
      <w:pPr>
        <w:spacing w:before="60" w:after="80"/>
      </w:pPr>
      <w:r>
        <w:t>The high churn among Fiber Optic users is particularly concerning given that this is likely the premium, highest-revenue segment. Issues such as pricing expectations, service reliability, and perceived value for money warrant immediate investigation.</w:t>
      </w:r>
    </w:p>
    <w:p w14:paraId="72E21C7F" w14:textId="77777777" w:rsidR="00B9432C" w:rsidRDefault="002E7E76">
      <w:pPr>
        <w:spacing w:before="180" w:after="60"/>
      </w:pPr>
      <w:r>
        <w:rPr>
          <w:b/>
          <w:bCs/>
          <w:color w:val="2E75B6"/>
          <w:sz w:val="24"/>
          <w:szCs w:val="24"/>
        </w:rPr>
        <w:lastRenderedPageBreak/>
        <w:t>5.2 Add-On Services</w:t>
      </w:r>
    </w:p>
    <w:p w14:paraId="72E21C80" w14:textId="77777777" w:rsidR="00B9432C" w:rsidRDefault="002E7E76">
      <w:pPr>
        <w:spacing w:before="60" w:after="80"/>
      </w:pPr>
      <w:r>
        <w:t>Customers without value-added services such as Online Security, Tech Support, Online Backup, and Device Protection are more likely to churn. The absence of these services may indicate lower overall engagement with the platform. Proactively cross-selling protective and support services could increase customer stickiness and perceived value.</w:t>
      </w:r>
    </w:p>
    <w:p w14:paraId="72E21C81" w14:textId="77777777" w:rsidR="00B9432C" w:rsidRDefault="002E7E76">
      <w:pPr>
        <w:spacing w:before="180" w:after="60"/>
      </w:pPr>
      <w:r>
        <w:rPr>
          <w:b/>
          <w:bCs/>
          <w:color w:val="2E75B6"/>
          <w:sz w:val="24"/>
          <w:szCs w:val="24"/>
        </w:rPr>
        <w:t>5.3 Phone Service</w:t>
      </w:r>
    </w:p>
    <w:p w14:paraId="72E21C82" w14:textId="77777777" w:rsidR="00B9432C" w:rsidRDefault="002E7E76">
      <w:pPr>
        <w:spacing w:before="60" w:after="80"/>
      </w:pPr>
      <w:r>
        <w:t>Phone service is subscribed to by the majority of the customer base. Multiple Lines customers show a slightly different churn pattern, though the effect is less pronounced compared to internet service type.</w:t>
      </w:r>
    </w:p>
    <w:p w14:paraId="72E21C83" w14:textId="77777777" w:rsidR="00B9432C" w:rsidRDefault="00B9432C">
      <w:pPr>
        <w:spacing w:after="200"/>
      </w:pPr>
    </w:p>
    <w:p w14:paraId="72E21C84" w14:textId="77777777" w:rsidR="00B9432C" w:rsidRDefault="002E7E76">
      <w:pPr>
        <w:pBdr>
          <w:bottom w:val="single" w:sz="8" w:space="2" w:color="2E75B6"/>
        </w:pBdr>
        <w:spacing w:after="160"/>
      </w:pPr>
      <w:r>
        <w:rPr>
          <w:b/>
          <w:bCs/>
          <w:caps/>
          <w:color w:val="1F4E79"/>
          <w:sz w:val="28"/>
          <w:szCs w:val="28"/>
        </w:rPr>
        <w:t>6. Contract Type &amp; Billing Analysis</w:t>
      </w:r>
    </w:p>
    <w:p w14:paraId="72E21C85" w14:textId="77777777" w:rsidR="00B9432C" w:rsidRDefault="002E7E76">
      <w:pPr>
        <w:spacing w:before="180" w:after="60"/>
      </w:pPr>
      <w:r>
        <w:rPr>
          <w:b/>
          <w:bCs/>
          <w:color w:val="2E75B6"/>
          <w:sz w:val="24"/>
          <w:szCs w:val="24"/>
        </w:rPr>
        <w:t>6.1 Contract Type — Dominant Churn Driver</w:t>
      </w:r>
    </w:p>
    <w:p w14:paraId="72E21C86" w14:textId="77777777" w:rsidR="00B9432C" w:rsidRDefault="002E7E76">
      <w:pPr>
        <w:spacing w:before="60" w:after="80"/>
      </w:pPr>
      <w:r>
        <w:t>Contract type is the single strongest predictor of churn identified in this analysis. Month-to-month customers demonstrate the highest and most concentrated churn, while customers on annual or two-year contracts show markedly lower attrition.</w:t>
      </w:r>
    </w:p>
    <w:p w14:paraId="72E21C87" w14:textId="77777777" w:rsidR="00B9432C" w:rsidRDefault="00B9432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60"/>
        <w:gridCol w:w="5000"/>
      </w:tblGrid>
      <w:tr w:rsidR="00B9432C" w14:paraId="72E21C8B" w14:textId="77777777">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tcPr>
          <w:p w14:paraId="72E21C88" w14:textId="77777777" w:rsidR="00B9432C" w:rsidRDefault="002E7E76">
            <w:pPr>
              <w:jc w:val="center"/>
            </w:pPr>
            <w:r>
              <w:rPr>
                <w:b/>
                <w:bCs/>
                <w:color w:val="FFFFFF"/>
                <w:sz w:val="20"/>
                <w:szCs w:val="20"/>
              </w:rPr>
              <w:t>Contract Type</w:t>
            </w:r>
          </w:p>
        </w:tc>
        <w:tc>
          <w:tcPr>
            <w:tcW w:w="18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tcPr>
          <w:p w14:paraId="72E21C89" w14:textId="77777777" w:rsidR="00B9432C" w:rsidRDefault="002E7E76">
            <w:pPr>
              <w:jc w:val="center"/>
            </w:pPr>
            <w:r>
              <w:rPr>
                <w:b/>
                <w:bCs/>
                <w:color w:val="FFFFFF"/>
                <w:sz w:val="20"/>
                <w:szCs w:val="20"/>
              </w:rPr>
              <w:t>Churn Level</w:t>
            </w:r>
          </w:p>
        </w:tc>
        <w:tc>
          <w:tcPr>
            <w:tcW w:w="5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tcPr>
          <w:p w14:paraId="72E21C8A" w14:textId="77777777" w:rsidR="00B9432C" w:rsidRDefault="002E7E76">
            <w:pPr>
              <w:jc w:val="center"/>
            </w:pPr>
            <w:r>
              <w:rPr>
                <w:b/>
                <w:bCs/>
                <w:color w:val="FFFFFF"/>
                <w:sz w:val="20"/>
                <w:szCs w:val="20"/>
              </w:rPr>
              <w:t>Implication</w:t>
            </w:r>
          </w:p>
        </w:tc>
      </w:tr>
      <w:tr w:rsidR="00B9432C" w14:paraId="72E21C8F" w14:textId="77777777">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8C" w14:textId="77777777" w:rsidR="00B9432C" w:rsidRDefault="002E7E76">
            <w:pPr>
              <w:jc w:val="center"/>
            </w:pPr>
            <w:r>
              <w:rPr>
                <w:sz w:val="20"/>
                <w:szCs w:val="20"/>
              </w:rPr>
              <w:t>Month-to-Month</w:t>
            </w:r>
          </w:p>
        </w:tc>
        <w:tc>
          <w:tcPr>
            <w:tcW w:w="186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8D" w14:textId="77777777" w:rsidR="00B9432C" w:rsidRDefault="002E7E76">
            <w:pPr>
              <w:jc w:val="center"/>
            </w:pPr>
            <w:r>
              <w:rPr>
                <w:sz w:val="20"/>
                <w:szCs w:val="20"/>
              </w:rPr>
              <w:t>Very High</w:t>
            </w:r>
          </w:p>
        </w:tc>
        <w:tc>
          <w:tcPr>
            <w:tcW w:w="5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8E" w14:textId="77777777" w:rsidR="00B9432C" w:rsidRDefault="002E7E76">
            <w:pPr>
              <w:jc w:val="center"/>
            </w:pPr>
            <w:r>
              <w:rPr>
                <w:sz w:val="20"/>
                <w:szCs w:val="20"/>
              </w:rPr>
              <w:t>Low switching cost — highest priority for lock-in strategies</w:t>
            </w:r>
          </w:p>
        </w:tc>
      </w:tr>
      <w:tr w:rsidR="00B9432C" w14:paraId="72E21C93" w14:textId="77777777">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C90" w14:textId="77777777" w:rsidR="00B9432C" w:rsidRDefault="002E7E76">
            <w:pPr>
              <w:jc w:val="center"/>
            </w:pPr>
            <w:r>
              <w:rPr>
                <w:sz w:val="20"/>
                <w:szCs w:val="20"/>
              </w:rPr>
              <w:t>One Year</w:t>
            </w:r>
          </w:p>
        </w:tc>
        <w:tc>
          <w:tcPr>
            <w:tcW w:w="1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C91" w14:textId="77777777" w:rsidR="00B9432C" w:rsidRDefault="002E7E76">
            <w:pPr>
              <w:jc w:val="center"/>
            </w:pPr>
            <w:r>
              <w:rPr>
                <w:sz w:val="20"/>
                <w:szCs w:val="20"/>
              </w:rPr>
              <w:t>Low</w:t>
            </w:r>
          </w:p>
        </w:tc>
        <w:tc>
          <w:tcPr>
            <w:tcW w:w="5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C92" w14:textId="77777777" w:rsidR="00B9432C" w:rsidRDefault="002E7E76">
            <w:pPr>
              <w:jc w:val="center"/>
            </w:pPr>
            <w:r>
              <w:rPr>
                <w:sz w:val="20"/>
                <w:szCs w:val="20"/>
              </w:rPr>
              <w:t>Moderate commitment — encourage upgrade to two-year</w:t>
            </w:r>
          </w:p>
        </w:tc>
      </w:tr>
      <w:tr w:rsidR="00B9432C" w14:paraId="72E21C97" w14:textId="77777777">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94" w14:textId="77777777" w:rsidR="00B9432C" w:rsidRDefault="002E7E76">
            <w:pPr>
              <w:jc w:val="center"/>
            </w:pPr>
            <w:r>
              <w:rPr>
                <w:sz w:val="20"/>
                <w:szCs w:val="20"/>
              </w:rPr>
              <w:t>Two Year</w:t>
            </w:r>
          </w:p>
        </w:tc>
        <w:tc>
          <w:tcPr>
            <w:tcW w:w="186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95" w14:textId="77777777" w:rsidR="00B9432C" w:rsidRDefault="002E7E76">
            <w:pPr>
              <w:jc w:val="center"/>
            </w:pPr>
            <w:r>
              <w:rPr>
                <w:sz w:val="20"/>
                <w:szCs w:val="20"/>
              </w:rPr>
              <w:t>Very Low</w:t>
            </w:r>
          </w:p>
        </w:tc>
        <w:tc>
          <w:tcPr>
            <w:tcW w:w="5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96" w14:textId="77777777" w:rsidR="00B9432C" w:rsidRDefault="002E7E76">
            <w:pPr>
              <w:jc w:val="center"/>
            </w:pPr>
            <w:r>
              <w:rPr>
                <w:sz w:val="20"/>
                <w:szCs w:val="20"/>
              </w:rPr>
              <w:t>Highest loyalty — benchmark for contract migration targets</w:t>
            </w:r>
          </w:p>
        </w:tc>
      </w:tr>
    </w:tbl>
    <w:p w14:paraId="72E21C98" w14:textId="77777777" w:rsidR="00B9432C" w:rsidRDefault="00B9432C">
      <w:pPr>
        <w:spacing w:after="80"/>
      </w:pPr>
    </w:p>
    <w:p w14:paraId="72E21C99" w14:textId="77777777" w:rsidR="00B9432C" w:rsidRDefault="002E7E76">
      <w:pPr>
        <w:spacing w:before="60" w:after="80"/>
      </w:pPr>
      <w:r>
        <w:t>Month-to-month customers face minimal friction to switch providers. Incentivising migration to longer-term contracts through discounts, loyalty benefits, or service bundles is likely to be the most impactful single intervention to reduce churn.</w:t>
      </w:r>
    </w:p>
    <w:p w14:paraId="72E21C9A" w14:textId="77777777" w:rsidR="00B9432C" w:rsidRDefault="002E7E76">
      <w:pPr>
        <w:spacing w:before="180" w:after="60"/>
      </w:pPr>
      <w:r>
        <w:rPr>
          <w:b/>
          <w:bCs/>
          <w:color w:val="2E75B6"/>
          <w:sz w:val="24"/>
          <w:szCs w:val="24"/>
        </w:rPr>
        <w:t>6.2 Payment Method</w:t>
      </w:r>
    </w:p>
    <w:p w14:paraId="72E21C9B" w14:textId="77777777" w:rsidR="00B9432C" w:rsidRDefault="002E7E76">
      <w:pPr>
        <w:spacing w:before="60" w:after="80"/>
      </w:pPr>
      <w:r>
        <w:t>Electronic Check is the payment method most associated with customer churn. Customers paying via automatic methods (Bank Transfer or Credit Card) show significantly lower churn, suggesting that auto-payment adoption correlates with greater customer engagement and reduced likelihood of lapse.</w:t>
      </w:r>
    </w:p>
    <w:p w14:paraId="72E21C9C" w14:textId="77777777" w:rsidR="00B9432C" w:rsidRDefault="00B9432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60"/>
        <w:gridCol w:w="4200"/>
      </w:tblGrid>
      <w:tr w:rsidR="00B9432C" w14:paraId="72E21CA0" w14:textId="77777777">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tcPr>
          <w:p w14:paraId="72E21C9D" w14:textId="77777777" w:rsidR="00B9432C" w:rsidRDefault="002E7E76">
            <w:pPr>
              <w:jc w:val="center"/>
            </w:pPr>
            <w:r>
              <w:rPr>
                <w:b/>
                <w:bCs/>
                <w:color w:val="FFFFFF"/>
                <w:sz w:val="20"/>
                <w:szCs w:val="20"/>
              </w:rPr>
              <w:t>Payment Method</w:t>
            </w:r>
          </w:p>
        </w:tc>
        <w:tc>
          <w:tcPr>
            <w:tcW w:w="19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tcPr>
          <w:p w14:paraId="72E21C9E" w14:textId="77777777" w:rsidR="00B9432C" w:rsidRDefault="002E7E76">
            <w:pPr>
              <w:jc w:val="center"/>
            </w:pPr>
            <w:r>
              <w:rPr>
                <w:b/>
                <w:bCs/>
                <w:color w:val="FFFFFF"/>
                <w:sz w:val="20"/>
                <w:szCs w:val="20"/>
              </w:rPr>
              <w:t>Churn Tendency</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tcPr>
          <w:p w14:paraId="72E21C9F" w14:textId="77777777" w:rsidR="00B9432C" w:rsidRDefault="002E7E76">
            <w:pPr>
              <w:jc w:val="center"/>
            </w:pPr>
            <w:r>
              <w:rPr>
                <w:b/>
                <w:bCs/>
                <w:color w:val="FFFFFF"/>
                <w:sz w:val="20"/>
                <w:szCs w:val="20"/>
              </w:rPr>
              <w:t>Note</w:t>
            </w:r>
          </w:p>
        </w:tc>
      </w:tr>
      <w:tr w:rsidR="00B9432C" w14:paraId="72E21CA4" w14:textId="77777777">
        <w:tc>
          <w:tcPr>
            <w:tcW w:w="3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A1" w14:textId="77777777" w:rsidR="00B9432C" w:rsidRDefault="002E7E76">
            <w:pPr>
              <w:jc w:val="center"/>
            </w:pPr>
            <w:r>
              <w:rPr>
                <w:sz w:val="20"/>
                <w:szCs w:val="20"/>
              </w:rPr>
              <w:t>Electronic Check</w:t>
            </w:r>
          </w:p>
        </w:tc>
        <w:tc>
          <w:tcPr>
            <w:tcW w:w="196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A2" w14:textId="77777777" w:rsidR="00B9432C" w:rsidRDefault="002E7E76">
            <w:pPr>
              <w:jc w:val="center"/>
            </w:pPr>
            <w:r>
              <w:rPr>
                <w:sz w:val="20"/>
                <w:szCs w:val="20"/>
              </w:rPr>
              <w:t>High</w:t>
            </w:r>
          </w:p>
        </w:tc>
        <w:tc>
          <w:tcPr>
            <w:tcW w:w="4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A3" w14:textId="77777777" w:rsidR="00B9432C" w:rsidRDefault="002E7E76">
            <w:pPr>
              <w:jc w:val="center"/>
            </w:pPr>
            <w:r>
              <w:rPr>
                <w:sz w:val="20"/>
                <w:szCs w:val="20"/>
              </w:rPr>
              <w:t>Highest churn — manual, low-friction exit path</w:t>
            </w:r>
          </w:p>
        </w:tc>
      </w:tr>
      <w:tr w:rsidR="00B9432C" w14:paraId="72E21CA8"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CA5" w14:textId="77777777" w:rsidR="00B9432C" w:rsidRDefault="002E7E76">
            <w:pPr>
              <w:jc w:val="center"/>
            </w:pPr>
            <w:r>
              <w:rPr>
                <w:sz w:val="20"/>
                <w:szCs w:val="20"/>
              </w:rPr>
              <w:t>Mailed Check</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CA6" w14:textId="77777777" w:rsidR="00B9432C" w:rsidRDefault="002E7E76">
            <w:pPr>
              <w:jc w:val="center"/>
            </w:pPr>
            <w:r>
              <w:rPr>
                <w:sz w:val="20"/>
                <w:szCs w:val="20"/>
              </w:rPr>
              <w:t>Medium</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CA7" w14:textId="77777777" w:rsidR="00B9432C" w:rsidRDefault="002E7E76">
            <w:pPr>
              <w:jc w:val="center"/>
            </w:pPr>
            <w:r>
              <w:rPr>
                <w:sz w:val="20"/>
                <w:szCs w:val="20"/>
              </w:rPr>
              <w:t>Moderate churn</w:t>
            </w:r>
          </w:p>
        </w:tc>
      </w:tr>
      <w:tr w:rsidR="00B9432C" w14:paraId="72E21CAC" w14:textId="77777777">
        <w:tc>
          <w:tcPr>
            <w:tcW w:w="3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A9" w14:textId="77777777" w:rsidR="00B9432C" w:rsidRDefault="002E7E76">
            <w:pPr>
              <w:jc w:val="center"/>
            </w:pPr>
            <w:r>
              <w:rPr>
                <w:sz w:val="20"/>
                <w:szCs w:val="20"/>
              </w:rPr>
              <w:t>Bank Transfer (Auto)</w:t>
            </w:r>
          </w:p>
        </w:tc>
        <w:tc>
          <w:tcPr>
            <w:tcW w:w="196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AA" w14:textId="77777777" w:rsidR="00B9432C" w:rsidRDefault="002E7E76">
            <w:pPr>
              <w:jc w:val="center"/>
            </w:pPr>
            <w:r>
              <w:rPr>
                <w:sz w:val="20"/>
                <w:szCs w:val="20"/>
              </w:rPr>
              <w:t>Low</w:t>
            </w:r>
          </w:p>
        </w:tc>
        <w:tc>
          <w:tcPr>
            <w:tcW w:w="4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AB" w14:textId="77777777" w:rsidR="00B9432C" w:rsidRDefault="002E7E76">
            <w:pPr>
              <w:jc w:val="center"/>
            </w:pPr>
            <w:r>
              <w:rPr>
                <w:sz w:val="20"/>
                <w:szCs w:val="20"/>
              </w:rPr>
              <w:t>Auto-pay</w:t>
            </w:r>
            <w:r>
              <w:rPr>
                <w:sz w:val="20"/>
                <w:szCs w:val="20"/>
              </w:rPr>
              <w:t xml:space="preserve"> correlates with retention</w:t>
            </w:r>
          </w:p>
        </w:tc>
      </w:tr>
      <w:tr w:rsidR="00B9432C" w14:paraId="72E21CB0"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CAD" w14:textId="77777777" w:rsidR="00B9432C" w:rsidRDefault="002E7E76">
            <w:pPr>
              <w:jc w:val="center"/>
            </w:pPr>
            <w:r>
              <w:rPr>
                <w:sz w:val="20"/>
                <w:szCs w:val="20"/>
              </w:rPr>
              <w:t>Credit Card (Auto)</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CAE" w14:textId="77777777" w:rsidR="00B9432C" w:rsidRDefault="002E7E76">
            <w:pPr>
              <w:jc w:val="center"/>
            </w:pPr>
            <w:r>
              <w:rPr>
                <w:sz w:val="20"/>
                <w:szCs w:val="20"/>
              </w:rPr>
              <w:t>Low</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CAF" w14:textId="77777777" w:rsidR="00B9432C" w:rsidRDefault="002E7E76">
            <w:pPr>
              <w:jc w:val="center"/>
            </w:pPr>
            <w:r>
              <w:rPr>
                <w:sz w:val="20"/>
                <w:szCs w:val="20"/>
              </w:rPr>
              <w:t>Auto-pay correlates with retention</w:t>
            </w:r>
          </w:p>
        </w:tc>
      </w:tr>
    </w:tbl>
    <w:p w14:paraId="72E21CB1" w14:textId="77777777" w:rsidR="00B9432C" w:rsidRDefault="00B9432C">
      <w:pPr>
        <w:spacing w:after="80"/>
      </w:pPr>
    </w:p>
    <w:p w14:paraId="72E21CB2" w14:textId="77777777" w:rsidR="00B9432C" w:rsidRDefault="002E7E76">
      <w:pPr>
        <w:spacing w:before="60" w:after="80"/>
      </w:pPr>
      <w:r>
        <w:t>Encouraging customers — particularly Month-to-month contract holders — to switch to automatic payment methods may serve as a low-cost, high-impact retention lever.</w:t>
      </w:r>
    </w:p>
    <w:p w14:paraId="72E21CB3" w14:textId="77777777" w:rsidR="00B9432C" w:rsidRDefault="002E7E76">
      <w:pPr>
        <w:spacing w:before="180" w:after="60"/>
      </w:pPr>
      <w:r>
        <w:rPr>
          <w:b/>
          <w:bCs/>
          <w:color w:val="2E75B6"/>
          <w:sz w:val="24"/>
          <w:szCs w:val="24"/>
        </w:rPr>
        <w:lastRenderedPageBreak/>
        <w:t>6.3 Paperless Billing</w:t>
      </w:r>
    </w:p>
    <w:p w14:paraId="72E21CB4" w14:textId="77777777" w:rsidR="00B9432C" w:rsidRDefault="002E7E76">
      <w:pPr>
        <w:spacing w:before="60" w:after="80"/>
      </w:pPr>
      <w:r>
        <w:t>Customers enrolled in paperless billing show a higher churn rate than those receiving paper bills. While paperless billing is a cost-saving measure for the business, it may also correlate with lower engagement among certain customer groups. Additional investigation is warranted.</w:t>
      </w:r>
    </w:p>
    <w:p w14:paraId="72E21CB5" w14:textId="77777777" w:rsidR="00B9432C" w:rsidRDefault="00B9432C">
      <w:pPr>
        <w:spacing w:after="200"/>
      </w:pPr>
    </w:p>
    <w:p w14:paraId="72E21CB6" w14:textId="77777777" w:rsidR="00B9432C" w:rsidRDefault="002E7E76">
      <w:pPr>
        <w:pBdr>
          <w:bottom w:val="single" w:sz="8" w:space="2" w:color="2E75B6"/>
        </w:pBdr>
        <w:spacing w:after="160"/>
      </w:pPr>
      <w:r>
        <w:rPr>
          <w:b/>
          <w:bCs/>
          <w:caps/>
          <w:color w:val="1F4E79"/>
          <w:sz w:val="28"/>
          <w:szCs w:val="28"/>
        </w:rPr>
        <w:t>7. Tenure &amp; Revenue Analysis</w:t>
      </w:r>
    </w:p>
    <w:p w14:paraId="72E21CB7" w14:textId="77777777" w:rsidR="00B9432C" w:rsidRDefault="002E7E76">
      <w:pPr>
        <w:spacing w:before="180" w:after="60"/>
      </w:pPr>
      <w:r>
        <w:rPr>
          <w:b/>
          <w:bCs/>
          <w:color w:val="2E75B6"/>
          <w:sz w:val="24"/>
          <w:szCs w:val="24"/>
        </w:rPr>
        <w:t>7.1 Customer Tenure</w:t>
      </w:r>
    </w:p>
    <w:p w14:paraId="72E21CB8" w14:textId="77777777" w:rsidR="00B9432C" w:rsidRDefault="002E7E76">
      <w:pPr>
        <w:spacing w:before="60" w:after="80"/>
      </w:pPr>
      <w:r>
        <w:t>Churn is heavily concentrated among new customers. Customers with short tenure (0–12 months) have the highest churn probability, and churn declines significantly as tenure increases. Long-tenured customers (over 48 months) are substantially more loyal.</w:t>
      </w:r>
    </w:p>
    <w:p w14:paraId="72E21CB9" w14:textId="77777777" w:rsidR="00B9432C" w:rsidRDefault="00B9432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60"/>
        <w:gridCol w:w="5000"/>
      </w:tblGrid>
      <w:tr w:rsidR="00B9432C" w14:paraId="72E21CBD" w14:textId="77777777">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tcPr>
          <w:p w14:paraId="72E21CBA" w14:textId="77777777" w:rsidR="00B9432C" w:rsidRDefault="002E7E76">
            <w:pPr>
              <w:jc w:val="center"/>
            </w:pPr>
            <w:r>
              <w:rPr>
                <w:b/>
                <w:bCs/>
                <w:color w:val="FFFFFF"/>
                <w:sz w:val="20"/>
                <w:szCs w:val="20"/>
              </w:rPr>
              <w:t>Tenure Band</w:t>
            </w:r>
          </w:p>
        </w:tc>
        <w:tc>
          <w:tcPr>
            <w:tcW w:w="18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tcPr>
          <w:p w14:paraId="72E21CBB" w14:textId="77777777" w:rsidR="00B9432C" w:rsidRDefault="002E7E76">
            <w:pPr>
              <w:jc w:val="center"/>
            </w:pPr>
            <w:r>
              <w:rPr>
                <w:b/>
                <w:bCs/>
                <w:color w:val="FFFFFF"/>
                <w:sz w:val="20"/>
                <w:szCs w:val="20"/>
              </w:rPr>
              <w:t>Churn Risk</w:t>
            </w:r>
          </w:p>
        </w:tc>
        <w:tc>
          <w:tcPr>
            <w:tcW w:w="5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tcPr>
          <w:p w14:paraId="72E21CBC" w14:textId="77777777" w:rsidR="00B9432C" w:rsidRDefault="002E7E76">
            <w:pPr>
              <w:jc w:val="center"/>
            </w:pPr>
            <w:r>
              <w:rPr>
                <w:b/>
                <w:bCs/>
                <w:color w:val="FFFFFF"/>
                <w:sz w:val="20"/>
                <w:szCs w:val="20"/>
              </w:rPr>
              <w:t>Revenue Priority</w:t>
            </w:r>
          </w:p>
        </w:tc>
      </w:tr>
      <w:tr w:rsidR="00B9432C" w14:paraId="72E21CC1" w14:textId="77777777">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BE" w14:textId="77777777" w:rsidR="00B9432C" w:rsidRDefault="002E7E76">
            <w:pPr>
              <w:jc w:val="center"/>
            </w:pPr>
            <w:r>
              <w:rPr>
                <w:sz w:val="20"/>
                <w:szCs w:val="20"/>
              </w:rPr>
              <w:t>0–12 months</w:t>
            </w:r>
          </w:p>
        </w:tc>
        <w:tc>
          <w:tcPr>
            <w:tcW w:w="186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BF" w14:textId="77777777" w:rsidR="00B9432C" w:rsidRDefault="002E7E76">
            <w:pPr>
              <w:jc w:val="center"/>
            </w:pPr>
            <w:r>
              <w:rPr>
                <w:sz w:val="20"/>
                <w:szCs w:val="20"/>
              </w:rPr>
              <w:t>Very High</w:t>
            </w:r>
          </w:p>
        </w:tc>
        <w:tc>
          <w:tcPr>
            <w:tcW w:w="5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C0" w14:textId="77777777" w:rsidR="00B9432C" w:rsidRDefault="002E7E76">
            <w:pPr>
              <w:jc w:val="center"/>
            </w:pPr>
            <w:r>
              <w:rPr>
                <w:sz w:val="20"/>
                <w:szCs w:val="20"/>
              </w:rPr>
              <w:t>Critical — onboarding &amp; early retention focus</w:t>
            </w:r>
          </w:p>
        </w:tc>
      </w:tr>
      <w:tr w:rsidR="00B9432C" w14:paraId="72E21CC5" w14:textId="77777777">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CC2" w14:textId="77777777" w:rsidR="00B9432C" w:rsidRDefault="002E7E76">
            <w:pPr>
              <w:jc w:val="center"/>
            </w:pPr>
            <w:r>
              <w:rPr>
                <w:sz w:val="20"/>
                <w:szCs w:val="20"/>
              </w:rPr>
              <w:t>13–24 months</w:t>
            </w:r>
          </w:p>
        </w:tc>
        <w:tc>
          <w:tcPr>
            <w:tcW w:w="1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CC3" w14:textId="77777777" w:rsidR="00B9432C" w:rsidRDefault="002E7E76">
            <w:pPr>
              <w:jc w:val="center"/>
            </w:pPr>
            <w:r>
              <w:rPr>
                <w:sz w:val="20"/>
                <w:szCs w:val="20"/>
              </w:rPr>
              <w:t>High</w:t>
            </w:r>
          </w:p>
        </w:tc>
        <w:tc>
          <w:tcPr>
            <w:tcW w:w="5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CC4" w14:textId="77777777" w:rsidR="00B9432C" w:rsidRDefault="002E7E76">
            <w:pPr>
              <w:jc w:val="center"/>
            </w:pPr>
            <w:r>
              <w:rPr>
                <w:sz w:val="20"/>
                <w:szCs w:val="20"/>
              </w:rPr>
              <w:t>Key retention window</w:t>
            </w:r>
          </w:p>
        </w:tc>
      </w:tr>
      <w:tr w:rsidR="00B9432C" w14:paraId="72E21CC9" w14:textId="77777777">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C6" w14:textId="77777777" w:rsidR="00B9432C" w:rsidRDefault="002E7E76">
            <w:pPr>
              <w:jc w:val="center"/>
            </w:pPr>
            <w:r>
              <w:rPr>
                <w:sz w:val="20"/>
                <w:szCs w:val="20"/>
              </w:rPr>
              <w:t>25–48 months</w:t>
            </w:r>
          </w:p>
        </w:tc>
        <w:tc>
          <w:tcPr>
            <w:tcW w:w="186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C7" w14:textId="77777777" w:rsidR="00B9432C" w:rsidRDefault="002E7E76">
            <w:pPr>
              <w:jc w:val="center"/>
            </w:pPr>
            <w:r>
              <w:rPr>
                <w:sz w:val="20"/>
                <w:szCs w:val="20"/>
              </w:rPr>
              <w:t>Medium</w:t>
            </w:r>
          </w:p>
        </w:tc>
        <w:tc>
          <w:tcPr>
            <w:tcW w:w="5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C8" w14:textId="77777777" w:rsidR="00B9432C" w:rsidRDefault="002E7E76">
            <w:pPr>
              <w:jc w:val="center"/>
            </w:pPr>
            <w:r>
              <w:rPr>
                <w:sz w:val="20"/>
                <w:szCs w:val="20"/>
              </w:rPr>
              <w:t>Consolidation phase</w:t>
            </w:r>
          </w:p>
        </w:tc>
      </w:tr>
      <w:tr w:rsidR="00B9432C" w14:paraId="72E21CCD" w14:textId="77777777">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CCA" w14:textId="77777777" w:rsidR="00B9432C" w:rsidRDefault="002E7E76">
            <w:pPr>
              <w:jc w:val="center"/>
            </w:pPr>
            <w:r>
              <w:rPr>
                <w:sz w:val="20"/>
                <w:szCs w:val="20"/>
              </w:rPr>
              <w:t>49–72 months</w:t>
            </w:r>
          </w:p>
        </w:tc>
        <w:tc>
          <w:tcPr>
            <w:tcW w:w="1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CCB" w14:textId="77777777" w:rsidR="00B9432C" w:rsidRDefault="002E7E76">
            <w:pPr>
              <w:jc w:val="center"/>
            </w:pPr>
            <w:r>
              <w:rPr>
                <w:sz w:val="20"/>
                <w:szCs w:val="20"/>
              </w:rPr>
              <w:t>Low</w:t>
            </w:r>
          </w:p>
        </w:tc>
        <w:tc>
          <w:tcPr>
            <w:tcW w:w="5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CCC" w14:textId="77777777" w:rsidR="00B9432C" w:rsidRDefault="002E7E76">
            <w:pPr>
              <w:jc w:val="center"/>
            </w:pPr>
            <w:r>
              <w:rPr>
                <w:sz w:val="20"/>
                <w:szCs w:val="20"/>
              </w:rPr>
              <w:t>High loyalty — upsell &amp; advocacy opportunity</w:t>
            </w:r>
          </w:p>
        </w:tc>
      </w:tr>
    </w:tbl>
    <w:p w14:paraId="72E21CCE" w14:textId="77777777" w:rsidR="00B9432C" w:rsidRDefault="00B9432C">
      <w:pPr>
        <w:spacing w:after="80"/>
      </w:pPr>
    </w:p>
    <w:p w14:paraId="72E21CCF" w14:textId="77777777" w:rsidR="00B9432C" w:rsidRDefault="002E7E76">
      <w:pPr>
        <w:spacing w:before="60" w:after="80"/>
      </w:pPr>
      <w:r>
        <w:t>Investing in robust onboarding experiences, proactive</w:t>
      </w:r>
      <w:r>
        <w:t xml:space="preserve"> check-ins within the first 12 months, and early contract upgrade incentives could substantially reduce the highest-risk churn cohort.</w:t>
      </w:r>
    </w:p>
    <w:p w14:paraId="72E21CD0" w14:textId="77777777" w:rsidR="00B9432C" w:rsidRDefault="002E7E76">
      <w:pPr>
        <w:spacing w:before="180" w:after="60"/>
      </w:pPr>
      <w:r>
        <w:rPr>
          <w:b/>
          <w:bCs/>
          <w:color w:val="2E75B6"/>
          <w:sz w:val="24"/>
          <w:szCs w:val="24"/>
        </w:rPr>
        <w:t>7.2 Charge Summary</w:t>
      </w:r>
    </w:p>
    <w:p w14:paraId="72E21CD1" w14:textId="77777777" w:rsidR="00B9432C" w:rsidRDefault="002E7E76">
      <w:pPr>
        <w:spacing w:before="60" w:after="80"/>
      </w:pPr>
      <w:r>
        <w:t>The following table summarises the distribution of billing metrics across the customer base:</w:t>
      </w:r>
    </w:p>
    <w:p w14:paraId="72E21CD2" w14:textId="77777777" w:rsidR="00B9432C" w:rsidRDefault="00B9432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40"/>
        <w:gridCol w:w="1740"/>
        <w:gridCol w:w="1740"/>
        <w:gridCol w:w="1740"/>
      </w:tblGrid>
      <w:tr w:rsidR="00B9432C" w14:paraId="72E21CD8" w14:textId="77777777">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tcPr>
          <w:p w14:paraId="72E21CD3" w14:textId="77777777" w:rsidR="00B9432C" w:rsidRDefault="002E7E76">
            <w:pPr>
              <w:jc w:val="center"/>
            </w:pPr>
            <w:r>
              <w:rPr>
                <w:b/>
                <w:bCs/>
                <w:color w:val="FFFFFF"/>
                <w:sz w:val="20"/>
                <w:szCs w:val="20"/>
              </w:rPr>
              <w:t>Metric</w:t>
            </w:r>
          </w:p>
        </w:tc>
        <w:tc>
          <w:tcPr>
            <w:tcW w:w="17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tcPr>
          <w:p w14:paraId="72E21CD4" w14:textId="77777777" w:rsidR="00B9432C" w:rsidRDefault="002E7E76">
            <w:pPr>
              <w:jc w:val="center"/>
            </w:pPr>
            <w:r>
              <w:rPr>
                <w:b/>
                <w:bCs/>
                <w:color w:val="FFFFFF"/>
                <w:sz w:val="20"/>
                <w:szCs w:val="20"/>
              </w:rPr>
              <w:t>Mean</w:t>
            </w:r>
          </w:p>
        </w:tc>
        <w:tc>
          <w:tcPr>
            <w:tcW w:w="17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tcPr>
          <w:p w14:paraId="72E21CD5" w14:textId="77777777" w:rsidR="00B9432C" w:rsidRDefault="002E7E76">
            <w:pPr>
              <w:jc w:val="center"/>
            </w:pPr>
            <w:r>
              <w:rPr>
                <w:b/>
                <w:bCs/>
                <w:color w:val="FFFFFF"/>
                <w:sz w:val="20"/>
                <w:szCs w:val="20"/>
              </w:rPr>
              <w:t>Median (50th pct)</w:t>
            </w:r>
          </w:p>
        </w:tc>
        <w:tc>
          <w:tcPr>
            <w:tcW w:w="17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tcPr>
          <w:p w14:paraId="72E21CD6" w14:textId="77777777" w:rsidR="00B9432C" w:rsidRDefault="002E7E76">
            <w:pPr>
              <w:jc w:val="center"/>
            </w:pPr>
            <w:r>
              <w:rPr>
                <w:b/>
                <w:bCs/>
                <w:color w:val="FFFFFF"/>
                <w:sz w:val="20"/>
                <w:szCs w:val="20"/>
              </w:rPr>
              <w:t>Min</w:t>
            </w:r>
          </w:p>
        </w:tc>
        <w:tc>
          <w:tcPr>
            <w:tcW w:w="17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tcPr>
          <w:p w14:paraId="72E21CD7" w14:textId="77777777" w:rsidR="00B9432C" w:rsidRDefault="002E7E76">
            <w:pPr>
              <w:jc w:val="center"/>
            </w:pPr>
            <w:r>
              <w:rPr>
                <w:b/>
                <w:bCs/>
                <w:color w:val="FFFFFF"/>
                <w:sz w:val="20"/>
                <w:szCs w:val="20"/>
              </w:rPr>
              <w:t>Max</w:t>
            </w:r>
          </w:p>
        </w:tc>
      </w:tr>
      <w:tr w:rsidR="00B9432C" w14:paraId="72E21CDE"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D9" w14:textId="77777777" w:rsidR="00B9432C" w:rsidRDefault="002E7E76">
            <w:pPr>
              <w:jc w:val="center"/>
            </w:pPr>
            <w:r>
              <w:rPr>
                <w:sz w:val="20"/>
                <w:szCs w:val="20"/>
              </w:rPr>
              <w:t>Monthly Charges ($)</w:t>
            </w:r>
          </w:p>
        </w:tc>
        <w:tc>
          <w:tcPr>
            <w:tcW w:w="174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DA" w14:textId="77777777" w:rsidR="00B9432C" w:rsidRDefault="002E7E76">
            <w:pPr>
              <w:jc w:val="center"/>
            </w:pPr>
            <w:r>
              <w:rPr>
                <w:sz w:val="20"/>
                <w:szCs w:val="20"/>
              </w:rPr>
              <w:t>$64.76</w:t>
            </w:r>
          </w:p>
        </w:tc>
        <w:tc>
          <w:tcPr>
            <w:tcW w:w="174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DB" w14:textId="77777777" w:rsidR="00B9432C" w:rsidRDefault="002E7E76">
            <w:pPr>
              <w:jc w:val="center"/>
            </w:pPr>
            <w:r>
              <w:rPr>
                <w:sz w:val="20"/>
                <w:szCs w:val="20"/>
              </w:rPr>
              <w:t>$70.35</w:t>
            </w:r>
          </w:p>
        </w:tc>
        <w:tc>
          <w:tcPr>
            <w:tcW w:w="174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DC" w14:textId="77777777" w:rsidR="00B9432C" w:rsidRDefault="002E7E76">
            <w:pPr>
              <w:jc w:val="center"/>
            </w:pPr>
            <w:r>
              <w:rPr>
                <w:sz w:val="20"/>
                <w:szCs w:val="20"/>
              </w:rPr>
              <w:t>$18.25</w:t>
            </w:r>
          </w:p>
        </w:tc>
        <w:tc>
          <w:tcPr>
            <w:tcW w:w="174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DD" w14:textId="77777777" w:rsidR="00B9432C" w:rsidRDefault="002E7E76">
            <w:pPr>
              <w:jc w:val="center"/>
            </w:pPr>
            <w:r>
              <w:rPr>
                <w:sz w:val="20"/>
                <w:szCs w:val="20"/>
              </w:rPr>
              <w:t>$118.75</w:t>
            </w:r>
          </w:p>
        </w:tc>
      </w:tr>
      <w:tr w:rsidR="00B9432C" w14:paraId="72E21CE4"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CDF" w14:textId="77777777" w:rsidR="00B9432C" w:rsidRDefault="002E7E76">
            <w:pPr>
              <w:jc w:val="center"/>
            </w:pPr>
            <w:r>
              <w:rPr>
                <w:sz w:val="20"/>
                <w:szCs w:val="20"/>
              </w:rPr>
              <w:t>Total Charges ($)</w:t>
            </w:r>
          </w:p>
        </w:tc>
        <w:tc>
          <w:tcPr>
            <w:tcW w:w="17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CE0" w14:textId="77777777" w:rsidR="00B9432C" w:rsidRDefault="002E7E76">
            <w:pPr>
              <w:jc w:val="center"/>
            </w:pPr>
            <w:r>
              <w:rPr>
                <w:sz w:val="20"/>
                <w:szCs w:val="20"/>
              </w:rPr>
              <w:t>$2,279.73</w:t>
            </w:r>
          </w:p>
        </w:tc>
        <w:tc>
          <w:tcPr>
            <w:tcW w:w="17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CE1" w14:textId="77777777" w:rsidR="00B9432C" w:rsidRDefault="002E7E76">
            <w:pPr>
              <w:jc w:val="center"/>
            </w:pPr>
            <w:r>
              <w:rPr>
                <w:sz w:val="20"/>
                <w:szCs w:val="20"/>
              </w:rPr>
              <w:t>$1,394.55</w:t>
            </w:r>
          </w:p>
        </w:tc>
        <w:tc>
          <w:tcPr>
            <w:tcW w:w="17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CE2" w14:textId="77777777" w:rsidR="00B9432C" w:rsidRDefault="002E7E76">
            <w:pPr>
              <w:jc w:val="center"/>
            </w:pPr>
            <w:r>
              <w:rPr>
                <w:sz w:val="20"/>
                <w:szCs w:val="20"/>
              </w:rPr>
              <w:t>$0.00</w:t>
            </w:r>
          </w:p>
        </w:tc>
        <w:tc>
          <w:tcPr>
            <w:tcW w:w="17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CE3" w14:textId="77777777" w:rsidR="00B9432C" w:rsidRDefault="002E7E76">
            <w:pPr>
              <w:jc w:val="center"/>
            </w:pPr>
            <w:r>
              <w:rPr>
                <w:sz w:val="20"/>
                <w:szCs w:val="20"/>
              </w:rPr>
              <w:t>$8,684.80</w:t>
            </w:r>
          </w:p>
        </w:tc>
      </w:tr>
      <w:tr w:rsidR="00B9432C" w14:paraId="72E21CEA" w14:textId="77777777">
        <w:tc>
          <w:tcPr>
            <w:tcW w:w="2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E5" w14:textId="77777777" w:rsidR="00B9432C" w:rsidRDefault="002E7E76">
            <w:pPr>
              <w:jc w:val="center"/>
            </w:pPr>
            <w:r>
              <w:rPr>
                <w:sz w:val="20"/>
                <w:szCs w:val="20"/>
              </w:rPr>
              <w:t>Tenure (months)</w:t>
            </w:r>
          </w:p>
        </w:tc>
        <w:tc>
          <w:tcPr>
            <w:tcW w:w="174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E6" w14:textId="77777777" w:rsidR="00B9432C" w:rsidRDefault="002E7E76">
            <w:pPr>
              <w:jc w:val="center"/>
            </w:pPr>
            <w:r>
              <w:rPr>
                <w:sz w:val="20"/>
                <w:szCs w:val="20"/>
              </w:rPr>
              <w:t>32.4</w:t>
            </w:r>
          </w:p>
        </w:tc>
        <w:tc>
          <w:tcPr>
            <w:tcW w:w="174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E7" w14:textId="77777777" w:rsidR="00B9432C" w:rsidRDefault="002E7E76">
            <w:pPr>
              <w:jc w:val="center"/>
            </w:pPr>
            <w:r>
              <w:rPr>
                <w:sz w:val="20"/>
                <w:szCs w:val="20"/>
              </w:rPr>
              <w:t>29.0</w:t>
            </w:r>
          </w:p>
        </w:tc>
        <w:tc>
          <w:tcPr>
            <w:tcW w:w="174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E8" w14:textId="77777777" w:rsidR="00B9432C" w:rsidRDefault="002E7E76">
            <w:pPr>
              <w:jc w:val="center"/>
            </w:pPr>
            <w:r>
              <w:rPr>
                <w:sz w:val="20"/>
                <w:szCs w:val="20"/>
              </w:rPr>
              <w:t>0</w:t>
            </w:r>
          </w:p>
        </w:tc>
        <w:tc>
          <w:tcPr>
            <w:tcW w:w="174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CE9" w14:textId="77777777" w:rsidR="00B9432C" w:rsidRDefault="002E7E76">
            <w:pPr>
              <w:jc w:val="center"/>
            </w:pPr>
            <w:r>
              <w:rPr>
                <w:sz w:val="20"/>
                <w:szCs w:val="20"/>
              </w:rPr>
              <w:t>72</w:t>
            </w:r>
          </w:p>
        </w:tc>
      </w:tr>
    </w:tbl>
    <w:p w14:paraId="72E21CEB" w14:textId="77777777" w:rsidR="00B9432C" w:rsidRDefault="00B9432C">
      <w:pPr>
        <w:spacing w:after="80"/>
      </w:pPr>
    </w:p>
    <w:p w14:paraId="72E21CEC" w14:textId="77777777" w:rsidR="00B9432C" w:rsidRDefault="002E7E76">
      <w:pPr>
        <w:spacing w:before="60" w:after="80"/>
      </w:pPr>
      <w:r>
        <w:t>The wide spread</w:t>
      </w:r>
      <w:r>
        <w:t xml:space="preserve"> in Monthly Charges ($18.25 to $118.75) reflects a diverse service tier portfolio. Churned customers tend to have higher average Monthly Charges — particularly among Fiber Optic subscribers — suggesting price sensitivity as a churn factor in the premium segment.</w:t>
      </w:r>
    </w:p>
    <w:p w14:paraId="72E21CED" w14:textId="77777777" w:rsidR="00B9432C" w:rsidRDefault="00B9432C">
      <w:pPr>
        <w:spacing w:after="200"/>
      </w:pPr>
    </w:p>
    <w:p w14:paraId="72E21CEE" w14:textId="77777777" w:rsidR="00B9432C" w:rsidRDefault="002E7E76">
      <w:pPr>
        <w:pBdr>
          <w:bottom w:val="single" w:sz="8" w:space="2" w:color="2E75B6"/>
        </w:pBdr>
        <w:spacing w:after="160"/>
      </w:pPr>
      <w:r>
        <w:rPr>
          <w:b/>
          <w:bCs/>
          <w:caps/>
          <w:color w:val="1F4E79"/>
          <w:sz w:val="28"/>
          <w:szCs w:val="28"/>
        </w:rPr>
        <w:t>8. Key Findings &amp; Business Implications</w:t>
      </w:r>
    </w:p>
    <w:p w14:paraId="72E21CEF" w14:textId="77777777" w:rsidR="00B9432C" w:rsidRDefault="00B9432C">
      <w:pPr>
        <w:spacing w:after="8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9432C" w14:paraId="72E21CF3" w14:textId="77777777">
        <w:tc>
          <w:tcPr>
            <w:tcW w:w="6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vAlign w:val="center"/>
          </w:tcPr>
          <w:p w14:paraId="72E21CF0" w14:textId="77777777" w:rsidR="00B9432C" w:rsidRDefault="002E7E76">
            <w:pPr>
              <w:jc w:val="center"/>
            </w:pPr>
            <w:r>
              <w:rPr>
                <w:b/>
                <w:bCs/>
                <w:color w:val="FFFFFF"/>
                <w:sz w:val="28"/>
                <w:szCs w:val="28"/>
              </w:rPr>
              <w:t>1</w:t>
            </w:r>
          </w:p>
        </w:tc>
        <w:tc>
          <w:tcPr>
            <w:tcW w:w="87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20" w:type="dxa"/>
            </w:tcMar>
          </w:tcPr>
          <w:p w14:paraId="72E21CF1" w14:textId="77777777" w:rsidR="00B9432C" w:rsidRDefault="002E7E76">
            <w:pPr>
              <w:spacing w:after="40"/>
            </w:pPr>
            <w:r>
              <w:rPr>
                <w:b/>
                <w:bCs/>
                <w:color w:val="1F4E79"/>
              </w:rPr>
              <w:t>High Overall Churn Rate (26.54%)</w:t>
            </w:r>
          </w:p>
          <w:p w14:paraId="72E21CF2" w14:textId="77777777" w:rsidR="00B9432C" w:rsidRDefault="002E7E76">
            <w:r>
              <w:rPr>
                <w:sz w:val="20"/>
                <w:szCs w:val="20"/>
              </w:rPr>
              <w:t>More than 1 in 4 customers has churned. This rate is above industry benchmarks for established telecoms and represents a significant annual revenue leakage that demands a structured retention programme.</w:t>
            </w:r>
          </w:p>
        </w:tc>
      </w:tr>
    </w:tbl>
    <w:p w14:paraId="72E21CF4" w14:textId="77777777" w:rsidR="00B9432C" w:rsidRDefault="00B9432C">
      <w:pPr>
        <w:spacing w:after="8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9432C" w14:paraId="72E21CF8" w14:textId="77777777">
        <w:tc>
          <w:tcPr>
            <w:tcW w:w="6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vAlign w:val="center"/>
          </w:tcPr>
          <w:p w14:paraId="72E21CF5" w14:textId="77777777" w:rsidR="00B9432C" w:rsidRDefault="002E7E76">
            <w:pPr>
              <w:jc w:val="center"/>
            </w:pPr>
            <w:r>
              <w:rPr>
                <w:b/>
                <w:bCs/>
                <w:color w:val="FFFFFF"/>
                <w:sz w:val="28"/>
                <w:szCs w:val="28"/>
              </w:rPr>
              <w:t>2</w:t>
            </w:r>
          </w:p>
        </w:tc>
        <w:tc>
          <w:tcPr>
            <w:tcW w:w="87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20" w:type="dxa"/>
            </w:tcMar>
          </w:tcPr>
          <w:p w14:paraId="72E21CF6" w14:textId="77777777" w:rsidR="00B9432C" w:rsidRDefault="002E7E76">
            <w:pPr>
              <w:spacing w:after="40"/>
            </w:pPr>
            <w:r>
              <w:rPr>
                <w:b/>
                <w:bCs/>
                <w:color w:val="1F4E79"/>
              </w:rPr>
              <w:t>Month-to-Month Contracts = Highest Churn Risk</w:t>
            </w:r>
          </w:p>
          <w:p w14:paraId="72E21CF7" w14:textId="77777777" w:rsidR="00B9432C" w:rsidRDefault="002E7E76">
            <w:r>
              <w:rPr>
                <w:sz w:val="20"/>
                <w:szCs w:val="20"/>
              </w:rPr>
              <w:t>Month-to-month customers are the most likely to churn. Converting even 15-20% of this segment to annual contracts would materially reduce overall churn. Targeted incentives (e.g., discounted upgrade, free add-ons) are recommended.</w:t>
            </w:r>
          </w:p>
        </w:tc>
      </w:tr>
    </w:tbl>
    <w:p w14:paraId="72E21CF9" w14:textId="77777777" w:rsidR="00B9432C" w:rsidRDefault="00B9432C">
      <w:pPr>
        <w:spacing w:after="8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9432C" w14:paraId="72E21CFD" w14:textId="77777777">
        <w:tc>
          <w:tcPr>
            <w:tcW w:w="6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vAlign w:val="center"/>
          </w:tcPr>
          <w:p w14:paraId="72E21CFA" w14:textId="77777777" w:rsidR="00B9432C" w:rsidRDefault="002E7E76">
            <w:pPr>
              <w:jc w:val="center"/>
            </w:pPr>
            <w:r>
              <w:rPr>
                <w:b/>
                <w:bCs/>
                <w:color w:val="FFFFFF"/>
                <w:sz w:val="28"/>
                <w:szCs w:val="28"/>
              </w:rPr>
              <w:t>3</w:t>
            </w:r>
          </w:p>
        </w:tc>
        <w:tc>
          <w:tcPr>
            <w:tcW w:w="87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20" w:type="dxa"/>
            </w:tcMar>
          </w:tcPr>
          <w:p w14:paraId="72E21CFB" w14:textId="77777777" w:rsidR="00B9432C" w:rsidRDefault="002E7E76">
            <w:pPr>
              <w:spacing w:after="40"/>
            </w:pPr>
            <w:r>
              <w:rPr>
                <w:b/>
                <w:bCs/>
                <w:color w:val="1F4E79"/>
              </w:rPr>
              <w:t>Fiber Optic Subscribers Are Churning at a Disproportionate Rate</w:t>
            </w:r>
          </w:p>
          <w:p w14:paraId="72E21CFC" w14:textId="77777777" w:rsidR="00B9432C" w:rsidRDefault="002E7E76">
            <w:r>
              <w:rPr>
                <w:sz w:val="20"/>
                <w:szCs w:val="20"/>
              </w:rPr>
              <w:t>Despite being the premium internet tier, Fiber Optic customers show the highest churn. A value-for-money perception issue or service quality gap may be driving defection from what should be the most sticky segment.</w:t>
            </w:r>
          </w:p>
        </w:tc>
      </w:tr>
    </w:tbl>
    <w:p w14:paraId="72E21CFE" w14:textId="77777777" w:rsidR="00B9432C" w:rsidRDefault="00B9432C">
      <w:pPr>
        <w:spacing w:after="8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9432C" w14:paraId="72E21D02" w14:textId="77777777">
        <w:tc>
          <w:tcPr>
            <w:tcW w:w="6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vAlign w:val="center"/>
          </w:tcPr>
          <w:p w14:paraId="72E21CFF" w14:textId="77777777" w:rsidR="00B9432C" w:rsidRDefault="002E7E76">
            <w:pPr>
              <w:jc w:val="center"/>
            </w:pPr>
            <w:r>
              <w:rPr>
                <w:b/>
                <w:bCs/>
                <w:color w:val="FFFFFF"/>
                <w:sz w:val="28"/>
                <w:szCs w:val="28"/>
              </w:rPr>
              <w:t>4</w:t>
            </w:r>
          </w:p>
        </w:tc>
        <w:tc>
          <w:tcPr>
            <w:tcW w:w="87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20" w:type="dxa"/>
            </w:tcMar>
          </w:tcPr>
          <w:p w14:paraId="72E21D00" w14:textId="77777777" w:rsidR="00B9432C" w:rsidRDefault="002E7E76">
            <w:pPr>
              <w:spacing w:after="40"/>
            </w:pPr>
            <w:r>
              <w:rPr>
                <w:b/>
                <w:bCs/>
                <w:color w:val="1F4E79"/>
              </w:rPr>
              <w:t>Senior Citizens Are a High-Risk, Under-Served Segment</w:t>
            </w:r>
          </w:p>
          <w:p w14:paraId="72E21D01" w14:textId="77777777" w:rsidR="00B9432C" w:rsidRDefault="002E7E76">
            <w:r>
              <w:rPr>
                <w:sz w:val="20"/>
                <w:szCs w:val="20"/>
              </w:rPr>
              <w:t>Senior citizens (16.21% of the base) churn at approximately 41%, nearly double the non-senior rate (~23%). Dedicated support structures, simplified plans, and proactive outreach for this group could dramatically improve retention.</w:t>
            </w:r>
          </w:p>
        </w:tc>
      </w:tr>
    </w:tbl>
    <w:p w14:paraId="72E21D03" w14:textId="77777777" w:rsidR="00B9432C" w:rsidRDefault="00B9432C">
      <w:pPr>
        <w:spacing w:after="8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9432C" w14:paraId="72E21D07" w14:textId="77777777">
        <w:tc>
          <w:tcPr>
            <w:tcW w:w="6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vAlign w:val="center"/>
          </w:tcPr>
          <w:p w14:paraId="72E21D04" w14:textId="77777777" w:rsidR="00B9432C" w:rsidRDefault="002E7E76">
            <w:pPr>
              <w:jc w:val="center"/>
            </w:pPr>
            <w:r>
              <w:rPr>
                <w:b/>
                <w:bCs/>
                <w:color w:val="FFFFFF"/>
                <w:sz w:val="28"/>
                <w:szCs w:val="28"/>
              </w:rPr>
              <w:t>5</w:t>
            </w:r>
          </w:p>
        </w:tc>
        <w:tc>
          <w:tcPr>
            <w:tcW w:w="87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20" w:type="dxa"/>
            </w:tcMar>
          </w:tcPr>
          <w:p w14:paraId="72E21D05" w14:textId="77777777" w:rsidR="00B9432C" w:rsidRDefault="002E7E76">
            <w:pPr>
              <w:spacing w:after="40"/>
            </w:pPr>
            <w:r>
              <w:rPr>
                <w:b/>
                <w:bCs/>
                <w:color w:val="1F4E79"/>
              </w:rPr>
              <w:t>Electronic Check Payers Show High Churn</w:t>
            </w:r>
          </w:p>
          <w:p w14:paraId="72E21D06" w14:textId="77777777" w:rsidR="00B9432C" w:rsidRDefault="002E7E76">
            <w:r>
              <w:rPr>
                <w:sz w:val="20"/>
                <w:szCs w:val="20"/>
              </w:rPr>
              <w:t>Manual payment methods correlate with higher churn. Migrating customers to auto-pay is a low-cost intervention with measurable retention impact. Auto-pay customers benefit from fewer payment failures and less friction to lapse.</w:t>
            </w:r>
          </w:p>
        </w:tc>
      </w:tr>
    </w:tbl>
    <w:p w14:paraId="72E21D08" w14:textId="77777777" w:rsidR="00B9432C" w:rsidRDefault="00B9432C">
      <w:pPr>
        <w:spacing w:after="8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9432C" w14:paraId="72E21D0C" w14:textId="77777777">
        <w:tc>
          <w:tcPr>
            <w:tcW w:w="6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vAlign w:val="center"/>
          </w:tcPr>
          <w:p w14:paraId="72E21D09" w14:textId="77777777" w:rsidR="00B9432C" w:rsidRDefault="002E7E76">
            <w:pPr>
              <w:jc w:val="center"/>
            </w:pPr>
            <w:r>
              <w:rPr>
                <w:b/>
                <w:bCs/>
                <w:color w:val="FFFFFF"/>
                <w:sz w:val="28"/>
                <w:szCs w:val="28"/>
              </w:rPr>
              <w:t>6</w:t>
            </w:r>
          </w:p>
        </w:tc>
        <w:tc>
          <w:tcPr>
            <w:tcW w:w="87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20" w:type="dxa"/>
            </w:tcMar>
          </w:tcPr>
          <w:p w14:paraId="72E21D0A" w14:textId="77777777" w:rsidR="00B9432C" w:rsidRDefault="002E7E76">
            <w:pPr>
              <w:spacing w:after="40"/>
            </w:pPr>
            <w:r>
              <w:rPr>
                <w:b/>
                <w:bCs/>
                <w:color w:val="1F4E79"/>
              </w:rPr>
              <w:t>Short-Tenure Customers Are the Most Vulnerable</w:t>
            </w:r>
          </w:p>
          <w:p w14:paraId="72E21D0B" w14:textId="77777777" w:rsidR="00B9432C" w:rsidRDefault="002E7E76">
            <w:r>
              <w:rPr>
                <w:sz w:val="20"/>
                <w:szCs w:val="20"/>
              </w:rPr>
              <w:t>New customers (0–12 months) are at greatest risk of leaving. An enhanced onboarding journey — including proactive engagement, service education, and early loyalty rewards — could significantly reduce early-life churn.</w:t>
            </w:r>
          </w:p>
        </w:tc>
      </w:tr>
    </w:tbl>
    <w:p w14:paraId="72E21D0D" w14:textId="77777777" w:rsidR="00B9432C" w:rsidRDefault="00B9432C">
      <w:pPr>
        <w:spacing w:after="8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9432C" w14:paraId="72E21D11" w14:textId="77777777">
        <w:tc>
          <w:tcPr>
            <w:tcW w:w="6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vAlign w:val="center"/>
          </w:tcPr>
          <w:p w14:paraId="72E21D0E" w14:textId="77777777" w:rsidR="00B9432C" w:rsidRDefault="002E7E76">
            <w:pPr>
              <w:jc w:val="center"/>
            </w:pPr>
            <w:r>
              <w:rPr>
                <w:b/>
                <w:bCs/>
                <w:color w:val="FFFFFF"/>
                <w:sz w:val="28"/>
                <w:szCs w:val="28"/>
              </w:rPr>
              <w:t>7</w:t>
            </w:r>
          </w:p>
        </w:tc>
        <w:tc>
          <w:tcPr>
            <w:tcW w:w="87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20" w:type="dxa"/>
            </w:tcMar>
          </w:tcPr>
          <w:p w14:paraId="72E21D0F" w14:textId="77777777" w:rsidR="00B9432C" w:rsidRDefault="002E7E76">
            <w:pPr>
              <w:spacing w:after="40"/>
            </w:pPr>
            <w:r>
              <w:rPr>
                <w:b/>
                <w:bCs/>
                <w:color w:val="1F4E79"/>
              </w:rPr>
              <w:t>Customers Without Partners, Dependents, or Add-On Services Churn More</w:t>
            </w:r>
          </w:p>
          <w:p w14:paraId="72E21D10" w14:textId="77777777" w:rsidR="00B9432C" w:rsidRDefault="002E7E76">
            <w:r>
              <w:rPr>
                <w:sz w:val="20"/>
                <w:szCs w:val="20"/>
              </w:rPr>
              <w:t>Social isolation and low service adoption both correlate with higher churn. Family plans, bundled service packages, and targeted cross-sell campaigns can increase engagement and switching costs for these segments.</w:t>
            </w:r>
          </w:p>
        </w:tc>
      </w:tr>
    </w:tbl>
    <w:p w14:paraId="72E21D12" w14:textId="77777777" w:rsidR="00B9432C" w:rsidRDefault="00B9432C">
      <w:pPr>
        <w:spacing w:after="200"/>
      </w:pPr>
    </w:p>
    <w:p w14:paraId="72E21D13" w14:textId="77777777" w:rsidR="00B9432C" w:rsidRDefault="002E7E76">
      <w:pPr>
        <w:pBdr>
          <w:bottom w:val="single" w:sz="8" w:space="2" w:color="2E75B6"/>
        </w:pBdr>
        <w:spacing w:after="160"/>
      </w:pPr>
      <w:r>
        <w:rPr>
          <w:b/>
          <w:bCs/>
          <w:caps/>
          <w:color w:val="1F4E79"/>
          <w:sz w:val="28"/>
          <w:szCs w:val="28"/>
        </w:rPr>
        <w:t>9. Strategic Recommendations</w:t>
      </w:r>
    </w:p>
    <w:p w14:paraId="72E21D14" w14:textId="77777777" w:rsidR="00B9432C" w:rsidRDefault="00B9432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2400"/>
        <w:gridCol w:w="1960"/>
      </w:tblGrid>
      <w:tr w:rsidR="00B9432C" w14:paraId="72E21D19" w14:textId="77777777">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tcPr>
          <w:p w14:paraId="72E21D15" w14:textId="77777777" w:rsidR="00B9432C" w:rsidRDefault="002E7E76">
            <w:pPr>
              <w:jc w:val="center"/>
            </w:pPr>
            <w:r>
              <w:rPr>
                <w:b/>
                <w:bCs/>
                <w:color w:val="FFFFFF"/>
                <w:sz w:val="20"/>
                <w:szCs w:val="20"/>
              </w:rPr>
              <w:t>Priority</w:t>
            </w:r>
          </w:p>
        </w:tc>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tcPr>
          <w:p w14:paraId="72E21D16" w14:textId="77777777" w:rsidR="00B9432C" w:rsidRDefault="002E7E76">
            <w:pPr>
              <w:jc w:val="center"/>
            </w:pPr>
            <w:r>
              <w:rPr>
                <w:b/>
                <w:bCs/>
                <w:color w:val="FFFFFF"/>
                <w:sz w:val="20"/>
                <w:szCs w:val="20"/>
              </w:rPr>
              <w:t>Recommendation</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tcPr>
          <w:p w14:paraId="72E21D17" w14:textId="77777777" w:rsidR="00B9432C" w:rsidRDefault="002E7E76">
            <w:pPr>
              <w:jc w:val="center"/>
            </w:pPr>
            <w:r>
              <w:rPr>
                <w:b/>
                <w:bCs/>
                <w:color w:val="FFFFFF"/>
                <w:sz w:val="20"/>
                <w:szCs w:val="20"/>
              </w:rPr>
              <w:t>Target Segment</w:t>
            </w:r>
          </w:p>
        </w:tc>
        <w:tc>
          <w:tcPr>
            <w:tcW w:w="19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tcPr>
          <w:p w14:paraId="72E21D18" w14:textId="77777777" w:rsidR="00B9432C" w:rsidRDefault="002E7E76">
            <w:pPr>
              <w:jc w:val="center"/>
            </w:pPr>
            <w:r>
              <w:rPr>
                <w:b/>
                <w:bCs/>
                <w:color w:val="FFFFFF"/>
                <w:sz w:val="20"/>
                <w:szCs w:val="20"/>
              </w:rPr>
              <w:t>Expected Impact</w:t>
            </w:r>
          </w:p>
        </w:tc>
      </w:tr>
      <w:tr w:rsidR="00B9432C" w14:paraId="72E21D1E" w14:textId="77777777">
        <w:tc>
          <w:tcPr>
            <w:tcW w:w="16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D1A" w14:textId="77777777" w:rsidR="00B9432C" w:rsidRDefault="002E7E76">
            <w:pPr>
              <w:jc w:val="center"/>
            </w:pPr>
            <w:r>
              <w:rPr>
                <w:sz w:val="20"/>
                <w:szCs w:val="20"/>
              </w:rPr>
              <w:t>1 — Critical</w:t>
            </w:r>
          </w:p>
        </w:tc>
        <w:tc>
          <w:tcPr>
            <w:tcW w:w="3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D1B" w14:textId="77777777" w:rsidR="00B9432C" w:rsidRDefault="002E7E76">
            <w:pPr>
              <w:jc w:val="center"/>
            </w:pPr>
            <w:r>
              <w:rPr>
                <w:sz w:val="20"/>
                <w:szCs w:val="20"/>
              </w:rPr>
              <w:t>Contract migration incentives (Month-to-Month → Annual)</w:t>
            </w:r>
          </w:p>
        </w:tc>
        <w:tc>
          <w:tcPr>
            <w:tcW w:w="2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D1C" w14:textId="77777777" w:rsidR="00B9432C" w:rsidRDefault="002E7E76">
            <w:pPr>
              <w:jc w:val="center"/>
            </w:pPr>
            <w:r>
              <w:rPr>
                <w:sz w:val="20"/>
                <w:szCs w:val="20"/>
              </w:rPr>
              <w:t>Month-to-month customers</w:t>
            </w:r>
          </w:p>
        </w:tc>
        <w:tc>
          <w:tcPr>
            <w:tcW w:w="196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D1D" w14:textId="77777777" w:rsidR="00B9432C" w:rsidRDefault="002E7E76">
            <w:pPr>
              <w:jc w:val="center"/>
            </w:pPr>
            <w:r>
              <w:rPr>
                <w:sz w:val="20"/>
                <w:szCs w:val="20"/>
              </w:rPr>
              <w:t>High</w:t>
            </w:r>
          </w:p>
        </w:tc>
      </w:tr>
      <w:tr w:rsidR="00B9432C" w14:paraId="72E21D23" w14:textId="77777777">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D1F" w14:textId="77777777" w:rsidR="00B9432C" w:rsidRDefault="002E7E76">
            <w:pPr>
              <w:jc w:val="center"/>
            </w:pPr>
            <w:r>
              <w:rPr>
                <w:sz w:val="20"/>
                <w:szCs w:val="20"/>
              </w:rPr>
              <w:t>2 — Critical</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D20" w14:textId="77777777" w:rsidR="00B9432C" w:rsidRDefault="002E7E76">
            <w:pPr>
              <w:jc w:val="center"/>
            </w:pPr>
            <w:r>
              <w:rPr>
                <w:sz w:val="20"/>
                <w:szCs w:val="20"/>
              </w:rPr>
              <w:t>Dedicated senior citizen retention programme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D21" w14:textId="77777777" w:rsidR="00B9432C" w:rsidRDefault="002E7E76">
            <w:pPr>
              <w:jc w:val="center"/>
            </w:pPr>
            <w:r>
              <w:rPr>
                <w:sz w:val="20"/>
                <w:szCs w:val="20"/>
              </w:rPr>
              <w:t>Senior citizens (16.21%)</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D22" w14:textId="77777777" w:rsidR="00B9432C" w:rsidRDefault="002E7E76">
            <w:pPr>
              <w:jc w:val="center"/>
            </w:pPr>
            <w:r>
              <w:rPr>
                <w:sz w:val="20"/>
                <w:szCs w:val="20"/>
              </w:rPr>
              <w:t>High</w:t>
            </w:r>
          </w:p>
        </w:tc>
      </w:tr>
      <w:tr w:rsidR="00B9432C" w14:paraId="72E21D28" w14:textId="77777777">
        <w:tc>
          <w:tcPr>
            <w:tcW w:w="16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D24" w14:textId="77777777" w:rsidR="00B9432C" w:rsidRDefault="002E7E76">
            <w:pPr>
              <w:jc w:val="center"/>
            </w:pPr>
            <w:r>
              <w:rPr>
                <w:sz w:val="20"/>
                <w:szCs w:val="20"/>
              </w:rPr>
              <w:t>3 — High</w:t>
            </w:r>
          </w:p>
        </w:tc>
        <w:tc>
          <w:tcPr>
            <w:tcW w:w="3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D25" w14:textId="77777777" w:rsidR="00B9432C" w:rsidRDefault="002E7E76">
            <w:pPr>
              <w:jc w:val="center"/>
            </w:pPr>
            <w:r>
              <w:rPr>
                <w:sz w:val="20"/>
                <w:szCs w:val="20"/>
              </w:rPr>
              <w:t>Investigate and address Fiber Optic churn drivers</w:t>
            </w:r>
          </w:p>
        </w:tc>
        <w:tc>
          <w:tcPr>
            <w:tcW w:w="2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D26" w14:textId="77777777" w:rsidR="00B9432C" w:rsidRDefault="002E7E76">
            <w:pPr>
              <w:jc w:val="center"/>
            </w:pPr>
            <w:r>
              <w:rPr>
                <w:sz w:val="20"/>
                <w:szCs w:val="20"/>
              </w:rPr>
              <w:t>Fiber Optic subscribers</w:t>
            </w:r>
          </w:p>
        </w:tc>
        <w:tc>
          <w:tcPr>
            <w:tcW w:w="196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D27" w14:textId="77777777" w:rsidR="00B9432C" w:rsidRDefault="002E7E76">
            <w:pPr>
              <w:jc w:val="center"/>
            </w:pPr>
            <w:r>
              <w:rPr>
                <w:sz w:val="20"/>
                <w:szCs w:val="20"/>
              </w:rPr>
              <w:t>High</w:t>
            </w:r>
          </w:p>
        </w:tc>
      </w:tr>
      <w:tr w:rsidR="00B9432C" w14:paraId="72E21D2D" w14:textId="77777777">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D29" w14:textId="77777777" w:rsidR="00B9432C" w:rsidRDefault="002E7E76">
            <w:pPr>
              <w:jc w:val="center"/>
            </w:pPr>
            <w:r>
              <w:rPr>
                <w:sz w:val="20"/>
                <w:szCs w:val="20"/>
              </w:rPr>
              <w:t>4 — High</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D2A" w14:textId="77777777" w:rsidR="00B9432C" w:rsidRDefault="002E7E76">
            <w:pPr>
              <w:jc w:val="center"/>
            </w:pPr>
            <w:r>
              <w:rPr>
                <w:sz w:val="20"/>
                <w:szCs w:val="20"/>
              </w:rPr>
              <w:t>Auto-pay adoption campaign</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D2B" w14:textId="77777777" w:rsidR="00B9432C" w:rsidRDefault="002E7E76">
            <w:pPr>
              <w:jc w:val="center"/>
            </w:pPr>
            <w:r>
              <w:rPr>
                <w:sz w:val="20"/>
                <w:szCs w:val="20"/>
              </w:rPr>
              <w:t>Electronic Check payers</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D2C" w14:textId="77777777" w:rsidR="00B9432C" w:rsidRDefault="002E7E76">
            <w:pPr>
              <w:jc w:val="center"/>
            </w:pPr>
            <w:r>
              <w:rPr>
                <w:sz w:val="20"/>
                <w:szCs w:val="20"/>
              </w:rPr>
              <w:t>Medium-High</w:t>
            </w:r>
          </w:p>
        </w:tc>
      </w:tr>
      <w:tr w:rsidR="00B9432C" w14:paraId="72E21D32" w14:textId="77777777">
        <w:tc>
          <w:tcPr>
            <w:tcW w:w="16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D2E" w14:textId="77777777" w:rsidR="00B9432C" w:rsidRDefault="002E7E76">
            <w:pPr>
              <w:jc w:val="center"/>
            </w:pPr>
            <w:r>
              <w:rPr>
                <w:sz w:val="20"/>
                <w:szCs w:val="20"/>
              </w:rPr>
              <w:lastRenderedPageBreak/>
              <w:t>5 — Medium</w:t>
            </w:r>
          </w:p>
        </w:tc>
        <w:tc>
          <w:tcPr>
            <w:tcW w:w="3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D2F" w14:textId="77777777" w:rsidR="00B9432C" w:rsidRDefault="002E7E76">
            <w:pPr>
              <w:jc w:val="center"/>
            </w:pPr>
            <w:r>
              <w:rPr>
                <w:sz w:val="20"/>
                <w:szCs w:val="20"/>
              </w:rPr>
              <w:t>Enhanced 0–12 month onboarding journey</w:t>
            </w:r>
          </w:p>
        </w:tc>
        <w:tc>
          <w:tcPr>
            <w:tcW w:w="2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D30" w14:textId="77777777" w:rsidR="00B9432C" w:rsidRDefault="002E7E76">
            <w:pPr>
              <w:jc w:val="center"/>
            </w:pPr>
            <w:r>
              <w:rPr>
                <w:sz w:val="20"/>
                <w:szCs w:val="20"/>
              </w:rPr>
              <w:t>New customers (&lt;12 mo)</w:t>
            </w:r>
          </w:p>
        </w:tc>
        <w:tc>
          <w:tcPr>
            <w:tcW w:w="196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D31" w14:textId="77777777" w:rsidR="00B9432C" w:rsidRDefault="002E7E76">
            <w:pPr>
              <w:jc w:val="center"/>
            </w:pPr>
            <w:r>
              <w:rPr>
                <w:sz w:val="20"/>
                <w:szCs w:val="20"/>
              </w:rPr>
              <w:t>Medium-High</w:t>
            </w:r>
          </w:p>
        </w:tc>
      </w:tr>
      <w:tr w:rsidR="00B9432C" w14:paraId="72E21D37" w14:textId="77777777">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D33" w14:textId="77777777" w:rsidR="00B9432C" w:rsidRDefault="002E7E76">
            <w:pPr>
              <w:jc w:val="center"/>
            </w:pPr>
            <w:r>
              <w:rPr>
                <w:sz w:val="20"/>
                <w:szCs w:val="20"/>
              </w:rPr>
              <w:t>6 — Medium</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D34" w14:textId="77777777" w:rsidR="00B9432C" w:rsidRDefault="002E7E76">
            <w:pPr>
              <w:jc w:val="center"/>
            </w:pPr>
            <w:r>
              <w:rPr>
                <w:sz w:val="20"/>
                <w:szCs w:val="20"/>
              </w:rPr>
              <w:t>Cross-sell Online Security, Tech Support, Backup</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D35" w14:textId="77777777" w:rsidR="00B9432C" w:rsidRDefault="002E7E76">
            <w:pPr>
              <w:jc w:val="center"/>
            </w:pPr>
            <w:r>
              <w:rPr>
                <w:sz w:val="20"/>
                <w:szCs w:val="20"/>
              </w:rPr>
              <w:t>No add-on service users</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21D36" w14:textId="77777777" w:rsidR="00B9432C" w:rsidRDefault="002E7E76">
            <w:pPr>
              <w:jc w:val="center"/>
            </w:pPr>
            <w:r>
              <w:rPr>
                <w:sz w:val="20"/>
                <w:szCs w:val="20"/>
              </w:rPr>
              <w:t>Medium</w:t>
            </w:r>
          </w:p>
        </w:tc>
      </w:tr>
      <w:tr w:rsidR="00B9432C" w14:paraId="72E21D3C" w14:textId="77777777">
        <w:tc>
          <w:tcPr>
            <w:tcW w:w="16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D38" w14:textId="77777777" w:rsidR="00B9432C" w:rsidRDefault="002E7E76">
            <w:pPr>
              <w:jc w:val="center"/>
            </w:pPr>
            <w:r>
              <w:rPr>
                <w:sz w:val="20"/>
                <w:szCs w:val="20"/>
              </w:rPr>
              <w:t>7 — Medium</w:t>
            </w:r>
          </w:p>
        </w:tc>
        <w:tc>
          <w:tcPr>
            <w:tcW w:w="3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D39" w14:textId="77777777" w:rsidR="00B9432C" w:rsidRDefault="002E7E76">
            <w:pPr>
              <w:jc w:val="center"/>
            </w:pPr>
            <w:r>
              <w:rPr>
                <w:sz w:val="20"/>
                <w:szCs w:val="20"/>
              </w:rPr>
              <w:t>Family &amp; multi-line plan promotions</w:t>
            </w:r>
          </w:p>
        </w:tc>
        <w:tc>
          <w:tcPr>
            <w:tcW w:w="2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D3A" w14:textId="77777777" w:rsidR="00B9432C" w:rsidRDefault="002E7E76">
            <w:pPr>
              <w:jc w:val="center"/>
            </w:pPr>
            <w:r>
              <w:rPr>
                <w:sz w:val="20"/>
                <w:szCs w:val="20"/>
              </w:rPr>
              <w:t>No partner/dependents</w:t>
            </w:r>
          </w:p>
        </w:tc>
        <w:tc>
          <w:tcPr>
            <w:tcW w:w="196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40" w:type="dxa"/>
              <w:bottom w:w="80" w:type="dxa"/>
              <w:right w:w="140" w:type="dxa"/>
            </w:tcMar>
          </w:tcPr>
          <w:p w14:paraId="72E21D3B" w14:textId="77777777" w:rsidR="00B9432C" w:rsidRDefault="002E7E76">
            <w:pPr>
              <w:jc w:val="center"/>
            </w:pPr>
            <w:r>
              <w:rPr>
                <w:sz w:val="20"/>
                <w:szCs w:val="20"/>
              </w:rPr>
              <w:t>Medium</w:t>
            </w:r>
          </w:p>
        </w:tc>
      </w:tr>
    </w:tbl>
    <w:p w14:paraId="72E21D3D" w14:textId="77777777" w:rsidR="00B9432C" w:rsidRDefault="00B9432C">
      <w:pPr>
        <w:spacing w:after="200"/>
      </w:pPr>
    </w:p>
    <w:p w14:paraId="72E21D3E" w14:textId="3DA7DE1C" w:rsidR="00B9432C" w:rsidRDefault="002E7E76">
      <w:pPr>
        <w:pBdr>
          <w:bottom w:val="single" w:sz="8" w:space="2" w:color="2E75B6"/>
        </w:pBdr>
        <w:spacing w:after="160"/>
      </w:pPr>
      <w:r>
        <w:rPr>
          <w:b/>
          <w:bCs/>
          <w:caps/>
          <w:color w:val="1F4E79"/>
          <w:sz w:val="28"/>
          <w:szCs w:val="28"/>
        </w:rPr>
        <w:t>10. Key TAKEAWAYS &amp; COnCLUsion</w:t>
      </w:r>
    </w:p>
    <w:p w14:paraId="6C00B35C" w14:textId="77777777" w:rsidR="002E7E76" w:rsidRDefault="002E7E76" w:rsidP="002E7E76">
      <w:pPr>
        <w:spacing w:after="120"/>
      </w:pPr>
    </w:p>
    <w:p w14:paraId="71EDC36F" w14:textId="77777777" w:rsidR="002E7E76" w:rsidRPr="002F43B0" w:rsidRDefault="002E7E76" w:rsidP="002E7E76">
      <w:pPr>
        <w:spacing w:after="120"/>
        <w:rPr>
          <w:b/>
          <w:bCs/>
        </w:rPr>
      </w:pPr>
      <w:r w:rsidRPr="002F43B0">
        <w:rPr>
          <w:rFonts w:ascii="Segoe UI Emoji" w:hAnsi="Segoe UI Emoji" w:cs="Segoe UI Emoji"/>
          <w:b/>
          <w:bCs/>
        </w:rPr>
        <w:t>🔍</w:t>
      </w:r>
      <w:r w:rsidRPr="002F43B0">
        <w:rPr>
          <w:b/>
          <w:bCs/>
        </w:rPr>
        <w:t xml:space="preserve"> Key Takeaways</w:t>
      </w:r>
    </w:p>
    <w:p w14:paraId="496F72A2" w14:textId="77777777" w:rsidR="002E7E76" w:rsidRPr="002F43B0" w:rsidRDefault="002E7E76" w:rsidP="002E7E76">
      <w:pPr>
        <w:numPr>
          <w:ilvl w:val="0"/>
          <w:numId w:val="2"/>
        </w:numPr>
        <w:spacing w:after="120"/>
      </w:pPr>
      <w:r w:rsidRPr="002F43B0">
        <w:rPr>
          <w:b/>
          <w:bCs/>
        </w:rPr>
        <w:t>Churn is significantly high (26.54%)</w:t>
      </w:r>
      <w:r w:rsidRPr="002F43B0">
        <w:br/>
        <w:t xml:space="preserve">→ Around </w:t>
      </w:r>
      <w:r w:rsidRPr="002F43B0">
        <w:rPr>
          <w:b/>
          <w:bCs/>
        </w:rPr>
        <w:t>1 in 4 customers leaving</w:t>
      </w:r>
      <w:r w:rsidRPr="002F43B0">
        <w:t xml:space="preserve">, indicating serious revenue loss risk. </w:t>
      </w:r>
    </w:p>
    <w:p w14:paraId="538D8DB0" w14:textId="77777777" w:rsidR="002E7E76" w:rsidRPr="002F43B0" w:rsidRDefault="002E7E76" w:rsidP="002E7E76">
      <w:pPr>
        <w:numPr>
          <w:ilvl w:val="0"/>
          <w:numId w:val="2"/>
        </w:numPr>
        <w:spacing w:after="120"/>
      </w:pPr>
      <w:r w:rsidRPr="002F43B0">
        <w:rPr>
          <w:b/>
          <w:bCs/>
        </w:rPr>
        <w:t>Churn is concentrated, not random</w:t>
      </w:r>
      <w:r w:rsidRPr="002F43B0">
        <w:br/>
        <w:t xml:space="preserve">→ Specific segments are responsible for most churn, making it </w:t>
      </w:r>
      <w:r w:rsidRPr="002F43B0">
        <w:rPr>
          <w:b/>
          <w:bCs/>
        </w:rPr>
        <w:t>predictable and controllable</w:t>
      </w:r>
      <w:r w:rsidRPr="002F43B0">
        <w:t xml:space="preserve">. </w:t>
      </w:r>
    </w:p>
    <w:p w14:paraId="788174CC" w14:textId="77777777" w:rsidR="002E7E76" w:rsidRPr="002F43B0" w:rsidRDefault="002E7E76" w:rsidP="002E7E76">
      <w:pPr>
        <w:numPr>
          <w:ilvl w:val="0"/>
          <w:numId w:val="2"/>
        </w:numPr>
        <w:spacing w:after="120"/>
      </w:pPr>
      <w:r w:rsidRPr="002F43B0">
        <w:rPr>
          <w:b/>
          <w:bCs/>
        </w:rPr>
        <w:t>Top high-risk customer segments:</w:t>
      </w:r>
      <w:r w:rsidRPr="002F43B0">
        <w:t xml:space="preserve"> </w:t>
      </w:r>
    </w:p>
    <w:p w14:paraId="196AAA7A" w14:textId="77777777" w:rsidR="002E7E76" w:rsidRPr="002F43B0" w:rsidRDefault="002E7E76" w:rsidP="002E7E76">
      <w:pPr>
        <w:numPr>
          <w:ilvl w:val="1"/>
          <w:numId w:val="2"/>
        </w:numPr>
        <w:spacing w:after="120"/>
      </w:pPr>
      <w:r w:rsidRPr="002F43B0">
        <w:t xml:space="preserve">Month-to-month contract users (highest churn) </w:t>
      </w:r>
    </w:p>
    <w:p w14:paraId="2C1AC13F" w14:textId="77777777" w:rsidR="002E7E76" w:rsidRPr="002F43B0" w:rsidRDefault="002E7E76" w:rsidP="002E7E76">
      <w:pPr>
        <w:numPr>
          <w:ilvl w:val="1"/>
          <w:numId w:val="2"/>
        </w:numPr>
        <w:spacing w:after="120"/>
      </w:pPr>
      <w:r w:rsidRPr="002F43B0">
        <w:t xml:space="preserve">Fiber Optic subscribers (premium but dissatisfied) </w:t>
      </w:r>
    </w:p>
    <w:p w14:paraId="197446D6" w14:textId="77777777" w:rsidR="002E7E76" w:rsidRPr="002F43B0" w:rsidRDefault="002E7E76" w:rsidP="002E7E76">
      <w:pPr>
        <w:numPr>
          <w:ilvl w:val="1"/>
          <w:numId w:val="2"/>
        </w:numPr>
        <w:spacing w:after="120"/>
      </w:pPr>
      <w:r w:rsidRPr="002F43B0">
        <w:t xml:space="preserve">Senior citizens (~41% churn) </w:t>
      </w:r>
    </w:p>
    <w:p w14:paraId="1CCE3505" w14:textId="77777777" w:rsidR="002E7E76" w:rsidRPr="002F43B0" w:rsidRDefault="002E7E76" w:rsidP="002E7E76">
      <w:pPr>
        <w:numPr>
          <w:ilvl w:val="1"/>
          <w:numId w:val="2"/>
        </w:numPr>
        <w:spacing w:after="120"/>
      </w:pPr>
      <w:r w:rsidRPr="002F43B0">
        <w:t xml:space="preserve">New customers (0–12 months tenure) </w:t>
      </w:r>
    </w:p>
    <w:p w14:paraId="2DD4B9EA" w14:textId="77777777" w:rsidR="002E7E76" w:rsidRPr="002F43B0" w:rsidRDefault="002E7E76" w:rsidP="002E7E76">
      <w:pPr>
        <w:numPr>
          <w:ilvl w:val="1"/>
          <w:numId w:val="2"/>
        </w:numPr>
        <w:spacing w:after="120"/>
      </w:pPr>
      <w:r w:rsidRPr="002F43B0">
        <w:t xml:space="preserve">Electronic check users (manual payment behaviour) </w:t>
      </w:r>
    </w:p>
    <w:p w14:paraId="54ED0938" w14:textId="77777777" w:rsidR="002E7E76" w:rsidRPr="002F43B0" w:rsidRDefault="002E7E76" w:rsidP="002E7E76">
      <w:pPr>
        <w:numPr>
          <w:ilvl w:val="0"/>
          <w:numId w:val="2"/>
        </w:numPr>
        <w:spacing w:after="120"/>
      </w:pPr>
      <w:r w:rsidRPr="002F43B0">
        <w:rPr>
          <w:b/>
          <w:bCs/>
        </w:rPr>
        <w:t>Contract type is the strongest churn driver</w:t>
      </w:r>
      <w:r w:rsidRPr="002F43B0">
        <w:br/>
        <w:t>→ Longer contracts = higher retention</w:t>
      </w:r>
      <w:r w:rsidRPr="002F43B0">
        <w:br/>
        <w:t xml:space="preserve">→ Short-term flexibility = higher switching </w:t>
      </w:r>
    </w:p>
    <w:p w14:paraId="24878090" w14:textId="77777777" w:rsidR="002E7E76" w:rsidRPr="002F43B0" w:rsidRDefault="002E7E76" w:rsidP="002E7E76">
      <w:pPr>
        <w:numPr>
          <w:ilvl w:val="0"/>
          <w:numId w:val="2"/>
        </w:numPr>
        <w:spacing w:after="120"/>
      </w:pPr>
      <w:r w:rsidRPr="002F43B0">
        <w:rPr>
          <w:b/>
          <w:bCs/>
        </w:rPr>
        <w:t>Price sensitivity &amp; value perception matter</w:t>
      </w:r>
      <w:r w:rsidRPr="002F43B0">
        <w:br/>
        <w:t xml:space="preserve">→ High-paying customers (especially Fiber Optic users) churn more due to </w:t>
      </w:r>
      <w:r w:rsidRPr="002F43B0">
        <w:rPr>
          <w:b/>
          <w:bCs/>
        </w:rPr>
        <w:t>value mismatch</w:t>
      </w:r>
      <w:r w:rsidRPr="002F43B0">
        <w:t xml:space="preserve"> </w:t>
      </w:r>
    </w:p>
    <w:p w14:paraId="7D5BD845" w14:textId="77777777" w:rsidR="002E7E76" w:rsidRPr="002F43B0" w:rsidRDefault="002E7E76" w:rsidP="002E7E76">
      <w:pPr>
        <w:numPr>
          <w:ilvl w:val="0"/>
          <w:numId w:val="2"/>
        </w:numPr>
        <w:spacing w:after="120"/>
      </w:pPr>
      <w:r w:rsidRPr="002F43B0">
        <w:rPr>
          <w:b/>
          <w:bCs/>
        </w:rPr>
        <w:t>Customer engagement reduces churn</w:t>
      </w:r>
      <w:r w:rsidRPr="002F43B0">
        <w:t xml:space="preserve"> </w:t>
      </w:r>
    </w:p>
    <w:p w14:paraId="4784C59A" w14:textId="77777777" w:rsidR="002E7E76" w:rsidRPr="002F43B0" w:rsidRDefault="002E7E76" w:rsidP="002E7E76">
      <w:pPr>
        <w:numPr>
          <w:ilvl w:val="1"/>
          <w:numId w:val="2"/>
        </w:numPr>
        <w:spacing w:after="120"/>
      </w:pPr>
      <w:r w:rsidRPr="002F43B0">
        <w:t xml:space="preserve">Add-on services (security, backup, support) → lower churn </w:t>
      </w:r>
    </w:p>
    <w:p w14:paraId="4B9D8C92" w14:textId="77777777" w:rsidR="002E7E76" w:rsidRPr="002F43B0" w:rsidRDefault="002E7E76" w:rsidP="002E7E76">
      <w:pPr>
        <w:numPr>
          <w:ilvl w:val="1"/>
          <w:numId w:val="2"/>
        </w:numPr>
        <w:spacing w:after="120"/>
      </w:pPr>
      <w:r w:rsidRPr="002F43B0">
        <w:t xml:space="preserve">Auto-payment users → more loyal </w:t>
      </w:r>
    </w:p>
    <w:p w14:paraId="76269EE4" w14:textId="77777777" w:rsidR="002E7E76" w:rsidRPr="002F43B0" w:rsidRDefault="002E7E76" w:rsidP="002E7E76">
      <w:pPr>
        <w:numPr>
          <w:ilvl w:val="1"/>
          <w:numId w:val="2"/>
        </w:numPr>
        <w:spacing w:after="120"/>
      </w:pPr>
      <w:r w:rsidRPr="002F43B0">
        <w:t xml:space="preserve">Family/partner customers → more stable </w:t>
      </w:r>
    </w:p>
    <w:p w14:paraId="42AA9993" w14:textId="77777777" w:rsidR="002E7E76" w:rsidRPr="002F43B0" w:rsidRDefault="002E7E76" w:rsidP="002E7E76">
      <w:pPr>
        <w:numPr>
          <w:ilvl w:val="0"/>
          <w:numId w:val="2"/>
        </w:numPr>
        <w:spacing w:after="120"/>
      </w:pPr>
      <w:r w:rsidRPr="002F43B0">
        <w:rPr>
          <w:b/>
          <w:bCs/>
        </w:rPr>
        <w:t>Early-stage customer experience is critical</w:t>
      </w:r>
      <w:r w:rsidRPr="002F43B0">
        <w:br/>
        <w:t xml:space="preserve">→ Most churn happens in the </w:t>
      </w:r>
      <w:r w:rsidRPr="002F43B0">
        <w:rPr>
          <w:b/>
          <w:bCs/>
        </w:rPr>
        <w:t>first 12 months</w:t>
      </w:r>
      <w:r w:rsidRPr="002F43B0">
        <w:t xml:space="preserve">, highlighting onboarding issues </w:t>
      </w:r>
    </w:p>
    <w:p w14:paraId="25D262E9" w14:textId="77777777" w:rsidR="002E7E76" w:rsidRPr="002F43B0" w:rsidRDefault="002E7E76" w:rsidP="002E7E76">
      <w:pPr>
        <w:numPr>
          <w:ilvl w:val="0"/>
          <w:numId w:val="2"/>
        </w:numPr>
        <w:spacing w:after="120"/>
      </w:pPr>
      <w:r w:rsidRPr="002F43B0">
        <w:rPr>
          <w:b/>
          <w:bCs/>
        </w:rPr>
        <w:t>Behavioural factors influence churn</w:t>
      </w:r>
      <w:r w:rsidRPr="002F43B0">
        <w:t xml:space="preserve"> </w:t>
      </w:r>
    </w:p>
    <w:p w14:paraId="13295B90" w14:textId="77777777" w:rsidR="002E7E76" w:rsidRPr="002F43B0" w:rsidRDefault="002E7E76" w:rsidP="002E7E76">
      <w:pPr>
        <w:numPr>
          <w:ilvl w:val="1"/>
          <w:numId w:val="2"/>
        </w:numPr>
        <w:spacing w:after="120"/>
      </w:pPr>
      <w:r w:rsidRPr="002F43B0">
        <w:t xml:space="preserve">Manual payments = higher churn </w:t>
      </w:r>
    </w:p>
    <w:p w14:paraId="34AA71C3" w14:textId="77777777" w:rsidR="002E7E76" w:rsidRPr="002F43B0" w:rsidRDefault="002E7E76" w:rsidP="002E7E76">
      <w:pPr>
        <w:numPr>
          <w:ilvl w:val="1"/>
          <w:numId w:val="2"/>
        </w:numPr>
        <w:spacing w:after="120"/>
      </w:pPr>
      <w:r w:rsidRPr="002F43B0">
        <w:t xml:space="preserve">Lack of bundled services = lower engagement </w:t>
      </w:r>
    </w:p>
    <w:p w14:paraId="09DB2680" w14:textId="77777777" w:rsidR="002E7E76" w:rsidRPr="002F43B0" w:rsidRDefault="002E7E76" w:rsidP="002E7E76">
      <w:pPr>
        <w:numPr>
          <w:ilvl w:val="0"/>
          <w:numId w:val="2"/>
        </w:numPr>
        <w:spacing w:after="120"/>
      </w:pPr>
      <w:r w:rsidRPr="002F43B0">
        <w:rPr>
          <w:b/>
          <w:bCs/>
        </w:rPr>
        <w:t>Retention can be improved with targeted strategies</w:t>
      </w:r>
      <w:r w:rsidRPr="002F43B0">
        <w:t xml:space="preserve"> </w:t>
      </w:r>
    </w:p>
    <w:p w14:paraId="3760BC1D" w14:textId="77777777" w:rsidR="002E7E76" w:rsidRPr="002F43B0" w:rsidRDefault="002E7E76" w:rsidP="002E7E76">
      <w:pPr>
        <w:numPr>
          <w:ilvl w:val="1"/>
          <w:numId w:val="2"/>
        </w:numPr>
        <w:spacing w:after="120"/>
      </w:pPr>
      <w:r w:rsidRPr="002F43B0">
        <w:t xml:space="preserve">Contract upgrades (monthly → yearly) </w:t>
      </w:r>
    </w:p>
    <w:p w14:paraId="151D868B" w14:textId="77777777" w:rsidR="002E7E76" w:rsidRPr="002F43B0" w:rsidRDefault="002E7E76" w:rsidP="002E7E76">
      <w:pPr>
        <w:numPr>
          <w:ilvl w:val="1"/>
          <w:numId w:val="2"/>
        </w:numPr>
        <w:spacing w:after="120"/>
      </w:pPr>
      <w:r w:rsidRPr="002F43B0">
        <w:t xml:space="preserve">Auto-pay adoption </w:t>
      </w:r>
    </w:p>
    <w:p w14:paraId="28BF4C74" w14:textId="77777777" w:rsidR="002E7E76" w:rsidRPr="002F43B0" w:rsidRDefault="002E7E76" w:rsidP="002E7E76">
      <w:pPr>
        <w:numPr>
          <w:ilvl w:val="1"/>
          <w:numId w:val="2"/>
        </w:numPr>
        <w:spacing w:after="120"/>
      </w:pPr>
      <w:r w:rsidRPr="002F43B0">
        <w:t xml:space="preserve">Better onboarding experience </w:t>
      </w:r>
    </w:p>
    <w:p w14:paraId="4DE4BC55" w14:textId="77777777" w:rsidR="002E7E76" w:rsidRPr="002F43B0" w:rsidRDefault="002E7E76" w:rsidP="002E7E76">
      <w:pPr>
        <w:numPr>
          <w:ilvl w:val="1"/>
          <w:numId w:val="2"/>
        </w:numPr>
        <w:spacing w:after="120"/>
      </w:pPr>
      <w:r w:rsidRPr="002F43B0">
        <w:lastRenderedPageBreak/>
        <w:t xml:space="preserve">Senior citizen-focused support </w:t>
      </w:r>
    </w:p>
    <w:p w14:paraId="5B19D993" w14:textId="77777777" w:rsidR="002E7E76" w:rsidRPr="002F43B0" w:rsidRDefault="002E7E76" w:rsidP="002E7E76">
      <w:pPr>
        <w:numPr>
          <w:ilvl w:val="1"/>
          <w:numId w:val="2"/>
        </w:numPr>
        <w:spacing w:after="120"/>
      </w:pPr>
      <w:r w:rsidRPr="002F43B0">
        <w:t xml:space="preserve">Service bundling &amp; cross-selling </w:t>
      </w:r>
    </w:p>
    <w:p w14:paraId="09BCCE4C" w14:textId="77777777" w:rsidR="002E7E76" w:rsidRPr="002F43B0" w:rsidRDefault="002E7E76" w:rsidP="002E7E76">
      <w:pPr>
        <w:numPr>
          <w:ilvl w:val="0"/>
          <w:numId w:val="2"/>
        </w:numPr>
        <w:spacing w:after="120"/>
      </w:pPr>
      <w:r w:rsidRPr="002F43B0">
        <w:rPr>
          <w:b/>
          <w:bCs/>
        </w:rPr>
        <w:t>Strong opportunity for predictive analytics</w:t>
      </w:r>
      <w:r w:rsidRPr="002F43B0">
        <w:br/>
        <w:t xml:space="preserve">→ Using these factors, a </w:t>
      </w:r>
      <w:r w:rsidRPr="002F43B0">
        <w:rPr>
          <w:b/>
          <w:bCs/>
        </w:rPr>
        <w:t>churn prediction model</w:t>
      </w:r>
      <w:r w:rsidRPr="002F43B0">
        <w:t xml:space="preserve"> can proactively identify at-risk customers</w:t>
      </w:r>
    </w:p>
    <w:p w14:paraId="42183075" w14:textId="77777777" w:rsidR="002E7E76" w:rsidRDefault="002E7E76" w:rsidP="00D04D19">
      <w:pPr>
        <w:spacing w:after="120"/>
      </w:pPr>
    </w:p>
    <w:p w14:paraId="072616C4" w14:textId="7DE51F4C" w:rsidR="002E7E76" w:rsidRDefault="002E7E76" w:rsidP="00D04D19">
      <w:pPr>
        <w:spacing w:after="120"/>
      </w:pPr>
      <w:r w:rsidRPr="002F43B0">
        <w:rPr>
          <w:rFonts w:ascii="Segoe UI Emoji" w:hAnsi="Segoe UI Emoji" w:cs="Segoe UI Emoji"/>
          <w:b/>
          <w:bCs/>
        </w:rPr>
        <w:t>🔍</w:t>
      </w:r>
      <w:r>
        <w:rPr>
          <w:rFonts w:ascii="Segoe UI Emoji" w:hAnsi="Segoe UI Emoji" w:cs="Segoe UI Emoji"/>
          <w:b/>
          <w:bCs/>
        </w:rPr>
        <w:t>CONCLUSION</w:t>
      </w:r>
    </w:p>
    <w:p w14:paraId="6291FEB2" w14:textId="3507CBE6" w:rsidR="00D04D19" w:rsidRPr="00D04D19" w:rsidRDefault="00D04D19" w:rsidP="00D04D19">
      <w:pPr>
        <w:spacing w:after="120"/>
      </w:pPr>
      <w:r w:rsidRPr="00D04D19">
        <w:t>The telecom customer churn analysis reveals that the overall churn rate is significantly high at 26.54%, meaning nearly one in four customers leave the service, posing a serious risk to revenue. Importantly, churn is not random but concentrated within specific, identifiable segments, making it predictable and actionable. The most vulnerable groups include month-to-month contract users, Fiber Optic subscribers, senior citizens, new customers within their first 12 months, and those using electronic check payments. Among these, contract type emerges as the strongest predictor, with short-term contracts leading to higher churn due to low switching barriers, while long-term contracts improve retention.</w:t>
      </w:r>
    </w:p>
    <w:p w14:paraId="15E4CB62" w14:textId="30CD618B" w:rsidR="00D04D19" w:rsidRPr="00D04D19" w:rsidRDefault="00D04D19" w:rsidP="00D04D19">
      <w:pPr>
        <w:spacing w:after="120"/>
      </w:pPr>
      <w:r w:rsidRPr="00D04D19">
        <w:t>Additionally, price sensitivity and perceived value play a crucial role, as customers paying higher charges—especially Fiber Optic users—are more likely to churn, suggesting dissatisfaction with service quality or pricing. Customer engagement also strongly influences retention, with users who adopt add-on services, auto-payment methods, or family plans showing significantly lower churn rates. Early customer experience is another critical factor, as most churn occurs within the first year, highlighting gaps in onboarding and initial engagement. Behavioural patterns such as manual payments and lack of bundled services further contribute to higher churn.</w:t>
      </w:r>
    </w:p>
    <w:p w14:paraId="055B247B" w14:textId="77777777" w:rsidR="00D04D19" w:rsidRPr="00D04D19" w:rsidRDefault="00D04D19" w:rsidP="00D04D19">
      <w:pPr>
        <w:spacing w:after="120"/>
      </w:pPr>
      <w:r w:rsidRPr="00D04D19">
        <w:t>Overall, the analysis highlights a strong opportunity for targeted retention strategies, including promoting long-term contracts, encouraging auto-pay adoption, improving onboarding experiences, offering tailored support for senior citizens, and increasing service bundling. Furthermore, these insights provide a solid foundation for developing a predictive churn model, enabling the company to proactively identify and retain at-risk customers, shifting from a reactive to a data-driven, preventive approach</w:t>
      </w:r>
    </w:p>
    <w:p w14:paraId="72E21D42" w14:textId="77777777" w:rsidR="00B9432C" w:rsidRDefault="00B9432C">
      <w:pPr>
        <w:spacing w:after="120"/>
      </w:pPr>
    </w:p>
    <w:p w14:paraId="62E61A56" w14:textId="77777777" w:rsidR="002F43B0" w:rsidRDefault="002F43B0">
      <w:pPr>
        <w:spacing w:after="120"/>
      </w:pPr>
    </w:p>
    <w:p w14:paraId="72E21D43" w14:textId="77777777" w:rsidR="00B9432C" w:rsidRDefault="002E7E76">
      <w:pPr>
        <w:pBdr>
          <w:top w:val="single" w:sz="6" w:space="2" w:color="2E75B6"/>
        </w:pBdr>
        <w:spacing w:before="120" w:after="60"/>
      </w:pPr>
      <w:r>
        <w:rPr>
          <w:i/>
          <w:iCs/>
          <w:color w:val="808080"/>
          <w:sz w:val="18"/>
          <w:szCs w:val="18"/>
        </w:rPr>
        <w:t>Document prepared from exploratory data analysis of the Customer Churn dataset (7,043 records). All figures are derived from the dataset. Percentages may not sum to 100% due to rounding.</w:t>
      </w:r>
    </w:p>
    <w:sectPr w:rsidR="00B9432C">
      <w:headerReference w:type="default" r:id="rId7"/>
      <w:footerReference w:type="default" r:id="rId8"/>
      <w:pgSz w:w="12240" w:h="15840"/>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0EB8C" w14:textId="77777777" w:rsidR="008D6893" w:rsidRDefault="008D6893">
      <w:r>
        <w:separator/>
      </w:r>
    </w:p>
  </w:endnote>
  <w:endnote w:type="continuationSeparator" w:id="0">
    <w:p w14:paraId="3E82DCE6" w14:textId="77777777" w:rsidR="008D6893" w:rsidRDefault="008D6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21D47" w14:textId="1B8A761A" w:rsidR="00B9432C" w:rsidRDefault="002E7E76">
    <w:pPr>
      <w:pBdr>
        <w:top w:val="single" w:sz="4" w:space="2" w:color="2E75B6"/>
      </w:pBdr>
      <w:tabs>
        <w:tab w:val="right" w:pos="9026"/>
      </w:tabs>
    </w:pPr>
    <w:r>
      <w:rPr>
        <w:color w:val="808080"/>
        <w:sz w:val="18"/>
        <w:szCs w:val="18"/>
      </w:rPr>
      <w:t>Confidential — Internal Use Only</w:t>
    </w:r>
    <w:r>
      <w:rPr>
        <w:color w:val="808080"/>
        <w:sz w:val="18"/>
        <w:szCs w:val="18"/>
      </w:rPr>
      <w:tab/>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692E27">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692E27">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004C9" w14:textId="77777777" w:rsidR="008D6893" w:rsidRDefault="008D6893">
      <w:r>
        <w:separator/>
      </w:r>
    </w:p>
  </w:footnote>
  <w:footnote w:type="continuationSeparator" w:id="0">
    <w:p w14:paraId="0B257776" w14:textId="77777777" w:rsidR="008D6893" w:rsidRDefault="008D68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bottom w:val="single" w:sz="6" w:space="2"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0"/>
      <w:gridCol w:w="3000"/>
    </w:tblGrid>
    <w:tr w:rsidR="00B9432C" w14:paraId="72E21D46" w14:textId="77777777">
      <w:tc>
        <w:tcPr>
          <w:tcW w:w="7080" w:type="dxa"/>
        </w:tcPr>
        <w:p w14:paraId="72E21D44" w14:textId="77777777" w:rsidR="00B9432C" w:rsidRDefault="002E7E76">
          <w:r>
            <w:rPr>
              <w:b/>
              <w:bCs/>
              <w:color w:val="1F4E79"/>
              <w:sz w:val="20"/>
              <w:szCs w:val="20"/>
            </w:rPr>
            <w:t>TELECOM CUSTOMER CHURN ANALYSIS</w:t>
          </w:r>
        </w:p>
      </w:tc>
      <w:tc>
        <w:tcPr>
          <w:tcW w:w="3000" w:type="dxa"/>
        </w:tcPr>
        <w:p w14:paraId="72E21D45" w14:textId="77777777" w:rsidR="00B9432C" w:rsidRDefault="002E7E76">
          <w:pPr>
            <w:jc w:val="right"/>
          </w:pPr>
          <w:r>
            <w:rPr>
              <w:color w:val="808080"/>
              <w:sz w:val="18"/>
              <w:szCs w:val="18"/>
            </w:rPr>
            <w:t>Executive Summary | April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808D7"/>
    <w:multiLevelType w:val="multilevel"/>
    <w:tmpl w:val="95348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0D0988"/>
    <w:multiLevelType w:val="hybridMultilevel"/>
    <w:tmpl w:val="8F449F34"/>
    <w:lvl w:ilvl="0" w:tplc="F42CBFC4">
      <w:start w:val="1"/>
      <w:numFmt w:val="bullet"/>
      <w:lvlText w:val="•"/>
      <w:lvlJc w:val="left"/>
      <w:pPr>
        <w:ind w:left="560" w:hanging="280"/>
      </w:pPr>
      <w:rPr>
        <w:rFonts w:ascii="Calibri" w:eastAsia="Calibri" w:hAnsi="Calibri" w:cs="Calibri"/>
        <w:sz w:val="22"/>
        <w:szCs w:val="22"/>
      </w:rPr>
    </w:lvl>
    <w:lvl w:ilvl="1" w:tplc="33EEB078">
      <w:start w:val="1"/>
      <w:numFmt w:val="bullet"/>
      <w:lvlText w:val="◦"/>
      <w:lvlJc w:val="left"/>
      <w:pPr>
        <w:ind w:left="900" w:hanging="280"/>
      </w:pPr>
      <w:rPr>
        <w:rFonts w:ascii="Calibri" w:eastAsia="Calibri" w:hAnsi="Calibri" w:cs="Calibri"/>
        <w:sz w:val="20"/>
        <w:szCs w:val="20"/>
      </w:rPr>
    </w:lvl>
    <w:lvl w:ilvl="2" w:tplc="68C4C8C2">
      <w:numFmt w:val="decimal"/>
      <w:lvlText w:val=""/>
      <w:lvlJc w:val="left"/>
    </w:lvl>
    <w:lvl w:ilvl="3" w:tplc="558C6868">
      <w:numFmt w:val="decimal"/>
      <w:lvlText w:val=""/>
      <w:lvlJc w:val="left"/>
    </w:lvl>
    <w:lvl w:ilvl="4" w:tplc="EC760912">
      <w:numFmt w:val="decimal"/>
      <w:lvlText w:val=""/>
      <w:lvlJc w:val="left"/>
    </w:lvl>
    <w:lvl w:ilvl="5" w:tplc="757451A8">
      <w:numFmt w:val="decimal"/>
      <w:lvlText w:val=""/>
      <w:lvlJc w:val="left"/>
    </w:lvl>
    <w:lvl w:ilvl="6" w:tplc="F6165102">
      <w:numFmt w:val="decimal"/>
      <w:lvlText w:val=""/>
      <w:lvlJc w:val="left"/>
    </w:lvl>
    <w:lvl w:ilvl="7" w:tplc="1164A632">
      <w:numFmt w:val="decimal"/>
      <w:lvlText w:val=""/>
      <w:lvlJc w:val="left"/>
    </w:lvl>
    <w:lvl w:ilvl="8" w:tplc="5A1A2952">
      <w:numFmt w:val="decimal"/>
      <w:lvlText w:val=""/>
      <w:lvlJc w:val="left"/>
    </w:lvl>
  </w:abstractNum>
  <w:abstractNum w:abstractNumId="2" w15:restartNumberingAfterBreak="0">
    <w:nsid w:val="675C0889"/>
    <w:multiLevelType w:val="hybridMultilevel"/>
    <w:tmpl w:val="2DD0FC50"/>
    <w:lvl w:ilvl="0" w:tplc="479A7552">
      <w:start w:val="1"/>
      <w:numFmt w:val="bullet"/>
      <w:lvlText w:val="●"/>
      <w:lvlJc w:val="left"/>
      <w:pPr>
        <w:ind w:left="720" w:hanging="360"/>
      </w:pPr>
    </w:lvl>
    <w:lvl w:ilvl="1" w:tplc="2A5087A2">
      <w:start w:val="1"/>
      <w:numFmt w:val="bullet"/>
      <w:lvlText w:val="○"/>
      <w:lvlJc w:val="left"/>
      <w:pPr>
        <w:ind w:left="1440" w:hanging="360"/>
      </w:pPr>
    </w:lvl>
    <w:lvl w:ilvl="2" w:tplc="B59CAAD6">
      <w:start w:val="1"/>
      <w:numFmt w:val="bullet"/>
      <w:lvlText w:val="■"/>
      <w:lvlJc w:val="left"/>
      <w:pPr>
        <w:ind w:left="2160" w:hanging="360"/>
      </w:pPr>
    </w:lvl>
    <w:lvl w:ilvl="3" w:tplc="75721254">
      <w:start w:val="1"/>
      <w:numFmt w:val="bullet"/>
      <w:lvlText w:val="●"/>
      <w:lvlJc w:val="left"/>
      <w:pPr>
        <w:ind w:left="2880" w:hanging="360"/>
      </w:pPr>
    </w:lvl>
    <w:lvl w:ilvl="4" w:tplc="A5ECFE66">
      <w:start w:val="1"/>
      <w:numFmt w:val="bullet"/>
      <w:lvlText w:val="○"/>
      <w:lvlJc w:val="left"/>
      <w:pPr>
        <w:ind w:left="3600" w:hanging="360"/>
      </w:pPr>
    </w:lvl>
    <w:lvl w:ilvl="5" w:tplc="1F464ACC">
      <w:start w:val="1"/>
      <w:numFmt w:val="bullet"/>
      <w:lvlText w:val="■"/>
      <w:lvlJc w:val="left"/>
      <w:pPr>
        <w:ind w:left="4320" w:hanging="360"/>
      </w:pPr>
    </w:lvl>
    <w:lvl w:ilvl="6" w:tplc="F5E88758">
      <w:start w:val="1"/>
      <w:numFmt w:val="bullet"/>
      <w:lvlText w:val="●"/>
      <w:lvlJc w:val="left"/>
      <w:pPr>
        <w:ind w:left="5040" w:hanging="360"/>
      </w:pPr>
    </w:lvl>
    <w:lvl w:ilvl="7" w:tplc="DE0E51A8">
      <w:start w:val="1"/>
      <w:numFmt w:val="bullet"/>
      <w:lvlText w:val="●"/>
      <w:lvlJc w:val="left"/>
      <w:pPr>
        <w:ind w:left="5760" w:hanging="360"/>
      </w:pPr>
    </w:lvl>
    <w:lvl w:ilvl="8" w:tplc="01D83D70">
      <w:start w:val="1"/>
      <w:numFmt w:val="bullet"/>
      <w:lvlText w:val="●"/>
      <w:lvlJc w:val="left"/>
      <w:pPr>
        <w:ind w:left="6480" w:hanging="360"/>
      </w:pPr>
    </w:lvl>
  </w:abstractNum>
  <w:num w:numId="1" w16cid:durableId="1347171316">
    <w:abstractNumId w:val="2"/>
    <w:lvlOverride w:ilvl="0">
      <w:startOverride w:val="1"/>
    </w:lvlOverride>
  </w:num>
  <w:num w:numId="2" w16cid:durableId="1094936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32C"/>
    <w:rsid w:val="000872DD"/>
    <w:rsid w:val="000C51A7"/>
    <w:rsid w:val="002E7E76"/>
    <w:rsid w:val="002F43B0"/>
    <w:rsid w:val="00692E27"/>
    <w:rsid w:val="008D6893"/>
    <w:rsid w:val="009B1167"/>
    <w:rsid w:val="00AA6C6D"/>
    <w:rsid w:val="00B9432C"/>
    <w:rsid w:val="00BE56A7"/>
    <w:rsid w:val="00D04D19"/>
    <w:rsid w:val="00EC3F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21C1D"/>
  <w15:docId w15:val="{F7C173F0-B490-4F35-8A94-2249AA732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92E27"/>
    <w:pPr>
      <w:tabs>
        <w:tab w:val="center" w:pos="4513"/>
        <w:tab w:val="right" w:pos="9026"/>
      </w:tabs>
    </w:pPr>
  </w:style>
  <w:style w:type="character" w:customStyle="1" w:styleId="HeaderChar">
    <w:name w:val="Header Char"/>
    <w:basedOn w:val="DefaultParagraphFont"/>
    <w:link w:val="Header"/>
    <w:uiPriority w:val="99"/>
    <w:rsid w:val="00692E27"/>
  </w:style>
  <w:style w:type="paragraph" w:styleId="Footer">
    <w:name w:val="footer"/>
    <w:basedOn w:val="Normal"/>
    <w:link w:val="FooterChar"/>
    <w:uiPriority w:val="99"/>
    <w:unhideWhenUsed/>
    <w:rsid w:val="00692E27"/>
    <w:pPr>
      <w:tabs>
        <w:tab w:val="center" w:pos="4513"/>
        <w:tab w:val="right" w:pos="9026"/>
      </w:tabs>
    </w:pPr>
  </w:style>
  <w:style w:type="character" w:customStyle="1" w:styleId="FooterChar">
    <w:name w:val="Footer Char"/>
    <w:basedOn w:val="DefaultParagraphFont"/>
    <w:link w:val="Footer"/>
    <w:uiPriority w:val="99"/>
    <w:rsid w:val="00692E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2062</Words>
  <Characters>11754</Characters>
  <Application>Microsoft Office Word</Application>
  <DocSecurity>0</DocSecurity>
  <Lines>97</Lines>
  <Paragraphs>27</Paragraphs>
  <ScaleCrop>false</ScaleCrop>
  <Company/>
  <LinksUpToDate>false</LinksUpToDate>
  <CharactersWithSpaces>13789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Bilal Ahmed</cp:lastModifiedBy>
  <cp:revision>7</cp:revision>
  <dcterms:created xsi:type="dcterms:W3CDTF">2026-04-14T13:44:00Z</dcterms:created>
  <dcterms:modified xsi:type="dcterms:W3CDTF">2026-04-30T12:30:00Z</dcterms:modified>
</cp:coreProperties>
</file>