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La surcharge des opérateurs est un type de polymorphisme qui permet de redéfinir le comportement des opérateurs pour des objets de types différents. Cela permet d'écrire un code plus générique et plus lisible.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En Python, la surcharge des opérateurs est réalisée en utilisant des méthodes spéciales commençant par un double tiret bas (__) et le nom de l'opérateur. Par exemple, la surcharge de l'opérateur d'addition (+) est réalisée à l'aide de la méthode spéciale </w:t>
      </w:r>
      <w:r w:rsidDel="00000000" w:rsidR="00000000" w:rsidRPr="00000000">
        <w:rPr>
          <w:rFonts w:ascii="Courier New" w:cs="Courier New" w:eastAsia="Courier New" w:hAnsi="Courier New"/>
          <w:color w:val="444746"/>
          <w:sz w:val="21"/>
          <w:szCs w:val="21"/>
          <w:shd w:fill="e9e8e8" w:val="clear"/>
          <w:rtl w:val="0"/>
        </w:rPr>
        <w:t xml:space="preserve">__add__()</w:t>
      </w:r>
      <w:r w:rsidDel="00000000" w:rsidR="00000000" w:rsidRPr="00000000">
        <w:rPr>
          <w:color w:val="1f1f1f"/>
          <w:sz w:val="24"/>
          <w:szCs w:val="24"/>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Voici un exemple de surcharge de l'opérateur d'addition pour la classe </w:t>
      </w:r>
      <w:r w:rsidDel="00000000" w:rsidR="00000000" w:rsidRPr="00000000">
        <w:rPr>
          <w:rFonts w:ascii="Courier New" w:cs="Courier New" w:eastAsia="Courier New" w:hAnsi="Courier New"/>
          <w:color w:val="444746"/>
          <w:sz w:val="21"/>
          <w:szCs w:val="21"/>
          <w:shd w:fill="e9e8e8" w:val="clear"/>
          <w:rtl w:val="0"/>
        </w:rPr>
        <w:t xml:space="preserve">Point</w:t>
      </w:r>
      <w:r w:rsidDel="00000000" w:rsidR="00000000" w:rsidRPr="00000000">
        <w:rPr>
          <w:color w:val="1f1f1f"/>
          <w:sz w:val="24"/>
          <w:szCs w:val="24"/>
          <w:rtl w:val="0"/>
        </w:rPr>
        <w:t xml:space="preserve"> :</w:t>
      </w:r>
    </w:p>
    <w:p w:rsidR="00000000" w:rsidDel="00000000" w:rsidP="00000000" w:rsidRDefault="00000000" w:rsidRPr="00000000" w14:paraId="00000004">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Point: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__init__</w:t>
      </w:r>
      <w:r w:rsidDel="00000000" w:rsidR="00000000" w:rsidRPr="00000000">
        <w:rPr>
          <w:rFonts w:ascii="Courier New" w:cs="Courier New" w:eastAsia="Courier New" w:hAnsi="Courier New"/>
          <w:color w:val="444746"/>
          <w:sz w:val="21"/>
          <w:szCs w:val="21"/>
          <w:shd w:fill="f8fafd" w:val="clear"/>
          <w:rtl w:val="0"/>
        </w:rPr>
        <w:t xml:space="preserve">(self, x, 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self.x = 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self.y = 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__add__</w:t>
      </w:r>
      <w:r w:rsidDel="00000000" w:rsidR="00000000" w:rsidRPr="00000000">
        <w:rPr>
          <w:rFonts w:ascii="Courier New" w:cs="Courier New" w:eastAsia="Courier New" w:hAnsi="Courier New"/>
          <w:color w:val="444746"/>
          <w:sz w:val="21"/>
          <w:szCs w:val="21"/>
          <w:shd w:fill="f8fafd" w:val="clear"/>
          <w:rtl w:val="0"/>
        </w:rPr>
        <w:t xml:space="preserve">(self, other):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Point(self.x + other.x, self.y + other.y)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point1 = Point(</w:t>
      </w:r>
      <w:r w:rsidDel="00000000" w:rsidR="00000000" w:rsidRPr="00000000">
        <w:rPr>
          <w:rFonts w:ascii="Courier New" w:cs="Courier New" w:eastAsia="Courier New" w:hAnsi="Courier New"/>
          <w:color w:val="b55908"/>
          <w:sz w:val="21"/>
          <w:szCs w:val="21"/>
          <w:shd w:fill="f8fafd" w:val="clear"/>
          <w:rtl w:val="0"/>
        </w:rPr>
        <w:t xml:space="preserve">1</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2</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point2 = Point(</w:t>
      </w:r>
      <w:r w:rsidDel="00000000" w:rsidR="00000000" w:rsidRPr="00000000">
        <w:rPr>
          <w:rFonts w:ascii="Courier New" w:cs="Courier New" w:eastAsia="Courier New" w:hAnsi="Courier New"/>
          <w:color w:val="b55908"/>
          <w:sz w:val="21"/>
          <w:szCs w:val="21"/>
          <w:shd w:fill="f8fafd" w:val="clear"/>
          <w:rtl w:val="0"/>
        </w:rPr>
        <w:t xml:space="preserve">3</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4</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print(point1 + point2)  </w:t>
      </w:r>
      <w:r w:rsidDel="00000000" w:rsidR="00000000" w:rsidRPr="00000000">
        <w:rPr>
          <w:rFonts w:ascii="Courier New" w:cs="Courier New" w:eastAsia="Courier New" w:hAnsi="Courier New"/>
          <w:color w:val="5f6368"/>
          <w:sz w:val="21"/>
          <w:szCs w:val="21"/>
          <w:shd w:fill="f8fafd" w:val="clear"/>
          <w:rtl w:val="0"/>
        </w:rPr>
        <w:t xml:space="preserve"># Point(4, 6)</w:t>
      </w:r>
      <w:r w:rsidDel="00000000" w:rsidR="00000000" w:rsidRPr="00000000">
        <w:rPr>
          <w:rtl w:val="0"/>
        </w:rPr>
      </w:r>
    </w:p>
    <w:p w:rsidR="00000000" w:rsidDel="00000000" w:rsidP="00000000" w:rsidRDefault="00000000" w:rsidRPr="00000000" w14:paraId="00000010">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Dans cet exemple, la méthode spéciale </w:t>
      </w:r>
      <w:r w:rsidDel="00000000" w:rsidR="00000000" w:rsidRPr="00000000">
        <w:rPr>
          <w:rFonts w:ascii="Courier New" w:cs="Courier New" w:eastAsia="Courier New" w:hAnsi="Courier New"/>
          <w:color w:val="444746"/>
          <w:sz w:val="21"/>
          <w:szCs w:val="21"/>
          <w:shd w:fill="e9e8e8" w:val="clear"/>
          <w:rtl w:val="0"/>
        </w:rPr>
        <w:t xml:space="preserve">__add__()</w:t>
      </w:r>
      <w:r w:rsidDel="00000000" w:rsidR="00000000" w:rsidRPr="00000000">
        <w:rPr>
          <w:color w:val="1f1f1f"/>
          <w:sz w:val="24"/>
          <w:szCs w:val="24"/>
          <w:rtl w:val="0"/>
        </w:rPr>
        <w:t xml:space="preserve"> est utilisée pour définir le comportement de l'opérateur d'addition (+) pour les objets de type </w:t>
      </w:r>
      <w:r w:rsidDel="00000000" w:rsidR="00000000" w:rsidRPr="00000000">
        <w:rPr>
          <w:rFonts w:ascii="Courier New" w:cs="Courier New" w:eastAsia="Courier New" w:hAnsi="Courier New"/>
          <w:color w:val="444746"/>
          <w:sz w:val="21"/>
          <w:szCs w:val="21"/>
          <w:shd w:fill="e9e8e8" w:val="clear"/>
          <w:rtl w:val="0"/>
        </w:rPr>
        <w:t xml:space="preserve">Point</w:t>
      </w:r>
      <w:r w:rsidDel="00000000" w:rsidR="00000000" w:rsidRPr="00000000">
        <w:rPr>
          <w:color w:val="1f1f1f"/>
          <w:sz w:val="24"/>
          <w:szCs w:val="24"/>
          <w:rtl w:val="0"/>
        </w:rPr>
        <w:t xml:space="preserve">. La méthode </w:t>
      </w:r>
      <w:r w:rsidDel="00000000" w:rsidR="00000000" w:rsidRPr="00000000">
        <w:rPr>
          <w:rFonts w:ascii="Courier New" w:cs="Courier New" w:eastAsia="Courier New" w:hAnsi="Courier New"/>
          <w:color w:val="444746"/>
          <w:sz w:val="21"/>
          <w:szCs w:val="21"/>
          <w:shd w:fill="e9e8e8" w:val="clear"/>
          <w:rtl w:val="0"/>
        </w:rPr>
        <w:t xml:space="preserve">__add__()</w:t>
      </w:r>
      <w:r w:rsidDel="00000000" w:rsidR="00000000" w:rsidRPr="00000000">
        <w:rPr>
          <w:color w:val="1f1f1f"/>
          <w:sz w:val="24"/>
          <w:szCs w:val="24"/>
          <w:rtl w:val="0"/>
        </w:rPr>
        <w:t xml:space="preserve"> renvoie un nouvel objet </w:t>
      </w:r>
      <w:r w:rsidDel="00000000" w:rsidR="00000000" w:rsidRPr="00000000">
        <w:rPr>
          <w:rFonts w:ascii="Courier New" w:cs="Courier New" w:eastAsia="Courier New" w:hAnsi="Courier New"/>
          <w:color w:val="444746"/>
          <w:sz w:val="21"/>
          <w:szCs w:val="21"/>
          <w:shd w:fill="e9e8e8" w:val="clear"/>
          <w:rtl w:val="0"/>
        </w:rPr>
        <w:t xml:space="preserve">Point</w:t>
      </w:r>
      <w:r w:rsidDel="00000000" w:rsidR="00000000" w:rsidRPr="00000000">
        <w:rPr>
          <w:color w:val="1f1f1f"/>
          <w:sz w:val="24"/>
          <w:szCs w:val="24"/>
          <w:rtl w:val="0"/>
        </w:rPr>
        <w:t xml:space="preserve"> dont les coordonnées sont la somme des coordonnées des deux points d'origine.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La surcharge des opérateurs peut être utilisée pour une grande variété de tâches. Par exemple, elle peut être utilisée pour :</w:t>
      </w:r>
    </w:p>
    <w:p w:rsidR="00000000" w:rsidDel="00000000" w:rsidP="00000000" w:rsidRDefault="00000000" w:rsidRPr="00000000" w14:paraId="00000013">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Ajouter deux objets de types différents</w:t>
      </w:r>
    </w:p>
    <w:p w:rsidR="00000000" w:rsidDel="00000000" w:rsidP="00000000" w:rsidRDefault="00000000" w:rsidRPr="00000000" w14:paraId="00000014">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Comparer deux objets de types différents</w:t>
      </w:r>
    </w:p>
    <w:p w:rsidR="00000000" w:rsidDel="00000000" w:rsidP="00000000" w:rsidRDefault="00000000" w:rsidRPr="00000000" w14:paraId="00000015">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Multiplier deux objets de types différents</w:t>
      </w:r>
    </w:p>
    <w:p w:rsidR="00000000" w:rsidDel="00000000" w:rsidP="00000000" w:rsidRDefault="00000000" w:rsidRPr="00000000" w14:paraId="00000016">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Etc.</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Conclusion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La surcharge des opérateurs est un outil puissant qui peut être utilisé pour rendre le code plus générique et plus lisible. Elle permet aux programmeurs de définir un comportement spécifique pour les opérateurs pour des objets de types différents.</w:t>
      </w:r>
    </w:p>
    <w:p w:rsidR="00000000" w:rsidDel="00000000" w:rsidP="00000000" w:rsidRDefault="00000000" w:rsidRPr="00000000" w14:paraId="00000019">
      <w:pPr>
        <w:widowControl w:val="0"/>
        <w:ind w:right="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Sources</w:t>
      </w:r>
    </w:p>
    <w:p w:rsidR="00000000" w:rsidDel="00000000" w:rsidP="00000000" w:rsidRDefault="00000000" w:rsidRPr="00000000" w14:paraId="0000001A">
      <w:pPr>
        <w:widowControl w:val="0"/>
        <w:ind w:right="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w:t>
      </w:r>
      <w:hyperlink r:id="rId6">
        <w:r w:rsidDel="00000000" w:rsidR="00000000" w:rsidRPr="00000000">
          <w:rPr>
            <w:rFonts w:ascii="Times New Roman" w:cs="Times New Roman" w:eastAsia="Times New Roman" w:hAnsi="Times New Roman"/>
            <w:color w:val="1f1f1f"/>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https://github.com/hibana2077/Notebook</w:t>
        </w:r>
      </w:hyperlink>
      <w:r w:rsidDel="00000000" w:rsidR="00000000" w:rsidRPr="00000000">
        <w:rPr>
          <w:rFonts w:ascii="Times New Roman" w:cs="Times New Roman" w:eastAsia="Times New Roman" w:hAnsi="Times New Roman"/>
          <w:color w:val="1f1f1f"/>
          <w:sz w:val="24"/>
          <w:szCs w:val="24"/>
          <w:rtl w:val="0"/>
        </w:rPr>
        <w:t xml:space="preserve"> soumis à licence (MIT)</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ibana2077/Notebook" TargetMode="External"/><Relationship Id="rId7" Type="http://schemas.openxmlformats.org/officeDocument/2006/relationships/hyperlink" Target="https://github.com/hibana2077/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