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4D8" w:rsidRDefault="005246A0">
      <w:pPr>
        <w:spacing w:after="80"/>
      </w:pPr>
      <w:bookmarkStart w:id="0" w:name="_GoBack"/>
      <w:bookmarkEnd w:id="0"/>
      <w:r>
        <w:rPr>
          <w:rFonts w:ascii="Courier New" w:eastAsia="Courier New" w:hAnsi="Courier New" w:cs="Courier New"/>
          <w:caps/>
          <w:color w:val="C8960A"/>
          <w:spacing w:val="60"/>
          <w:sz w:val="15"/>
          <w:szCs w:val="15"/>
        </w:rPr>
        <w:t>EXECUTION GAP FRAMEWORK™</w:t>
      </w:r>
    </w:p>
    <w:p w:rsidR="00EF24D8" w:rsidRDefault="005246A0">
      <w:pPr>
        <w:spacing w:before="60" w:after="60"/>
      </w:pPr>
      <w:r>
        <w:rPr>
          <w:rFonts w:ascii="Calibri" w:eastAsia="Calibri" w:hAnsi="Calibri" w:cs="Calibri"/>
          <w:b/>
          <w:bCs/>
          <w:color w:val="0F1117"/>
          <w:sz w:val="48"/>
          <w:szCs w:val="48"/>
        </w:rPr>
        <w:t>Concept360</w:t>
      </w:r>
    </w:p>
    <w:p w:rsidR="00EF24D8" w:rsidRDefault="005246A0">
      <w:pPr>
        <w:spacing w:after="160"/>
      </w:pPr>
      <w:r>
        <w:rPr>
          <w:rFonts w:ascii="Calibri" w:eastAsia="Calibri" w:hAnsi="Calibri" w:cs="Calibri"/>
          <w:color w:val="5A5550"/>
        </w:rPr>
        <w:t>Execution Intelligence for Regulated Fintech, Digital Assets &amp; RWA</w:t>
      </w:r>
    </w:p>
    <w:p w:rsidR="00EF24D8" w:rsidRDefault="005246A0">
      <w:pPr>
        <w:pBdr>
          <w:top w:val="single" w:sz="4" w:space="6" w:color="D8D2C8"/>
        </w:pBdr>
        <w:spacing w:before="200" w:after="80"/>
      </w:pPr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>The Problem</w:t>
      </w:r>
    </w:p>
    <w:p w:rsidR="00EF24D8" w:rsidRDefault="005246A0">
      <w:pPr>
        <w:spacing w:after="80"/>
      </w:pPr>
      <w:r>
        <w:rPr>
          <w:rFonts w:ascii="Calibri" w:eastAsia="Calibri" w:hAnsi="Calibri" w:cs="Calibri"/>
          <w:color w:val="0F1117"/>
          <w:sz w:val="18"/>
          <w:szCs w:val="18"/>
        </w:rPr>
        <w:t xml:space="preserve">Concept360 helps regulated </w:t>
      </w:r>
      <w:proofErr w:type="spellStart"/>
      <w:r>
        <w:rPr>
          <w:rFonts w:ascii="Calibri" w:eastAsia="Calibri" w:hAnsi="Calibri" w:cs="Calibri"/>
          <w:color w:val="0F1117"/>
          <w:sz w:val="18"/>
          <w:szCs w:val="18"/>
        </w:rPr>
        <w:t>fintech</w:t>
      </w:r>
      <w:proofErr w:type="spellEnd"/>
      <w:r>
        <w:rPr>
          <w:rFonts w:ascii="Calibri" w:eastAsia="Calibri" w:hAnsi="Calibri" w:cs="Calibri"/>
          <w:color w:val="0F1117"/>
          <w:sz w:val="18"/>
          <w:szCs w:val="18"/>
        </w:rPr>
        <w:t xml:space="preserve"> and digital asset organizations close the </w:t>
      </w:r>
      <w:r>
        <w:rPr>
          <w:rFonts w:ascii="Calibri" w:eastAsia="Calibri" w:hAnsi="Calibri" w:cs="Calibri"/>
          <w:b/>
          <w:bCs/>
          <w:color w:val="0F1117"/>
          <w:sz w:val="18"/>
          <w:szCs w:val="18"/>
        </w:rPr>
        <w:t>Execution Gap</w:t>
      </w:r>
      <w:r>
        <w:rPr>
          <w:rFonts w:ascii="Calibri" w:eastAsia="Calibri" w:hAnsi="Calibri" w:cs="Calibri"/>
          <w:color w:val="0F1117"/>
          <w:sz w:val="18"/>
          <w:szCs w:val="18"/>
        </w:rPr>
        <w:t xml:space="preserve"> — the dangerous distance between regulatory approval, technology, and sustainable operational execution.</w:t>
      </w:r>
    </w:p>
    <w:p w:rsidR="00EF24D8" w:rsidRDefault="005246A0">
      <w:pPr>
        <w:spacing w:after="80"/>
      </w:pPr>
      <w:r>
        <w:rPr>
          <w:rFonts w:ascii="Calibri" w:eastAsia="Calibri" w:hAnsi="Calibri" w:cs="Calibri"/>
          <w:color w:val="0F1117"/>
          <w:sz w:val="18"/>
          <w:szCs w:val="18"/>
        </w:rPr>
        <w:t>While many teams successfully navigate licensing, build products, and secure partnerships, they often struggle with fragmented ownership, unclear gove</w:t>
      </w:r>
      <w:r>
        <w:rPr>
          <w:rFonts w:ascii="Calibri" w:eastAsia="Calibri" w:hAnsi="Calibri" w:cs="Calibri"/>
          <w:color w:val="0F1117"/>
          <w:sz w:val="18"/>
          <w:szCs w:val="18"/>
        </w:rPr>
        <w:t>rnance, weak escalation paths, and operational debt that surfaces after go-live.</w:t>
      </w:r>
    </w:p>
    <w:p w:rsidR="00EF24D8" w:rsidRDefault="005246A0">
      <w:pPr>
        <w:pBdr>
          <w:left w:val="single" w:sz="14" w:space="10" w:color="C8960A"/>
        </w:pBdr>
        <w:spacing w:before="60"/>
        <w:ind w:left="240"/>
      </w:pPr>
      <w:r>
        <w:rPr>
          <w:rFonts w:ascii="Calibri" w:eastAsia="Calibri" w:hAnsi="Calibri" w:cs="Calibri"/>
          <w:b/>
          <w:bCs/>
          <w:i/>
          <w:iCs/>
          <w:color w:val="0F1117"/>
          <w:sz w:val="18"/>
          <w:szCs w:val="18"/>
        </w:rPr>
        <w:t>We focus on turning regulatory permission into operational confidence.</w:t>
      </w:r>
    </w:p>
    <w:p w:rsidR="00EF24D8" w:rsidRDefault="005246A0">
      <w:pPr>
        <w:pBdr>
          <w:top w:val="single" w:sz="4" w:space="6" w:color="D8D2C8"/>
        </w:pBdr>
        <w:spacing w:before="200" w:after="80"/>
      </w:pPr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>What We Deliver</w:t>
      </w:r>
    </w:p>
    <w:p w:rsidR="00EF24D8" w:rsidRDefault="00EF24D8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EF24D8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F24D8" w:rsidRDefault="005246A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C8960A"/>
                <w:sz w:val="22"/>
                <w:szCs w:val="22"/>
              </w:rPr>
              <w:t>01</w:t>
            </w:r>
          </w:p>
          <w:p w:rsidR="00EF24D8" w:rsidRDefault="005246A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1117"/>
                <w:sz w:val="18"/>
                <w:szCs w:val="18"/>
              </w:rPr>
              <w:t>Execution Gap Assessment</w:t>
            </w:r>
          </w:p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Entry-point diagnostic across all 7 Operational Layers. Ide</w:t>
            </w:r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ntifies where execution debt is accumulating and what requires immediate attention.</w:t>
            </w:r>
          </w:p>
        </w:tc>
        <w:tc>
          <w:tcPr>
            <w:tcW w:w="4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F24D8" w:rsidRDefault="005246A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C8960A"/>
                <w:sz w:val="22"/>
                <w:szCs w:val="22"/>
              </w:rPr>
              <w:t>02</w:t>
            </w:r>
          </w:p>
          <w:p w:rsidR="00EF24D8" w:rsidRDefault="005246A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1117"/>
                <w:sz w:val="18"/>
                <w:szCs w:val="18"/>
              </w:rPr>
              <w:t>Operational Readiness Review</w:t>
            </w:r>
          </w:p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Flagship. Full 7-layer diagnostic via stakeholder interviews and document review. Delivers a </w:t>
            </w:r>
            <w:proofErr w:type="spellStart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prioritised</w:t>
            </w:r>
            <w:proofErr w:type="spellEnd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 remediation roadmap.</w:t>
            </w:r>
          </w:p>
        </w:tc>
      </w:tr>
      <w:tr w:rsidR="00EF24D8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F24D8" w:rsidRDefault="005246A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C8960A"/>
                <w:sz w:val="22"/>
                <w:szCs w:val="22"/>
              </w:rPr>
              <w:t>03</w:t>
            </w:r>
          </w:p>
          <w:p w:rsidR="00EF24D8" w:rsidRDefault="005246A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1117"/>
                <w:sz w:val="18"/>
                <w:szCs w:val="18"/>
              </w:rPr>
              <w:t>Operational Readiness Implementation</w:t>
            </w:r>
          </w:p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Hands-on execution of governance structures, operating models, vendor controls, and audit-ready documentation.</w:t>
            </w:r>
          </w:p>
        </w:tc>
        <w:tc>
          <w:tcPr>
            <w:tcW w:w="4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F24D8" w:rsidRDefault="005246A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C8960A"/>
                <w:sz w:val="22"/>
                <w:szCs w:val="22"/>
              </w:rPr>
              <w:t>04</w:t>
            </w:r>
          </w:p>
          <w:p w:rsidR="00EF24D8" w:rsidRDefault="005246A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1117"/>
                <w:sz w:val="18"/>
                <w:szCs w:val="18"/>
              </w:rPr>
              <w:t>Fractional Governance &amp; Delivery Leadership</w:t>
            </w:r>
          </w:p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Embedded senior governance and execution oversight for regula</w:t>
            </w:r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ted platforms post go-live. Scoped from Assessment findings.</w:t>
            </w:r>
          </w:p>
        </w:tc>
      </w:tr>
    </w:tbl>
    <w:p w:rsidR="00EF24D8" w:rsidRDefault="005246A0">
      <w:pPr>
        <w:pBdr>
          <w:top w:val="single" w:sz="4" w:space="6" w:color="D8D2C8"/>
        </w:pBdr>
        <w:spacing w:before="200" w:after="80"/>
      </w:pPr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>How We Engage</w:t>
      </w:r>
    </w:p>
    <w:p w:rsidR="00EF24D8" w:rsidRDefault="005246A0">
      <w:r>
        <w:rPr>
          <w:rFonts w:ascii="Calibri" w:eastAsia="Calibri" w:hAnsi="Calibri" w:cs="Calibri"/>
          <w:color w:val="0F1117"/>
          <w:sz w:val="18"/>
          <w:szCs w:val="18"/>
        </w:rPr>
        <w:t xml:space="preserve">Every engagement starts with an Assessment. What follows </w:t>
      </w:r>
      <w:proofErr w:type="gramStart"/>
      <w:r>
        <w:rPr>
          <w:rFonts w:ascii="Calibri" w:eastAsia="Calibri" w:hAnsi="Calibri" w:cs="Calibri"/>
          <w:color w:val="0F1117"/>
          <w:sz w:val="18"/>
          <w:szCs w:val="18"/>
        </w:rPr>
        <w:t>is defined</w:t>
      </w:r>
      <w:proofErr w:type="gramEnd"/>
      <w:r>
        <w:rPr>
          <w:rFonts w:ascii="Calibri" w:eastAsia="Calibri" w:hAnsi="Calibri" w:cs="Calibri"/>
          <w:color w:val="0F1117"/>
          <w:sz w:val="18"/>
          <w:szCs w:val="18"/>
        </w:rPr>
        <w:t xml:space="preserve"> by the findings — not by a pre-set package. </w:t>
      </w:r>
      <w:r>
        <w:rPr>
          <w:rFonts w:ascii="Calibri" w:eastAsia="Calibri" w:hAnsi="Calibri" w:cs="Calibri"/>
          <w:b/>
          <w:bCs/>
          <w:color w:val="0F1117"/>
          <w:sz w:val="18"/>
          <w:szCs w:val="18"/>
        </w:rPr>
        <w:t xml:space="preserve">Nothing </w:t>
      </w:r>
      <w:proofErr w:type="gramStart"/>
      <w:r>
        <w:rPr>
          <w:rFonts w:ascii="Calibri" w:eastAsia="Calibri" w:hAnsi="Calibri" w:cs="Calibri"/>
          <w:b/>
          <w:bCs/>
          <w:color w:val="0F1117"/>
          <w:sz w:val="18"/>
          <w:szCs w:val="18"/>
        </w:rPr>
        <w:t>is proposed</w:t>
      </w:r>
      <w:proofErr w:type="gramEnd"/>
      <w:r>
        <w:rPr>
          <w:rFonts w:ascii="Calibri" w:eastAsia="Calibri" w:hAnsi="Calibri" w:cs="Calibri"/>
          <w:b/>
          <w:bCs/>
          <w:color w:val="0F1117"/>
          <w:sz w:val="18"/>
          <w:szCs w:val="18"/>
        </w:rPr>
        <w:t xml:space="preserve"> before Assessment findings are in.</w:t>
      </w:r>
    </w:p>
    <w:p w:rsidR="00EF24D8" w:rsidRDefault="005246A0">
      <w:pPr>
        <w:pBdr>
          <w:top w:val="single" w:sz="4" w:space="6" w:color="D8D2C8"/>
        </w:pBdr>
        <w:spacing w:before="200" w:after="80"/>
      </w:pPr>
      <w:proofErr w:type="gramStart"/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>Who</w:t>
      </w:r>
      <w:proofErr w:type="gramEnd"/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 xml:space="preserve"> We Help</w:t>
      </w:r>
    </w:p>
    <w:p w:rsidR="00EF24D8" w:rsidRDefault="00EF24D8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00"/>
      </w:tblGrid>
      <w:tr w:rsidR="00EF24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 xml:space="preserve">CASP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>Licence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 xml:space="preserve"> Holders</w:t>
            </w:r>
          </w:p>
        </w:tc>
        <w:tc>
          <w:tcPr>
            <w:tcW w:w="6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Post-licensing </w:t>
            </w:r>
            <w:proofErr w:type="spellStart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operationalisation</w:t>
            </w:r>
            <w:proofErr w:type="spellEnd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 — turning regulatory approval into a functioning operating model.</w:t>
            </w:r>
          </w:p>
        </w:tc>
      </w:tr>
      <w:tr w:rsidR="00EF24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>RWA &amp; Tokenization Platforms</w:t>
            </w:r>
          </w:p>
        </w:tc>
        <w:tc>
          <w:tcPr>
            <w:tcW w:w="6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Governance, vendor controls, and audit readiness as </w:t>
            </w:r>
            <w:proofErr w:type="spellStart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programmes</w:t>
            </w:r>
            <w:proofErr w:type="spellEnd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 scale toward institutional partners.</w:t>
            </w:r>
          </w:p>
        </w:tc>
      </w:tr>
      <w:tr w:rsidR="00EF24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>L1 Infrastructure Providers</w:t>
            </w:r>
          </w:p>
        </w:tc>
        <w:tc>
          <w:tcPr>
            <w:tcW w:w="6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Operational structure and governance frameworks required for institutional and regulatory conversations.</w:t>
            </w:r>
          </w:p>
        </w:tc>
      </w:tr>
      <w:tr w:rsidR="00EF24D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2EF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 xml:space="preserve">Regulated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1117"/>
                <w:sz w:val="16"/>
                <w:szCs w:val="16"/>
              </w:rPr>
              <w:t>Fintechs</w:t>
            </w:r>
            <w:proofErr w:type="spellEnd"/>
          </w:p>
        </w:tc>
        <w:tc>
          <w:tcPr>
            <w:tcW w:w="640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F24D8" w:rsidRDefault="005246A0"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Execution oversight for </w:t>
            </w:r>
            <w:proofErr w:type="spellStart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programmes</w:t>
            </w:r>
            <w:proofErr w:type="spellEnd"/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 xml:space="preserve"> where compliance obligations have outgrown current governance capaci</w:t>
            </w:r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ty.</w:t>
            </w:r>
          </w:p>
        </w:tc>
      </w:tr>
    </w:tbl>
    <w:p w:rsidR="00EF24D8" w:rsidRDefault="005246A0">
      <w:pPr>
        <w:pBdr>
          <w:top w:val="single" w:sz="4" w:space="6" w:color="D8D2C8"/>
        </w:pBdr>
        <w:spacing w:before="200" w:after="80"/>
      </w:pPr>
      <w:r>
        <w:rPr>
          <w:rFonts w:ascii="Courier New" w:eastAsia="Courier New" w:hAnsi="Courier New" w:cs="Courier New"/>
          <w:caps/>
          <w:color w:val="C8960A"/>
          <w:spacing w:val="60"/>
          <w:sz w:val="14"/>
          <w:szCs w:val="14"/>
        </w:rPr>
        <w:t>About</w:t>
      </w:r>
    </w:p>
    <w:p w:rsidR="00EF24D8" w:rsidRDefault="005246A0">
      <w:pPr>
        <w:spacing w:after="60"/>
      </w:pPr>
      <w:r>
        <w:rPr>
          <w:rFonts w:ascii="Calibri" w:eastAsia="Calibri" w:hAnsi="Calibri" w:cs="Calibri"/>
          <w:b/>
          <w:bCs/>
          <w:color w:val="0F1117"/>
          <w:sz w:val="18"/>
          <w:szCs w:val="18"/>
        </w:rPr>
        <w:t>Biljana Obradović</w:t>
      </w:r>
      <w:r>
        <w:rPr>
          <w:rFonts w:ascii="Calibri" w:eastAsia="Calibri" w:hAnsi="Calibri" w:cs="Calibri"/>
          <w:color w:val="0F1117"/>
          <w:sz w:val="18"/>
          <w:szCs w:val="18"/>
        </w:rPr>
        <w:t xml:space="preserve"> brings 20+ years of delivery discipline across regulated financial environments — from complex </w:t>
      </w:r>
      <w:proofErr w:type="spellStart"/>
      <w:r>
        <w:rPr>
          <w:rFonts w:ascii="Calibri" w:eastAsia="Calibri" w:hAnsi="Calibri" w:cs="Calibri"/>
          <w:color w:val="0F1117"/>
          <w:sz w:val="18"/>
          <w:szCs w:val="18"/>
        </w:rPr>
        <w:t>programme</w:t>
      </w:r>
      <w:proofErr w:type="spellEnd"/>
      <w:r>
        <w:rPr>
          <w:rFonts w:ascii="Calibri" w:eastAsia="Calibri" w:hAnsi="Calibri" w:cs="Calibri"/>
          <w:color w:val="0F1117"/>
          <w:sz w:val="18"/>
          <w:szCs w:val="18"/>
        </w:rPr>
        <w:t xml:space="preserve"> management to governance design and operational readiness in digital asset and RWA </w:t>
      </w:r>
      <w:proofErr w:type="spellStart"/>
      <w:r>
        <w:rPr>
          <w:rFonts w:ascii="Calibri" w:eastAsia="Calibri" w:hAnsi="Calibri" w:cs="Calibri"/>
          <w:color w:val="0F1117"/>
          <w:sz w:val="18"/>
          <w:szCs w:val="18"/>
        </w:rPr>
        <w:t>programmes</w:t>
      </w:r>
      <w:proofErr w:type="spellEnd"/>
      <w:r>
        <w:rPr>
          <w:rFonts w:ascii="Calibri" w:eastAsia="Calibri" w:hAnsi="Calibri" w:cs="Calibri"/>
          <w:color w:val="0F1117"/>
          <w:sz w:val="18"/>
          <w:szCs w:val="18"/>
        </w:rPr>
        <w:t>.</w:t>
      </w:r>
    </w:p>
    <w:p w:rsidR="00EF24D8" w:rsidRDefault="005246A0">
      <w:r>
        <w:rPr>
          <w:rFonts w:ascii="Courier New" w:eastAsia="Courier New" w:hAnsi="Courier New" w:cs="Courier New"/>
          <w:color w:val="C8960A"/>
          <w:sz w:val="14"/>
          <w:szCs w:val="14"/>
        </w:rPr>
        <w:t>PRINCE2® Practitioner  ·  C</w:t>
      </w:r>
      <w:r>
        <w:rPr>
          <w:rFonts w:ascii="Courier New" w:eastAsia="Courier New" w:hAnsi="Courier New" w:cs="Courier New"/>
          <w:color w:val="C8960A"/>
          <w:sz w:val="14"/>
          <w:szCs w:val="14"/>
        </w:rPr>
        <w:t xml:space="preserve">EBP™ </w:t>
      </w:r>
      <w:proofErr w:type="spellStart"/>
      <w:r>
        <w:rPr>
          <w:rFonts w:ascii="Courier New" w:eastAsia="Courier New" w:hAnsi="Courier New" w:cs="Courier New"/>
          <w:color w:val="C8960A"/>
          <w:sz w:val="14"/>
          <w:szCs w:val="14"/>
        </w:rPr>
        <w:t>Blockchain</w:t>
      </w:r>
      <w:proofErr w:type="spellEnd"/>
      <w:r>
        <w:rPr>
          <w:rFonts w:ascii="Courier New" w:eastAsia="Courier New" w:hAnsi="Courier New" w:cs="Courier New"/>
          <w:color w:val="C8960A"/>
          <w:sz w:val="14"/>
          <w:szCs w:val="14"/>
        </w:rPr>
        <w:t xml:space="preserve"> Professional  ·  ISO/IEC 27001 Lead Auditor  ·  CBPM™  ·  Fintech Expert™  ·  Member, 101 Blockchains Advisory Council</w:t>
      </w:r>
    </w:p>
    <w:p w:rsidR="00EF24D8" w:rsidRDefault="00EF24D8">
      <w:pPr>
        <w:pBdr>
          <w:top w:val="single" w:sz="4" w:space="6" w:color="D8D2C8"/>
        </w:pBdr>
        <w:spacing w:before="160" w:after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EF24D8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:rsidR="00EF24D8" w:rsidRDefault="005246A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F1117"/>
                <w:sz w:val="18"/>
                <w:szCs w:val="18"/>
              </w:rPr>
              <w:t>Biljana Obradović</w:t>
            </w:r>
          </w:p>
          <w:p w:rsidR="00EF24D8" w:rsidRDefault="005246A0">
            <w:pPr>
              <w:spacing w:after="40"/>
            </w:pPr>
            <w:r>
              <w:rPr>
                <w:rFonts w:ascii="Calibri" w:eastAsia="Calibri" w:hAnsi="Calibri" w:cs="Calibri"/>
                <w:color w:val="5A5550"/>
                <w:sz w:val="16"/>
                <w:szCs w:val="16"/>
              </w:rPr>
              <w:t>Founder · Concept360</w:t>
            </w:r>
          </w:p>
          <w:p w:rsidR="00EF24D8" w:rsidRDefault="005246A0">
            <w:r>
              <w:rPr>
                <w:rFonts w:ascii="Courier New" w:eastAsia="Courier New" w:hAnsi="Courier New" w:cs="Courier New"/>
                <w:color w:val="C8960A"/>
                <w:sz w:val="14"/>
                <w:szCs w:val="14"/>
              </w:rPr>
              <w:t>PRINCE2® · CEBP™ · ISO 27001 Lead Auditor · CBPM™ · Fintech Expert™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:rsidR="00EF24D8" w:rsidRDefault="005246A0">
            <w:pPr>
              <w:spacing w:after="40"/>
              <w:jc w:val="right"/>
            </w:pPr>
            <w:r>
              <w:rPr>
                <w:rFonts w:ascii="Courier New" w:eastAsia="Courier New" w:hAnsi="Courier New" w:cs="Courier New"/>
                <w:color w:val="0F1117"/>
                <w:sz w:val="16"/>
                <w:szCs w:val="16"/>
              </w:rPr>
              <w:t>biljana.obradovic@concept360.rs</w:t>
            </w:r>
          </w:p>
          <w:p w:rsidR="00EF24D8" w:rsidRDefault="005246A0">
            <w:pPr>
              <w:spacing w:after="40"/>
              <w:jc w:val="right"/>
            </w:pPr>
            <w:r>
              <w:rPr>
                <w:rFonts w:ascii="Courier New" w:eastAsia="Courier New" w:hAnsi="Courier New" w:cs="Courier New"/>
                <w:color w:val="0F1117"/>
                <w:sz w:val="16"/>
                <w:szCs w:val="16"/>
              </w:rPr>
              <w:t>linkedin.com/in/biljana-obradovic-28390a8</w:t>
            </w:r>
          </w:p>
          <w:p w:rsidR="00EF24D8" w:rsidRDefault="005246A0">
            <w:pPr>
              <w:jc w:val="right"/>
            </w:pPr>
            <w:r>
              <w:rPr>
                <w:rFonts w:ascii="Courier New" w:eastAsia="Courier New" w:hAnsi="Courier New" w:cs="Courier New"/>
                <w:color w:val="C8960A"/>
                <w:sz w:val="14"/>
                <w:szCs w:val="14"/>
              </w:rPr>
              <w:t>biljanaobradovic-delivery.github.io/execution-gap-framework/</w:t>
            </w:r>
          </w:p>
        </w:tc>
      </w:tr>
    </w:tbl>
    <w:p w:rsidR="005246A0" w:rsidRDefault="005246A0"/>
    <w:sectPr w:rsidR="005246A0">
      <w:pgSz w:w="11906" w:h="16838"/>
      <w:pgMar w:top="720" w:right="860" w:bottom="7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0526B"/>
    <w:multiLevelType w:val="hybridMultilevel"/>
    <w:tmpl w:val="15826B98"/>
    <w:lvl w:ilvl="0" w:tplc="3A24FA88">
      <w:start w:val="1"/>
      <w:numFmt w:val="bullet"/>
      <w:lvlText w:val="●"/>
      <w:lvlJc w:val="left"/>
      <w:pPr>
        <w:ind w:left="720" w:hanging="360"/>
      </w:pPr>
    </w:lvl>
    <w:lvl w:ilvl="1" w:tplc="FAE003F6">
      <w:start w:val="1"/>
      <w:numFmt w:val="bullet"/>
      <w:lvlText w:val="○"/>
      <w:lvlJc w:val="left"/>
      <w:pPr>
        <w:ind w:left="1440" w:hanging="360"/>
      </w:pPr>
    </w:lvl>
    <w:lvl w:ilvl="2" w:tplc="6D6E7488">
      <w:start w:val="1"/>
      <w:numFmt w:val="bullet"/>
      <w:lvlText w:val="■"/>
      <w:lvlJc w:val="left"/>
      <w:pPr>
        <w:ind w:left="2160" w:hanging="360"/>
      </w:pPr>
    </w:lvl>
    <w:lvl w:ilvl="3" w:tplc="28C2F9C4">
      <w:start w:val="1"/>
      <w:numFmt w:val="bullet"/>
      <w:lvlText w:val="●"/>
      <w:lvlJc w:val="left"/>
      <w:pPr>
        <w:ind w:left="2880" w:hanging="360"/>
      </w:pPr>
    </w:lvl>
    <w:lvl w:ilvl="4" w:tplc="56767F34">
      <w:start w:val="1"/>
      <w:numFmt w:val="bullet"/>
      <w:lvlText w:val="○"/>
      <w:lvlJc w:val="left"/>
      <w:pPr>
        <w:ind w:left="3600" w:hanging="360"/>
      </w:pPr>
    </w:lvl>
    <w:lvl w:ilvl="5" w:tplc="69DA2818">
      <w:start w:val="1"/>
      <w:numFmt w:val="bullet"/>
      <w:lvlText w:val="■"/>
      <w:lvlJc w:val="left"/>
      <w:pPr>
        <w:ind w:left="4320" w:hanging="360"/>
      </w:pPr>
    </w:lvl>
    <w:lvl w:ilvl="6" w:tplc="AD4E2038">
      <w:start w:val="1"/>
      <w:numFmt w:val="bullet"/>
      <w:lvlText w:val="●"/>
      <w:lvlJc w:val="left"/>
      <w:pPr>
        <w:ind w:left="5040" w:hanging="360"/>
      </w:pPr>
    </w:lvl>
    <w:lvl w:ilvl="7" w:tplc="64104034">
      <w:start w:val="1"/>
      <w:numFmt w:val="bullet"/>
      <w:lvlText w:val="●"/>
      <w:lvlJc w:val="left"/>
      <w:pPr>
        <w:ind w:left="5760" w:hanging="360"/>
      </w:pPr>
    </w:lvl>
    <w:lvl w:ilvl="8" w:tplc="91E480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4D8"/>
    <w:rsid w:val="00095342"/>
    <w:rsid w:val="005246A0"/>
    <w:rsid w:val="00EF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67DDF7-0C17-4FDF-A546-34A9C7E8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Biljana Obradovic</cp:lastModifiedBy>
  <cp:revision>2</cp:revision>
  <dcterms:created xsi:type="dcterms:W3CDTF">2026-06-22T17:53:00Z</dcterms:created>
  <dcterms:modified xsi:type="dcterms:W3CDTF">2026-06-22T17:53:00Z</dcterms:modified>
</cp:coreProperties>
</file>