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P0.3 系统架构设计方案 V6.0</w:t>
      </w:r>
    </w:p>
    <w:p>
      <w:r>
        <w:t>版本：V6.0 | 日期：2026年8月25日</w:t>
      </w:r>
    </w:p>
    <w:p>
      <w:pPr>
        <w:pStyle w:val="Heading1"/>
      </w:pPr>
      <w:r>
        <w:rPr>
          <w:color w:val="1A1A2E"/>
        </w:rPr>
        <w:t>一、V6.0新增模块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1A2E"/>
          </w:tcPr>
          <w:p>
            <w:r>
              <w:rPr>
                <w:b/>
                <w:color w:val="D4A853"/>
                <w:sz w:val="18"/>
              </w:rPr>
              <w:t>模块编号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D4A853"/>
                <w:sz w:val="18"/>
              </w:rPr>
              <w:t>模块名称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D4A853"/>
                <w:sz w:val="18"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选剧库管理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对标剧库CRUD、类型分类、大纲/人物/市场数据管理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样片订单状态机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6步状态：draft→intent_paid→genre_selected→reference_picked→scripting→script_finalized→production_paid→producing→delivered→completed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剧本协作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剧本在线查看、修改意见提交、定稿确认、版本管理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高端定制CRM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定制需求线索收集、分配、跟进、合同管理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两阶段支付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意向金+制作款分阶段支付、退款规则引擎</w:t>
            </w:r>
          </w:p>
        </w:tc>
      </w:tr>
    </w:tbl>
    <w:p>
      <w:pPr>
        <w:pStyle w:val="Heading1"/>
      </w:pPr>
      <w:r>
        <w:rPr>
          <w:color w:val="1A1A2E"/>
        </w:rPr>
        <w:t>二、V6.0数据模型新增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1A2E"/>
          </w:tcPr>
          <w:p>
            <w:r>
              <w:rPr>
                <w:b/>
                <w:color w:val="D4A853"/>
                <w:sz w:val="18"/>
              </w:rPr>
              <w:t>表名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D4A853"/>
                <w:sz w:val="18"/>
              </w:rPr>
              <w:t>关键字段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D4A853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sample_library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genre, title, outline, characters, market_data, cover_url, status, sort_order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对标剧库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sample_orders（新增字段）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genre, reference_script_id, script_content, script_version, script_status, script_feedback, intent_amount, production_fee, intent_paid, production_paid, finalized_at, delivered_at, custom_type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样片订单V6扩展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user_id, name, phone, budget_min, budget_max, genre, format(short/mid/movie), requirements, status, assigned_to, 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高端定制需求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sample_script_versions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order_id, version, content, feedback, created_by, 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剧本修改版本</w:t>
            </w:r>
          </w:p>
        </w:tc>
      </w:tr>
    </w:tbl>
    <w:p>
      <w:pPr>
        <w:pStyle w:val="Heading1"/>
      </w:pPr>
      <w:r>
        <w:rPr>
          <w:color w:val="1A1A2E"/>
        </w:rPr>
        <w:t>三、V6.0新增API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1A2E"/>
          </w:tcPr>
          <w:p>
            <w:r>
              <w:rPr>
                <w:b/>
                <w:color w:val="D4A853"/>
                <w:sz w:val="18"/>
              </w:rPr>
              <w:t>方法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D4A853"/>
                <w:sz w:val="18"/>
              </w:rPr>
              <w:t>路径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D4A853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/api/samples/library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获取对标剧库（按类型分类）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/api/samples/library/:id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获取对标剧详情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/api/samples/order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创建样片订单（基础档5000元）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/api/samples/:id/pay-intent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支付意向金1000元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/api/samples/:id/select-genre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选择类型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/api/samples/:id/pick-reference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选定对标剧本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/api/samples/:id/script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获取剧本内容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/api/samples/:id/script-feedback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提交修改意见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/api/samples/:id/finalize-script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确认定稿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/api/samples/:id/pay-production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支付制作款4000元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/api/samples/:id/deliver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交付成片（后台）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/api/samples/:id/review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验收/申请修改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/api/samples/custom-request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提交高端定制需求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/api/samples/custom-requests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高端定制需求列表（后台）</w:t>
            </w:r>
          </w:p>
        </w:tc>
      </w:tr>
    </w:tbl>
    <w:p>
      <w:pPr>
        <w:pStyle w:val="Heading1"/>
      </w:pPr>
      <w:r>
        <w:rPr>
          <w:color w:val="1A1A2E"/>
        </w:rPr>
        <w:t>四、V5.0已有架构（不变）</w:t>
      </w:r>
    </w:p>
    <w:p>
      <w:r>
        <w:t>M1-M32模块、ADR-1至ADR-20架构决策、反欺诈/合规架构、数字人授权链路、支付二清方案等均保持V5.0不变，详见V5.0架构文档。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