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0"/>
        </w:rPr>
        <w:t>晶晶日上｜会议决议表 D01–D23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75569"/>
          <w:sz w:val="20"/>
        </w:rPr>
        <w:t>会议填写版 V1.2｜用于一次会议中冻结业务规则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会议名称：</w:t>
            </w: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________________</w:t>
            </w:r>
          </w:p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会议日期：</w:t>
            </w: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________________</w:t>
            </w:r>
          </w:p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主持人：</w:t>
            </w: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________________</w:t>
            </w:r>
          </w:p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记录人：</w:t>
            </w: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________________</w:t>
            </w:r>
          </w:p>
        </w:tc>
      </w:tr>
      <w:tr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参会部门：</w:t>
            </w: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________________</w:t>
            </w:r>
          </w:p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版本：</w:t>
            </w: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V1.2</w:t>
            </w:r>
          </w:p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对应主文档：</w:t>
            </w: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V1 产品与业务建设方案</w:t>
            </w:r>
          </w:p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对应图纸：</w:t>
            </w:r>
            <w:r>
              <w:rPr>
                <w:rFonts w:ascii="Noto Sans CJK SC" w:hAnsi="Noto Sans CJK SC" w:eastAsia="Noto Sans CJK SC"/>
                <w:b w:val="0"/>
                <w:color w:val="475569"/>
                <w:sz w:val="16"/>
              </w:rPr>
              <w:t>业务系统全景图 V1.0</w:t>
            </w:r>
          </w:p>
        </w:tc>
      </w:tr>
      <w:tr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/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/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/>
        </w:tc>
        <w:tc>
          <w:tcPr>
            <w:tcW w:type="dxa" w:w="266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/>
        </w:tc>
      </w:tr>
    </w:tbl>
    <w:p/>
    <w:p>
      <w:r>
        <w:rPr>
          <w:rFonts w:ascii="Noto Sans CJK SC" w:hAnsi="Noto Sans CJK SC" w:eastAsia="Noto Sans CJK SC"/>
          <w:b/>
          <w:color w:val="C47A00"/>
          <w:sz w:val="18"/>
        </w:rPr>
        <w:t>填写规则：最终选择可直接填写“A/B/C/D/E”或填写“另议”。如未能当场确认，必须填写负责人和截止日期。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rPr>
          <w:tblHeader w:val="true"/>
        </w:trPr>
        <w:tc>
          <w:tcPr>
            <w:tcW w:type="dxa" w:w="1331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331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决策事项</w:t>
            </w:r>
          </w:p>
        </w:tc>
        <w:tc>
          <w:tcPr>
            <w:tcW w:type="dxa" w:w="1331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</w:t>
            </w:r>
          </w:p>
        </w:tc>
        <w:tc>
          <w:tcPr>
            <w:tcW w:type="dxa" w:w="1331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推荐基线</w:t>
            </w:r>
          </w:p>
        </w:tc>
        <w:tc>
          <w:tcPr>
            <w:tcW w:type="dxa" w:w="1331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最终选择</w:t>
            </w:r>
          </w:p>
        </w:tc>
        <w:tc>
          <w:tcPr>
            <w:tcW w:type="dxa" w:w="1331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补充约定</w:t>
            </w:r>
          </w:p>
        </w:tc>
        <w:tc>
          <w:tcPr>
            <w:tcW w:type="dxa" w:w="1331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1331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截止日期</w:t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D01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角色认领与项目收入权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角色付费不自动产生项目发行收入权；后续项目收入权来自独立项目合作约定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D02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数字人项目收入方式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系统支持固定金额 / 收入比例 / 固定金额+比例，单项目选择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D03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可分配收入定义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以实际到账为基础，只扣合同明确允许扣除的项目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D04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C端收入展示程度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显示合作方式、比例、已确认收入、待结算和已结算，不显示预计收益金额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D05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合同结构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长期框架协议 + 单项目确认书；V1可先线下签署后归档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D06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剧本库性质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B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以题材、故事方案、创作方向为主；如有完整剧本需单独标识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D07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项目剧本维护方式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V1由A端代上传和留档；B端自助提交后续开放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D08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项目进度粒度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B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采用关键节点汇报，不承诺实时同步剧组或AI制作工具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D09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内容版本审核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剧本、样片、粗剪、成片统一采用版本—反馈—修改—确认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D10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MCN与数字人的关系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C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系统支持不同权属；日常以管理关系和授权关系分开记录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D11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B端定位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B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统一建设合作机构工作台，MCN、剧本方、制作方按权限使用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D12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iOS收费路径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逐个商品/服务判断实际交付性质，形成iOS付款方式清单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D13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项目是否再次确认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每个项目均需数字人权利人再次确认角色、用途、期限和合作方式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D14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解绑后的历史项目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机构关系只影响生效后的新项目；历史项目按签约时关系执行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D15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入组方式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公开报名 + 定向邀请 + 项目方筛选 + 权利人最终确认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D16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中途退出/项目取消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按项目阶段分别约定退出、费用、责任和处理结果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D17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修改与验收规则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约定免费修改轮次；超时先提醒并人工处理，不默认自动确认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D18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项目资料权限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按角色最小必要可见，不开放无关合同、收益和敏感资料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D19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数字人及作品权利边界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每个项目确认授权范围、期限、地区、宣传使用和衍生/续集权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D20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结算异议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结算单确认/异议/锁定；补发或扣回进入下一期调整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D21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平台收费方式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E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支持多种收入方式并存，项目收入、合作方收入、平台服务费分开记录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D22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未成年人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V1不支持未成年人独立商业创建数字人或签署项目协议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D23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退款与售后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A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标准消费订单和影视项目按不同规则处理，不使用一套统一退款逻辑</w:t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  <w:tc>
          <w:tcPr>
            <w:tcW w:type="dxa" w:w="13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</w:r>
          </w:p>
        </w:tc>
      </w:tr>
    </w:tbl>
    <w:p/>
    <w:p>
      <w:r>
        <w:rPr>
          <w:rFonts w:ascii="Noto Sans CJK SC" w:hAnsi="Noto Sans CJK SC" w:eastAsia="Noto Sans CJK SC"/>
          <w:b/>
          <w:color w:val="17365D"/>
          <w:sz w:val="18"/>
        </w:rPr>
        <w:t>会议总体结论：</w:t>
      </w:r>
      <w:r>
        <w:rPr>
          <w:rFonts w:ascii="Noto Sans CJK SC" w:hAnsi="Noto Sans CJK SC" w:eastAsia="Noto Sans CJK SC"/>
          <w:b w:val="0"/>
          <w:color w:val="475569"/>
          <w:sz w:val="18"/>
        </w:rPr>
        <w:t>________________________________________________________________________________</w:t>
      </w:r>
    </w:p>
    <w:p>
      <w:r>
        <w:rPr>
          <w:rFonts w:ascii="Noto Sans CJK SC" w:hAnsi="Noto Sans CJK SC" w:eastAsia="Noto Sans CJK SC"/>
          <w:b/>
          <w:color w:val="17365D"/>
          <w:sz w:val="18"/>
        </w:rPr>
        <w:t>未决事项处理方式：</w:t>
      </w:r>
      <w:r>
        <w:rPr>
          <w:rFonts w:ascii="Noto Sans CJK SC" w:hAnsi="Noto Sans CJK SC" w:eastAsia="Noto Sans CJK SC"/>
          <w:b w:val="0"/>
          <w:color w:val="475569"/>
          <w:sz w:val="18"/>
        </w:rPr>
        <w:t>________________________________________________________________________________</w:t>
      </w:r>
    </w:p>
    <w:p>
      <w:r>
        <w:rPr>
          <w:rFonts w:ascii="Noto Sans CJK SC" w:hAnsi="Noto Sans CJK SC" w:eastAsia="Noto Sans CJK SC"/>
          <w:b/>
          <w:color w:val="17365D"/>
          <w:sz w:val="18"/>
        </w:rPr>
        <w:t>下一次复核日期：</w:t>
      </w:r>
      <w:r>
        <w:rPr>
          <w:rFonts w:ascii="Noto Sans CJK SC" w:hAnsi="Noto Sans CJK SC" w:eastAsia="Noto Sans CJK SC"/>
          <w:b w:val="0"/>
          <w:color w:val="475569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475569"/>
        <w:sz w:val="16"/>
      </w:rPr>
      <w:t>会议填写版 V1.2｜与主文档及PPT共用编号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475569"/>
        <w:sz w:val="16"/>
      </w:rPr>
      <w:t>晶晶日上｜D01–D23 会议决议表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