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7365D"/>
          <w:sz w:val="64"/>
        </w:rPr>
        <w:t>晶晶日上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44"/>
        </w:rPr>
        <w:t>V1 产品与业务建设方案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25"/>
        </w:rPr>
        <w:t>业务范围｜决策事项｜第三方条件｜行业参考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45B9E"/>
          <w:sz w:val="23"/>
        </w:rPr>
        <w:t>会议审议稿 V1.2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20"/>
        </w:rPr>
        <w:t>2026-09-11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Borders>
              <w:top w:val="single" w:sz="6" w:color="9EC5E5"/>
              <w:left w:val="single" w:sz="6" w:color="9EC5E5"/>
              <w:bottom w:val="single" w:sz="6" w:color="9EC5E5"/>
              <w:right w:val="single" w:sz="6" w:color="9EC5E5"/>
              <w:insideH w:val="single" w:sz="6" w:color="9EC5E5"/>
              <w:insideV w:val="single" w:sz="6" w:color="9EC5E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文件定位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本文件用于一次正式项目会议中统一业务认知、确认 V1 建设边界、逐项完成 D01–D23 业务决策，并把第三方服务、资质和后续规划分开管理。文件面向影视、运营、商务、法务、财务与开发团队共同使用，不要求读者具备软件技术背景。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项目阶段</w:t>
            </w:r>
          </w:p>
        </w:tc>
        <w:tc>
          <w:tcPr>
            <w:tcW w:type="dxa" w:w="51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V1 建设与国内正式上线准备</w:t>
            </w:r>
          </w:p>
        </w:tc>
      </w:tr>
      <w:tr>
        <w:tc>
          <w:tcPr>
            <w:tcW w:type="dxa" w:w="51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主系统形态</w:t>
            </w:r>
          </w:p>
        </w:tc>
        <w:tc>
          <w:tcPr>
            <w:tcW w:type="dxa" w:w="51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C端 App + A端运营管理中心 + B端合作机构工作台</w:t>
            </w:r>
          </w:p>
        </w:tc>
      </w:tr>
      <w:tr>
        <w:tc>
          <w:tcPr>
            <w:tcW w:type="dxa" w:w="51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业务中心</w:t>
            </w:r>
          </w:p>
        </w:tc>
        <w:tc>
          <w:tcPr>
            <w:tcW w:type="dxa" w:w="51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影视项目</w:t>
            </w:r>
          </w:p>
        </w:tc>
      </w:tr>
      <w:tr>
        <w:tc>
          <w:tcPr>
            <w:tcW w:type="dxa" w:w="51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决策编号</w:t>
            </w:r>
          </w:p>
        </w:tc>
        <w:tc>
          <w:tcPr>
            <w:tcW w:type="dxa" w:w="51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D01–D23</w:t>
            </w:r>
          </w:p>
        </w:tc>
      </w:tr>
      <w:tr>
        <w:tc>
          <w:tcPr>
            <w:tcW w:type="dxa" w:w="51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状态分类</w:t>
            </w:r>
          </w:p>
        </w:tc>
        <w:tc>
          <w:tcPr>
            <w:tcW w:type="dxa" w:w="51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可直接启动 / 待业务决策 / 待第三方或资质 / 后续规划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5128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0</w:t>
            </w:r>
          </w:p>
        </w:tc>
        <w:tc>
          <w:tcPr>
            <w:tcW w:type="dxa" w:w="5128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阅读说明与文件控制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先读这一部分即可理解本文件怎么用</w:t>
            </w:r>
          </w:p>
        </w:tc>
      </w:tr>
    </w:tbl>
    <w:p>
      <w:pPr>
        <w:pStyle w:val="Heading2"/>
        <w:keepNext/>
        <w:widowControl/>
      </w:pPr>
      <w:r>
        <w:t>0.1 文件目的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当前项目已经具备较完整的 C 端业务雏形，下一阶段的重点不再是继续增加展示页面，而是把业务规则、平台内部管理、合作机构协作、第三方能力和正式上线条件统一到同一套项目基线中。本文件不替代法务、财税或资质专业意见；它用于明确“业务希望怎样运行、平台需要管理什么、哪些事项由外部条件决定”。</w:t>
      </w:r>
    </w:p>
    <w:p>
      <w:pPr>
        <w:pStyle w:val="Heading2"/>
        <w:keepNext/>
        <w:widowControl/>
      </w:pPr>
      <w:r>
        <w:t>0.2 四类事项的管理方式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6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6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会议动作</w:t>
            </w:r>
          </w:p>
        </w:tc>
        <w:tc>
          <w:tcPr>
            <w:tcW w:type="dxa" w:w="256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会后处理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🟢 可直接启动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业务边界已明确，主体建设不需要等待其他决策。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确认范围，不逐项争论细节。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直接纳入 V1 建设计划。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🟡 待业务决策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模块确定存在，但合同、比例、权限、退出等规则需要选择。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现场勾选 D01–D23。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按会议结论固化规则。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🔴 待第三方/资质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取决于外部账号、服务权限、公司主体、备案、商店或专业意见。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确认负责人、资料、目标时间。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独立跟踪，不与内部建设混为一谈。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⚪ 后续规划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明确不属于 V1，但未来可能建设。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确认“不进 V1”。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作为后续路线图保留。</w:t>
            </w:r>
          </w:p>
        </w:tc>
      </w:tr>
    </w:tbl>
    <w:p>
      <w:pPr>
        <w:pStyle w:val="Heading2"/>
        <w:keepNext/>
        <w:widowControl/>
      </w:pPr>
      <w:r>
        <w:t>0.3 统一编号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文档、全景图、会议 PPT、会议决议表和后续开发任务统一使用同一套编号。已有编号含义不再随意修改；新增事项只增加新编号。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编号</w:t>
            </w:r>
          </w:p>
        </w:tc>
        <w:tc>
          <w:tcPr>
            <w:tcW w:type="dxa" w:w="3419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对应内容</w:t>
            </w:r>
          </w:p>
        </w:tc>
        <w:tc>
          <w:tcPr>
            <w:tcW w:type="dxa" w:w="3419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示例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R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参与角色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R01 个人用户 / 数字人权利人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C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C端 App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C03 项目参与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A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A端运营管理中心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A07 项目收入与结算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B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B端合作机构工作台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B02 项目协作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M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平台核心业务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M03 影视项目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X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第三方服务 / 发行渠道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X01 火山引擎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正式上线条件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Q04 APP备案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F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后续规划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F03 影视收益自动分账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业务决策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D13 每个项目再次确认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5128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目录</w:t>
            </w:r>
          </w:p>
        </w:tc>
        <w:tc>
          <w:tcPr>
            <w:tcW w:type="dxa" w:w="5128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正文结构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本目录与标题编号保持一致，会议可直接按编号跳转讨论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680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1</w:t>
            </w:r>
          </w:p>
        </w:tc>
        <w:tc>
          <w:tcPr>
            <w:tcW w:type="dxa" w:w="8787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项目总览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1.1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项目定位与边界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1.2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三端分工与统一业务档案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1.3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业务系统全景图</w:t>
            </w:r>
          </w:p>
        </w:tc>
      </w:tr>
      <w:tr>
        <w:tc>
          <w:tcPr>
            <w:tcW w:type="dxa" w:w="680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2</w:t>
            </w:r>
          </w:p>
        </w:tc>
        <w:tc>
          <w:tcPr>
            <w:tcW w:type="dxa" w:w="8787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第一部分｜目前可以直接启动建设的内容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2.1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账号、机构与数字人关系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2.2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A端运营管理中心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2.3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剧本与内容方案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2.4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影视项目档案与关键节点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2.5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内容版本与验收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2.6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消费订单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2.7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发行收入与项目结算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2.8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经营数据与报表</w:t>
            </w:r>
          </w:p>
        </w:tc>
      </w:tr>
      <w:tr>
        <w:tc>
          <w:tcPr>
            <w:tcW w:type="dxa" w:w="680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3</w:t>
            </w:r>
          </w:p>
        </w:tc>
        <w:tc>
          <w:tcPr>
            <w:tcW w:type="dxa" w:w="8787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第二部分｜业务规则待决策 D01–D23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3.1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合同、权利与项目收入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3.2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剧本、制作与项目运行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3.3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组织、账号与权限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3.4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结算、平台收入与售后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3.5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权利边界与 iOS 收费</w:t>
            </w:r>
          </w:p>
        </w:tc>
      </w:tr>
      <w:tr>
        <w:tc>
          <w:tcPr>
            <w:tcW w:type="dxa" w:w="680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4</w:t>
            </w:r>
          </w:p>
        </w:tc>
        <w:tc>
          <w:tcPr>
            <w:tcW w:type="dxa" w:w="8787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第三部分｜第三方服务与正式上线条件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4.1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火山引擎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4.2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阿里云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4.3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支付宝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4.4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电子签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4.5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公司主体、软著、备案与应用商店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4.6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资料与账号一次性收集表</w:t>
            </w:r>
          </w:p>
        </w:tc>
      </w:tr>
      <w:tr>
        <w:tc>
          <w:tcPr>
            <w:tcW w:type="dxa" w:w="680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5</w:t>
            </w:r>
          </w:p>
        </w:tc>
        <w:tc>
          <w:tcPr>
            <w:tcW w:type="dxa" w:w="8787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第四部分｜成熟行业机制与采用建议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5.1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创作者 / MCN 机制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5.2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影视内容版本协作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5.3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轻量项目管理</w:t>
            </w:r>
          </w:p>
        </w:tc>
      </w:tr>
      <w:tr>
        <w:tc>
          <w:tcPr>
            <w:tcW w:type="dxa" w:w="680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64748B"/>
                <w:sz w:val="15"/>
              </w:rPr>
              <w:t>5.4</w:t>
            </w:r>
          </w:p>
        </w:tc>
        <w:tc>
          <w:tcPr>
            <w:tcW w:type="dxa" w:w="8787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结算与经营看板</w:t>
            </w:r>
          </w:p>
        </w:tc>
      </w:tr>
      <w:tr>
        <w:tc>
          <w:tcPr>
            <w:tcW w:type="dxa" w:w="680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6</w:t>
            </w:r>
          </w:p>
        </w:tc>
        <w:tc>
          <w:tcPr>
            <w:tcW w:type="dxa" w:w="8787"/>
            <w:shd w:fill="EAF2F8"/>
            <w:tcBorders>
              <w:top w:val="single" w:sz="3" w:color="E7EEF5"/>
              <w:left w:val="single" w:sz="3" w:color="E7EEF5"/>
              <w:bottom w:val="single" w:sz="3" w:color="E7EEF5"/>
              <w:right w:val="single" w:sz="3" w:color="E7EEF5"/>
              <w:insideH w:val="single" w:sz="3" w:color="E7EEF5"/>
              <w:insideV w:val="single" w:sz="3" w:color="E7EEF5"/>
            </w:tcBorders>
            <w:tcMar>
              <w:top w:w="20" w:type="dxa"/>
              <w:start w:w="55" w:type="dxa"/>
              <w:bottom w:w="20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附录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5128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1</w:t>
            </w:r>
          </w:p>
        </w:tc>
        <w:tc>
          <w:tcPr>
            <w:tcW w:type="dxa" w:w="5128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项目总览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先统一“这个平台是什么、由谁使用、管理什么”</w:t>
            </w:r>
          </w:p>
        </w:tc>
      </w:tr>
    </w:tbl>
    <w:p>
      <w:pPr>
        <w:pStyle w:val="Heading2"/>
        <w:keepNext/>
        <w:widowControl/>
      </w:pPr>
      <w:r>
        <w:t>1.1 项目定位与边界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6EC"/>
            <w:tcBorders>
              <w:top w:val="single" w:sz="6" w:color="A8D5AD"/>
              <w:left w:val="single" w:sz="6" w:color="A8D5AD"/>
              <w:bottom w:val="single" w:sz="6" w:color="A8D5AD"/>
              <w:right w:val="single" w:sz="6" w:color="A8D5AD"/>
              <w:insideH w:val="single" w:sz="6" w:color="A8D5AD"/>
              <w:insideV w:val="single" w:sz="6" w:color="A8D5A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2E7D32"/>
                <w:sz w:val="21"/>
              </w:rPr>
              <w:t>项目定位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晶晶日上是一套连接数字人权利人、MCN、剧本方、制作方、企业客户与影视项目的数字经纪与项目管理平台。它的核心价值是把人、授权、剧本、项目、交付、合同、发行收入和结算记录放到同一套业务体系中。</w:t>
            </w:r>
          </w:p>
        </w:tc>
      </w:tr>
    </w:tbl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V1 不把晶晶日上做成短剧播放平台，也不试图替代专业 AI 影视制作工具。真正的内容制作可以发生在火山引擎或其他专业制作平台；剧组内部也可以继续使用自己熟悉的工作方式。晶晶日上负责保存经过确认的项目事实、协议、版本、节点和结算结果。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3419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V1负责</w:t>
            </w:r>
          </w:p>
        </w:tc>
        <w:tc>
          <w:tcPr>
            <w:tcW w:type="dxa" w:w="3419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V1不负责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内容制作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管理创作方向、版本、确认与交付记录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替代专业AI短剧制作平台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项目管理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管理关键节点、参与者、合同、交付与发行状态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管理剧组每天的通告、场务和详细制片任务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资金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管理消费订单、发行收入台账、结算单和付款记录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V1自动完成影视项目利润分账</w:t>
            </w:r>
          </w:p>
        </w:tc>
      </w:tr>
      <w:tr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发行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记录发行渠道、上线信息和实际结算</w:t>
            </w:r>
          </w:p>
        </w:tc>
        <w:tc>
          <w:tcPr>
            <w:tcW w:type="dxa" w:w="341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自建短剧播放平台</w:t>
            </w:r>
          </w:p>
        </w:tc>
      </w:tr>
    </w:tbl>
    <w:p>
      <w:pPr>
        <w:pStyle w:val="Heading2"/>
        <w:keepNext/>
        <w:widowControl/>
      </w:pPr>
      <w:r>
        <w:t>1.2 三端分工与统一业务档案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端</w:t>
            </w:r>
          </w:p>
        </w:tc>
        <w:tc>
          <w:tcPr>
            <w:tcW w:type="dxa" w:w="2564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主要使用者</w:t>
            </w:r>
          </w:p>
        </w:tc>
        <w:tc>
          <w:tcPr>
            <w:tcW w:type="dxa" w:w="2564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主要职责</w:t>
            </w:r>
          </w:p>
        </w:tc>
        <w:tc>
          <w:tcPr>
            <w:tcW w:type="dxa" w:w="2564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V1策略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C端 App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个人用户、数字人权利人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创建/管理数字人、选择内容方向、参与项目、审核版本、查看项目进度和本人结算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保留现有App主体，重点完成真实数据和业务贯通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A端 运营管理中心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平台运营、商务、法务、财务、管理层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管理用户/机构/数字人/项目/合同/订单/发行收入/结算/审核/报表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V1重点建设，承担大量代操作</w:t>
            </w:r>
          </w:p>
        </w:tc>
      </w:tr>
      <w:tr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B端 合作机构工作台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MCN、剧本方、制作方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管理旗下数字人、项目协作、剧本提交、制作交付、机构数据与结算</w:t>
            </w:r>
          </w:p>
        </w:tc>
        <w:tc>
          <w:tcPr>
            <w:tcW w:type="dxa" w:w="256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分阶段开放；V1可由A端代办</w:t>
            </w:r>
          </w:p>
        </w:tc>
      </w:tr>
    </w:tbl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三端使用的是同一套“平台统一业务档案”：同一个用户、数字人、剧本版本、项目、合同、交付内容、订单和结算记录只有一份正式记录。不同端只是在权限、视图和操作方式上不同。</w:t>
      </w:r>
    </w:p>
    <w:p>
      <w:pPr>
        <w:sectPr>
          <w:headerReference w:type="default" r:id="rId9"/>
          <w:footerReference w:type="default" r:id="rId10"/>
          <w:headerReference w:type="first" r:id="rId22"/>
          <w:footerReference w:type="first" r:id="rId23"/>
          <w:pgSz w:w="12240" w:h="15840"/>
          <w:pgMar w:top="879" w:right="992" w:bottom="822" w:left="992" w:header="369" w:footer="369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28"/>
        </w:rPr>
        <w:t>1.3 业务系统全景图｜图 1  晶晶日上业务系统全景图 V1.0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64000" cy="555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晶晶日上业务系统全景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64000" cy="555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4748B"/>
          <w:sz w:val="17"/>
        </w:rPr>
        <w:t>绿色：已明确 / 可建设｜黄色：待业务决策｜红色：待第三方或资质｜灰色：后续规划</w:t>
      </w:r>
    </w:p>
    <w:p>
      <w:pPr>
        <w:sectPr>
          <w:pgSz w:w="16838" w:h="11906" w:orient="landscape"/>
          <w:pgMar w:top="454" w:right="454" w:bottom="454" w:left="454" w:header="369" w:footer="369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961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2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第一部分｜目前可以直接启动建设的内容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以下内容不需要等待新的商业判断，可直接作为 V1 建设范围</w:t>
            </w:r>
          </w:p>
        </w:tc>
      </w:tr>
    </w:tbl>
    <w:p>
      <w:pPr>
        <w:pStyle w:val="Heading2"/>
        <w:keepNext/>
        <w:widowControl/>
      </w:pPr>
      <w:r>
        <w:t>2.1 R / M01｜账号、机构与数字人关系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把“登录平台的人”“合作机构”“数字人”分成三个清晰概念。数字人是被授权、可参与项目的数字身份和业务档案，不是登录账号。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个人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可以拥有自己的数字人，也可以仅作为消费者使用平台。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机构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可以是 MCN、剧本方、制作方或企业客户，一个机构可以有多个工作人员。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数字人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记录权利人、管理机构、授权状态、长期真人数字能力状态、历史项目与结算。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关系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机构管理数字人不等于拥有数字人；绑定与解绑都保留生效日期和历史。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直接建设。D10、D13、D14、D22只决定具体业务规则，不改变主体关系。</w:t>
      </w:r>
    </w:p>
    <w:p>
      <w:pPr>
        <w:pStyle w:val="Heading2"/>
        <w:keepNext/>
        <w:widowControl/>
      </w:pPr>
      <w:r>
        <w:t>2.2 A01–A10｜A端运营管理中心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A端是 V1 最重要的新增能力。它是公司内部的业务工作台，不是单纯的“技术后台”。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A01 用户与机构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查看个人、机构、成员和关系。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A02 数字人档案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查看真人身份、授权、合作机构、项目履历和状态。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A03 剧本库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维护内容方案、题材、简介、作者/版权来源和上下架。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A04 项目管理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创建/审核项目、角色、参与方、关键节点和发行状态。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A05 合同与授权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管理框架协议、单项目确认书、授权范围和版本。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A06 订单与售后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管理标准消费订单、退款、售后和交付状态。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A07 项目收入与结算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录入发行收入、生成结算单、记录应付/已付。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A08 内容审核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处理需要平台确认的内容、版本和合规事项。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A09 数据报表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查看项目、数字人、机构和结算数据并导出。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A10 系统配置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维护基础业务配置、人员权限和字典。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直接建设；先满足内部运营可用，不追求复杂视觉。</w:t>
      </w:r>
    </w:p>
    <w:p>
      <w:pPr>
        <w:pStyle w:val="Heading2"/>
        <w:keepNext/>
        <w:widowControl/>
      </w:pPr>
      <w:r>
        <w:t>2.3 M02｜剧本与内容方案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把“平台长期可展示的内容方案”和“某个项目正在修改的剧本版本”分开管理。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内容方案库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题材、故事方向、人物设定、简介、作者/版权来源、参考样片、标签。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项目剧本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V1、V2、V3……均保留，记录谁提交、谁提出修改、最终确认的是哪一版。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C端参与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用户负责选择方向、阅读、提出修改、确认。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合作方参与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V1可以先通过A端代上传；B端自助提交后续开放。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直接建设；D06、D07决定最终名称和提交方式。</w:t>
      </w:r>
    </w:p>
    <w:p>
      <w:pPr>
        <w:pStyle w:val="Heading2"/>
        <w:keepNext/>
        <w:widowControl/>
      </w:pPr>
      <w:r>
        <w:t>2.4 M03｜影视项目档案与关键节点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项目是全平台的中心。一部项目把数字人、角色、机构、剧本、协议、交付、发行和结算关联起来。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项目档案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项目名称、简介、角色、参与数字人、合作机构、负责人。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关键节点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项目成立、剧本确定、制作启动、首版/粗剪、修改完成、成片、发行、结算。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项目动态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只发布经过确认的重要进展，不承诺实时同步剧组。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信息来源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制作方可自行提交，也可由平台运营代录。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直接建设；D08、D15、D16只影响节点规则和参与方式。</w:t>
      </w:r>
    </w:p>
    <w:p>
      <w:pPr>
        <w:pStyle w:val="Heading2"/>
        <w:keepNext/>
        <w:widowControl/>
      </w:pPr>
      <w:r>
        <w:t>2.5 M05｜内容版本、反馈与验收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剧本、样片、粗剪、成片统一使用一套“版本—反馈—修改—确认”方式，避免重要确认长期散落在聊天记录里。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提交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每次提交形成新版本，不覆盖旧版本。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反馈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对具体版本提出修改意见。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确认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明确记录“待确认 / 需要修改 / 已确认”。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留档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最终确认版本和确认时间永久可追溯。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直接建设；D09、D17、D18决定审核规则、反馈时限和可见范围。</w:t>
      </w:r>
    </w:p>
    <w:p>
      <w:pPr>
        <w:pStyle w:val="Heading2"/>
        <w:keepNext/>
        <w:widowControl/>
      </w:pPr>
      <w:r>
        <w:t>2.6 M06｜标准消费订单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祝福视频、明确价格的定制服务等继续按普通订单管理，不与影视项目后期发行收入混在一起。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交易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下单、报价、支付、查询。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交付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制作、验收。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售后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退款、投诉、售后。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记录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订单、支付凭证、退款和交付历史。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直接建设；D12影响 iOS 付款方式，D23影响售后规则。</w:t>
      </w:r>
    </w:p>
    <w:p>
      <w:pPr>
        <w:pStyle w:val="Heading2"/>
        <w:keepNext/>
        <w:widowControl/>
      </w:pPr>
      <w:r>
        <w:t>2.7 M07｜发行收入与项目结算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V1 把“影视项目后续收入”设计成项目台账和结算单，而不是自动分账系统。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收入录入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根据发行方/视频平台的真实商务结算单录入。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计算依据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依据单项目协议保存的合作规则计算应结算金额。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结算单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按结算期间生成，不直接改写已经确认的历史。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现实付款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由公司财务通过约定方式支付，系统记录已付/待付和凭证。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直接建设；D02–D04、D20–D21决定公式、展示和平台收费。</w:t>
      </w:r>
    </w:p>
    <w:p>
      <w:pPr>
        <w:pStyle w:val="Heading2"/>
        <w:keepNext/>
        <w:widowControl/>
      </w:pPr>
      <w:r>
        <w:t>2.8 M08｜经营数据与报表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数据看板首先服务业务判断，而不是追求复杂大屏。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V1定义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数字人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报名、邀请、入组、成团、项目完成、合作收入。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机构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管理数字人数、活跃度、项目数量、成团率、结算。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项目周期、当前阶段、延期、发行收入、结算状态。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导出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按时间、项目、机构、数字人筛选并导出 Excel / CSV。</w:t>
            </w:r>
          </w:p>
        </w:tc>
      </w:tr>
    </w:tbl>
    <w:p>
      <w:pPr>
        <w:spacing w:before="0" w:after="160" w:line="293" w:lineRule="auto"/>
      </w:pPr>
      <w:r>
        <w:rPr>
          <w:rFonts w:ascii="Noto Sans CJK SC" w:hAnsi="Noto Sans CJK SC" w:eastAsia="Noto Sans CJK SC"/>
          <w:b/>
          <w:color w:val="2E7D32"/>
          <w:sz w:val="18"/>
        </w:rPr>
        <w:t>建设结论：</w:t>
      </w:r>
      <w:r>
        <w:rPr>
          <w:rFonts w:ascii="Noto Sans CJK SC" w:hAnsi="Noto Sans CJK SC" w:eastAsia="Noto Sans CJK SC"/>
          <w:b w:val="0"/>
          <w:color w:val="1F2937"/>
          <w:sz w:val="18"/>
        </w:rPr>
        <w:t>直接建设；后续再根据真实经营数据扩展。</w:t>
      </w:r>
    </w:p>
    <w:p>
      <w:pPr>
        <w:pStyle w:val="Heading2"/>
        <w:keepNext/>
        <w:widowControl/>
      </w:pPr>
      <w:r>
        <w:t>2.9 V1 明确不纳入的内容（F01–F05）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475569"/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  <w:insideH w:val="single" w:sz="4" w:color="475569"/>
              <w:insideV w:val="single" w:sz="4" w:color="475569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307"/>
            <w:shd w:fill="475569"/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  <w:insideH w:val="single" w:sz="4" w:color="475569"/>
              <w:insideV w:val="single" w:sz="4" w:color="475569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后续能力</w:t>
            </w:r>
          </w:p>
        </w:tc>
        <w:tc>
          <w:tcPr>
            <w:tcW w:type="dxa" w:w="3307"/>
            <w:shd w:fill="475569"/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  <w:insideH w:val="single" w:sz="4" w:color="475569"/>
              <w:insideV w:val="single" w:sz="4" w:color="475569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V1为什么不做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F01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海外上架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先完成国内业务闭环与主体/备案；当前只预留多语言、地区和货币扩展空间。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F02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发行渠道数据自动同步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真实渠道合作方式尚未固定，V1先用商务结算材料人工录入。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F03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影视收益自动分账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业务已倾向由公司商务/财务现实结算，V1只做结算台账和付款记录。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F04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深度制片协同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  <w:shd w:fill="F8FAFC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剧组和AI制作平台已有专业工具，晶晶日上只保留对项目方/客户有价值的节点与交付。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F05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智能数字人 / 项目推荐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55" w:type="dxa"/>
              <w:bottom w:w="25" w:type="dxa"/>
              <w:end w:w="55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先积累真实项目数据和标签，再评估推荐机制。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961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3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第二部分｜业务规则待决策（D01–D23）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会议的核心任务：逐项选择，并把最终规则写入会议决议表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6E6"/>
            <w:tcBorders>
              <w:top w:val="single" w:sz="6" w:color="F1C27D"/>
              <w:left w:val="single" w:sz="6" w:color="F1C27D"/>
              <w:bottom w:val="single" w:sz="6" w:color="F1C27D"/>
              <w:right w:val="single" w:sz="6" w:color="F1C27D"/>
              <w:insideH w:val="single" w:sz="6" w:color="F1C27D"/>
              <w:insideV w:val="single" w:sz="6" w:color="F1C27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决策原则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优先选择边界清楚、能够实际执行、不会把平台误导成投资或金融产品的方案。对于尚未跑过真实项目的细节，优先保留人工审核和可调整空间，不为了“自动化”而提前写死。</w:t>
            </w:r>
          </w:p>
        </w:tc>
      </w:tr>
    </w:tbl>
    <w:p>
      <w:pPr>
        <w:pStyle w:val="Heading2"/>
        <w:keepNext/>
        <w:widowControl/>
        <w:spacing w:before="200"/>
      </w:pPr>
      <w:r>
        <w:t>3.1 合同、权利与项目收入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D01  角色认领是否产生后续影视收入权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用户购买角色/定制服务，是否天然获得项目未来发行收入权？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合同、C端文案、项目结算、合规边界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角色付费只购买参演/定制服务；后续项目收入权来自独立项目合作约定。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边界最清楚，与“非投资化”产品口径一致。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角色付费同时获得未来项目收入比例。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会显著改变产品性质，需专项法务判断。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数字人参与项目只收固定费用，不参与后续发行收入。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最简单，但弱化长期数字经纪价值。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将消费服务与项目收入权分开。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D02  数字人参与项目的收入方式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一个数字人进入项目后，合作报酬允许采用哪些方式？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项目确认书、A端结算、C端展示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固定金额。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适合一次性演员/授权费用。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可分配收入的固定比例。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适合长期跟随项目发行表现。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固定金额 + 收入比例。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兼顾基本保障和长期激励。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D【推荐】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系统支持 A/B/C，由单项目选择。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最符合影视项目差异化。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推荐基线：D。</w:t>
      </w:r>
      <w:r>
        <w:rPr>
          <w:rFonts w:ascii="Noto Sans CJK SC" w:hAnsi="Noto Sans CJK SC" w:eastAsia="Noto Sans CJK SC"/>
          <w:b w:val="0"/>
          <w:color w:val="1F2937"/>
          <w:sz w:val="18"/>
        </w:rPr>
        <w:t>平台不要写死唯一模式。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D03  “可分配收入”如何定义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发行渠道实际到账后，哪些费用可以在计算参与方收入前扣除？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合同、财务、结算争议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以实际到账为基础，只扣退款/冲正、税费、渠道费用及合同明确约定的可扣项目。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可凭结算单核对，争议最少。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以项目净利润为基础。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成本口径复杂，容易产生争议。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避免使用模糊的“净利润”作为核心口径。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D04  C端展示项目收入到什么程度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数字人权利人在App里应看到“比例”还是“预计金额”？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C端产品文案、合同承诺边界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显示合作方式/比例、已确认收入、待结算、已结算；不显示未发生的预计金额。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既透明又不形成收益承诺。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显示系统估算的预计收入金额。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预测误差和用户预期风险较高。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App不展示任何收入规则，仅看线下合同。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透明度较低。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只展示确定规则和已经发生/确认的数据。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D05  项目合同采用什么结构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长期合作和单项目差异如何兼顾？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合同体系、电子签、A端归档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长期框架协议 + 单项目确认书。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长期规则一次约定；角色、授权、比例等在每个项目确认。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每个项目重新签完整合同。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清楚但重复、运营成本高。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系统只归档线下合同，不形成平台内确认。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适合短期过渡，不适合长期规模化。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业务结构采用A；V1可先线下签署后上传，电子签后接。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200"/>
      </w:pPr>
      <w:r>
        <w:t>3.2 剧本、制作与项目运行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D06  “剧本库”究竟展示什么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用户看到的是完整现成剧本，还是选择创作方向？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C端命名、版权预期、定制程度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完整现成剧本。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适合库存型版权/剧本交易。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题材、故事方案、参考方向；选中后再定制创作。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更符合当前定制逻辑。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两种都支持，并明确标记“完整剧本/创作方案”。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能力最完整，管理要求更高。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推荐基线：B。</w:t>
      </w:r>
      <w:r>
        <w:rPr>
          <w:rFonts w:ascii="Noto Sans CJK SC" w:hAnsi="Noto Sans CJK SC" w:eastAsia="Noto Sans CJK SC"/>
          <w:b w:val="0"/>
          <w:color w:val="1F2937"/>
          <w:sz w:val="18"/>
        </w:rPr>
        <w:t>如果选中后仍需改本，优先按创作方向表达。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D07  项目剧本由谁维护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第一版是否要求编剧/剧本方必须登录平台上传？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B端范围、运营成本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A【V1推荐】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编剧/制作方按现有方式交稿，由A端运营代上传。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上线快，对合作方要求最低。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剧本方通过B端自行提交，平台审核后发布。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长期效率更高，但需要更完整的机构权限。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V1先代操作，后续再开放B端自助。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D08  项目进度展示到什么程度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平台是否承诺实时同步剧组/AI制作过程？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C端项目页、运营责任、B端使用负担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每天实时更新。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执行成本高，容易长期失真。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只维护关键节点和经过确认的重要进展。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可执行、可核对。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只显示“制作中/已完成”。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过于粗糙。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推荐基线：B。</w:t>
      </w:r>
      <w:r>
        <w:rPr>
          <w:rFonts w:ascii="Noto Sans CJK SC" w:hAnsi="Noto Sans CJK SC" w:eastAsia="Noto Sans CJK SC"/>
          <w:b w:val="0"/>
          <w:color w:val="1F2937"/>
          <w:sz w:val="18"/>
        </w:rPr>
        <w:t>节点汇报比“实时动态”更符合实际。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D09  剧本/样片/粗剪/成片如何审核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内容交付是否统一使用版本和确认机制？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M05、C端确认、售后证据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每次形成新版本；用户可确认或要求修改；最终版锁定留档。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流程清晰、可追溯。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继续主要在微信沟通，系统只存最终版。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开发少，但项目档案价值低。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统一版本审核机制是平台的重要基础能力。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D15  数字人如何进入正式项目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是抢位、报名、邀请还是项目方筛选？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项目招募、合同、C端入口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先到先得/自由认领。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适合标准化席位，但不适合所有影视选角。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公开报名后由项目方筛选。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适合开放招募。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平台/项目方定向邀请。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适合明星、重点角色和定制合作。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D【推荐】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系统同时支持报名、定向邀请、项目方筛选、权利人最终确认。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最接近真实项目制合作。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推荐基线：D。</w:t>
      </w:r>
      <w:r>
        <w:rPr>
          <w:rFonts w:ascii="Noto Sans CJK SC" w:hAnsi="Noto Sans CJK SC" w:eastAsia="Noto Sans CJK SC"/>
          <w:b w:val="0"/>
          <w:color w:val="1F2937"/>
          <w:sz w:val="18"/>
        </w:rPr>
        <w:t>把“报名”和“最终入组”分开。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D16  中途退出或项目取消怎么处理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不同项目阶段是否采用不同退出和费用规则？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退款、合同、项目档案、结算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按阶段分别约定：未确认、已入组未成立、已制作、项目方终止。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与实际成本和责任匹配。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全阶段统一退出/退款规则。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简单但容易不合理。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按阶段处理并保留原因、责任与结果。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D17  修改次数、反馈期限与最终验收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免费修改几次、多久必须反馈、超时怎么办？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内容交付、售后、项目周期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约定免费修改轮次；到期提醒后人工处理，不自动确认。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适合V1和高客单项目。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到期自动确认。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效率高，但容易引发争议。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先人工兜底，积累真实运营数据后再考虑自动确认。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200"/>
      </w:pPr>
      <w:r>
        <w:t>3.3 组织、账号与权限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D10  MCN与数字人的关系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MCN是在管理数字人，还是天然拥有数字人？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账号关系、授权、历史项目、收益归属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数字人权利归原权利人，MCN获得一定期间管理权。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适合经纪/管理关系。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MCN创建的数字人直接归MCN。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适合公司自有IP。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C【系统推荐】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系统同时支持A/B，由合同记录真实权利归属；日常业务默认更偏A。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覆盖个人与机构自有两种情况。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推荐基线：C。</w:t>
      </w:r>
      <w:r>
        <w:rPr>
          <w:rFonts w:ascii="Noto Sans CJK SC" w:hAnsi="Noto Sans CJK SC" w:eastAsia="Noto Sans CJK SC"/>
          <w:b w:val="0"/>
          <w:color w:val="1F2937"/>
          <w:sz w:val="18"/>
        </w:rPr>
        <w:t>系统不预设所有数字人都归同一种主体。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D11  B端的定位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是否只做MCN后台，还是所有合作机构共用一个工作台？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后续产品数量、权限设计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只做MCN后台；剧本方、制作方以后另做。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容易出现多个重复后台。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统一“合作机构工作台”，根据机构身份显示不同菜单。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结构统一、长期维护成本低。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推荐基线：B。</w:t>
      </w:r>
      <w:r>
        <w:rPr>
          <w:rFonts w:ascii="Noto Sans CJK SC" w:hAnsi="Noto Sans CJK SC" w:eastAsia="Noto Sans CJK SC"/>
          <w:b w:val="0"/>
          <w:color w:val="1F2937"/>
          <w:sz w:val="18"/>
        </w:rPr>
        <w:t>MCN、剧本方、制作方都是合作机构，只是权限不同。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D13  每个项目是否要由数字人权利人再次确认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签过长期数字人授权后，是否可以自动安排参加任意项目？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授权、C端确认、合同证据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每个项目再次确认角色、用途、期限、使用范围和合作方式。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边界清楚，减少授权争议。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长期授权后平台可自动安排。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运营方便但授权风险高。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长期关系与单项目授权分开。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D14  MCN绑定/解绑后的历史项目怎么处理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机构关系变化是否影响已经签署的项目？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历史合同、结算、账号关系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新关系只影响生效后的新项目；历史项目按当时签署关系继续执行。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历史规则稳定、账目可追溯。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解绑后历史项目也转回个人或新机构。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会改变既有合同和结算基础。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任何组织关系变化不追溯修改已签项目。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D18  项目资料谁能看、谁能下载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参与项目是否等于可以看到全部合同、预算、其他人收益和素材？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隐私、商业机密、B/C端权限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按角色最小可见：只展示完成职责所必需的内容。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最符合真实项目协作。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所有项目参与者看到大部分项目资料。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方便但泄露风险高。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权限围绕“必要可见”而不是“项目内全开放”。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D22  未成年人是否进入V1商业数字人流程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18岁以下是否允许独立创建、签项目和收款？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实名、监护、合同、隐私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A【V1推荐】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18岁以下暂不允许独立完成商业数字人创建和项目签署。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显著降低V1复杂度。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V1直接支持，增加监护人实名、授权、签约、收款流程。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适合明确需要童星业务的项目。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如确有童星业务，再作为专项能力建设。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widowControl/>
        <w:spacing w:before="200"/>
      </w:pPr>
      <w:r>
        <w:t>3.4 结算、平台收入与售后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D20  结算出现异议怎么办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结算单确认后是否还能直接修改历史金额？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财务、合同、审计、用户信任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结算单可确认/提出异议；确认后锁定，后续补发/扣回进入下一期调整。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历史账可追溯。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任何时候都能直接改旧结算单。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容易造成账务争议。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结算历史不直接覆盖。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D21  平台自身如何收费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晶晶日上的收入可能来自哪些方式？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财务、合同、商业模式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标准订单平台服务费。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适合祝福/定制订单。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影视项目技术/项目管理服务费。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适合项目制服务。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参与项目发行收入比例。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适合深度项目合作。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D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机构服务费/年费。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适合B端成熟后。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E【推荐】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系统支持多种方式并存，项目收入、合作方收入、平台服务费分别记录。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最符合业务发展空间。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推荐基线：E。</w:t>
      </w:r>
      <w:r>
        <w:rPr>
          <w:rFonts w:ascii="Noto Sans CJK SC" w:hAnsi="Noto Sans CJK SC" w:eastAsia="Noto Sans CJK SC"/>
          <w:b w:val="0"/>
          <w:color w:val="1F2937"/>
          <w:sz w:val="18"/>
        </w:rPr>
        <w:t>系统先把钱的性质分清，不先锁定唯一商业模式。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D23  标准订单和影视项目是否共用退款规则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祝福视频和长周期影视项目能否使用同一套退款按钮？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订单、项目合同、售后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标准订单按标准售后；影视项目按项目阶段和合同处理。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符合两类业务差异。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全平台统一退款规则。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简单但容易不合理。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交易类型不同，售后逻辑必须分开。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widowControl/>
        <w:spacing w:before="200"/>
      </w:pPr>
      <w:r>
        <w:t>3.5 权利边界与 iOS 收费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D12  iOS中的不同收费业务怎么处理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AI图/视频、祝福视频、影视定制、品牌项目是否都走同一种付款方式？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App Store审核、商品设计、支付路径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逐个商品/服务判断实际交付性质，形成《iOS商品与付款方式清单》。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符合Apple按数字内容/现实服务区分的审核逻辑。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所有业务统一走支付宝。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对App内数字服务存在明显审核风险。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C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所有业务统一走Apple IAP。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对现实项目服务不一定合适。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不要靠改名称规避规则，按真实商品性质逐项判断。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pPr>
        <w:pStyle w:val="Heading3"/>
        <w:keepNext/>
        <w:widowControl/>
      </w:pPr>
      <w:r>
        <w:rPr>
          <w:rFonts w:ascii="Noto Sans CJK SC" w:hAnsi="Noto Sans CJK SC" w:eastAsia="Noto Sans CJK SC"/>
          <w:b/>
          <w:color w:val="17365D"/>
          <w:sz w:val="24"/>
        </w:rPr>
        <w:t>D19  数字人和作品的权利边界怎么写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需要决定什么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真人肖像、声音、数字人、剧本、AI素材、成片、宣传切片、海外发行和续集是否同一授权？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会影响什么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合同、版权、海外、续作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方案说明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适用判断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A【推荐】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每项目明确：原权利人、项目使用权、宣传权、期限、地区、续集/衍生是否另行授权。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F1F7FD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清楚、可管理。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5B9E"/>
                <w:sz w:val="26"/>
              </w:rPr>
              <w:t>□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B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统一写“全部权利归平台所有”。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475569"/>
                <w:sz w:val="17"/>
              </w:rPr>
              <w:t>简单但不一定符合实际权属和合作预期。</w:t>
            </w:r>
          </w:p>
        </w:tc>
      </w:tr>
    </w:tbl>
    <w:p>
      <w:pPr>
        <w:spacing w:before="0" w:after="60" w:line="293" w:lineRule="auto"/>
      </w:pPr>
      <w:r>
        <w:rPr>
          <w:rFonts w:ascii="Noto Sans CJK SC" w:hAnsi="Noto Sans CJK SC" w:eastAsia="Noto Sans CJK SC"/>
          <w:b/>
          <w:color w:val="C47A00"/>
          <w:sz w:val="18"/>
        </w:rPr>
        <w:t>推荐基线：A。</w:t>
      </w:r>
      <w:r>
        <w:rPr>
          <w:rFonts w:ascii="Noto Sans CJK SC" w:hAnsi="Noto Sans CJK SC" w:eastAsia="Noto Sans CJK SC"/>
          <w:b w:val="0"/>
          <w:color w:val="1F2937"/>
          <w:sz w:val="18"/>
        </w:rPr>
        <w:t>把权利拆成可理解、可确认的范围，而不是一句话打包。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会议结论：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补充约定：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____________________________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475569"/>
                <w:sz w:val="17"/>
              </w:rPr>
              <w:t>责任人/时间：</w:t>
            </w:r>
            <w:r>
              <w:rPr>
                <w:rFonts w:ascii="Noto Sans CJK SC" w:hAnsi="Noto Sans CJK SC" w:eastAsia="Noto Sans CJK SC"/>
                <w:b w:val="0"/>
                <w:color w:val="64748B"/>
                <w:sz w:val="17"/>
              </w:rPr>
              <w:t>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961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4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第三部分｜第三方服务与正式上线条件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把“内部建设”和“外部开通/审批”分开管理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DECEC"/>
            <w:tcBorders>
              <w:top w:val="single" w:sz="6" w:color="F3A7A1"/>
              <w:left w:val="single" w:sz="6" w:color="F3A7A1"/>
              <w:bottom w:val="single" w:sz="6" w:color="F3A7A1"/>
              <w:right w:val="single" w:sz="6" w:color="F3A7A1"/>
              <w:insideH w:val="single" w:sz="6" w:color="F3A7A1"/>
              <w:insideV w:val="single" w:sz="6" w:color="F3A7A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B42318"/>
                <w:sz w:val="21"/>
              </w:rPr>
              <w:t>状态口径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“已经有账号”不等于“该产品已经开通”；“代码里有接入位置”也不等于“生产环境已经验证”。外部服务统一按：未确认 → 已开通 → 已授权 → 已联调 → 已生产验证 记录。</w:t>
            </w:r>
          </w:p>
        </w:tc>
      </w:tr>
    </w:tbl>
    <w:p>
      <w:pPr>
        <w:pStyle w:val="Heading2"/>
        <w:keepNext/>
        <w:widowControl/>
      </w:pPr>
      <w:r>
        <w:t>4.1 X01｜火山引擎：AI与长期真人数字能力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火山已经是当前项目首选 AI 平台，但必须进入企业账号后逐项确认实际开通产品。尤其是“长期数字人”不能只看有没有视频生成模型，需要核实真人授权资产是否可以长期保存和反复用于影视生成。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项目用途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需要确认的产品/权限</w:t>
            </w:r>
          </w:p>
        </w:tc>
        <w:tc>
          <w:tcPr>
            <w:tcW w:type="dxa" w:w="2480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需要提供的资料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大模型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剧本辅助、项目文案等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火山方舟模型/Endpoint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企业账号访问权限、模型清单、额度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图像生成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概念图、海报、分镜等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Seedream 对应模型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模型权限、计费/额度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视频生成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样片、短视频、影视生成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Seedance 对应模型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模型权限、并发与任务能力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长期真人数字能力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让真人完成一次授权后长期作为演员素材使用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重点核实可信素材库/真人人像等实际产品与可调用方式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已开通产品、授权方式、资产ID规则、删除/撤销规则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语音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TTS/声音复刻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火山语音相关产品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AppID/资源权限/音色或声音ID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8"/>
            <w:tcBorders>
              <w:top w:val="single" w:sz="6" w:color="9EC5E5"/>
              <w:left w:val="single" w:sz="6" w:color="9EC5E5"/>
              <w:bottom w:val="single" w:sz="6" w:color="9EC5E5"/>
              <w:right w:val="single" w:sz="6" w:color="9EC5E5"/>
              <w:insideH w:val="single" w:sz="6" w:color="9EC5E5"/>
              <w:insideV w:val="single" w:sz="6" w:color="9EC5E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行业/产品参考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火山方舟当前公开的“可信素材库”支持真人演员完成真人认证和授权后进入私域素材库，并可继续用于 Seedance 视频生成；这与项目需要的“长期真人数字演员”方向高度相关，但仍需要在项目账号中确认实际开通范围和系统化调用方式。</w:t>
            </w:r>
          </w:p>
        </w:tc>
      </w:tr>
    </w:tbl>
    <w:p>
      <w:pPr>
        <w:pStyle w:val="Heading2"/>
        <w:keepNext/>
        <w:widowControl/>
      </w:pPr>
      <w:r>
        <w:t>4.2 X02｜阿里云：文件、实名与内容安全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服务</w:t>
            </w:r>
          </w:p>
        </w:tc>
        <w:tc>
          <w:tcPr>
            <w:tcW w:type="dxa" w:w="2480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用途</w:t>
            </w:r>
          </w:p>
        </w:tc>
        <w:tc>
          <w:tcPr>
            <w:tcW w:type="dxa" w:w="2480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需要确认</w:t>
            </w:r>
          </w:p>
        </w:tc>
        <w:tc>
          <w:tcPr>
            <w:tcW w:type="dxa" w:w="2480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V1建议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OSS对象存储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保存真人素材、项目文件、成片、合同、结算凭证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企业账号、Bucket、区域、权限、数据保留规则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敏感素材优先私有存储，避免直接公开链接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实人认证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创建真人数字人、签重要协议、参与项目/收款前身份确认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是否已开通、认证场景、SceneId、企业账号权限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不要求所有浏览用户一进App就实名；对高风险动作触发</w:t>
            </w:r>
          </w:p>
        </w:tc>
      </w:tr>
      <w:tr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内容安全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审核文字、图片、视频等内容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已开通产品、审核范围、机审/人审规则</w:t>
            </w:r>
          </w:p>
        </w:tc>
        <w:tc>
          <w:tcPr>
            <w:tcW w:type="dxa" w:w="248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0" w:type="dxa"/>
              <w:start w:w="75" w:type="dxa"/>
              <w:bottom w:w="60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V1先确定哪些内容必须审核，人工复核由A端承接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475569"/>
                <w:sz w:val="21"/>
              </w:rPr>
              <w:t>接入参考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阿里云金融级实人认证的标准流程是发起认证、用户完成认证、再查询最终结果；使用前需要先开通服务并创建认证场景。</w:t>
            </w:r>
          </w:p>
        </w:tc>
      </w:tr>
    </w:tbl>
    <w:p>
      <w:pPr>
        <w:pStyle w:val="Heading2"/>
        <w:keepNext/>
        <w:widowControl/>
      </w:pPr>
      <w:r>
        <w:t>4.3 X03｜支付宝：消费订单支付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V1 建议把支付宝用于明确商品/服务的消费订单，不把影视发行后的长期项目结算强行塞进同一套支付链路。影视项目收入按照 M07 的项目结算台账执行，是否未来接自动分账作为 F03 后续规划。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需要确认</w:t>
            </w:r>
          </w:p>
        </w:tc>
        <w:tc>
          <w:tcPr>
            <w:tcW w:type="dxa" w:w="330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项目需要得到什么</w:t>
            </w:r>
          </w:p>
        </w:tc>
        <w:tc>
          <w:tcPr>
            <w:tcW w:type="dxa" w:w="330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企业支付宝主体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正式商户和经营主体一致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开放平台App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APPID和正式应用信息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APP支付签约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正式支付权限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密钥/证书与回调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正式安全配置和回调域名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退款/查单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交易查询和退款能力</w:t>
            </w:r>
          </w:p>
        </w:tc>
        <w:tc>
          <w:tcPr>
            <w:tcW w:type="dxa" w:w="330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□</w:t>
            </w:r>
          </w:p>
        </w:tc>
      </w:tr>
    </w:tbl>
    <w:p>
      <w:pPr>
        <w:pStyle w:val="Heading2"/>
        <w:keepNext/>
        <w:widowControl/>
      </w:pPr>
      <w:r>
        <w:t>4.4 X04｜电子签：是否进入V1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电子签不是“合同页面”的同义词。V1 可以先采用“系统生成协议/确认书 + 用户明确确认 + 保存版本和操作记录 + 重要项目线下或外部电子签后归档”的方式；如果要求企业公章、个人实名签署和完整证据链，则需要选定专业电子签服务。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FF6E6"/>
            <w:tcBorders>
              <w:top w:val="single" w:sz="6" w:color="F1C27D"/>
              <w:left w:val="single" w:sz="6" w:color="F1C27D"/>
              <w:bottom w:val="single" w:sz="6" w:color="F1C27D"/>
              <w:right w:val="single" w:sz="6" w:color="F1C27D"/>
              <w:insideH w:val="single" w:sz="6" w:color="F1C27D"/>
              <w:insideV w:val="single" w:sz="6" w:color="F1C27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8A5A00"/>
                <w:sz w:val="21"/>
              </w:rPr>
              <w:t>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若正式上线时间紧，优先把合同结构、确认动作和归档做好；电子签作为独立接入项推进，不让它阻塞所有业务建设。</w:t>
            </w:r>
          </w:p>
        </w:tc>
      </w:tr>
    </w:tbl>
    <w:p>
      <w:pPr>
        <w:pStyle w:val="Heading2"/>
        <w:keepNext/>
        <w:widowControl/>
      </w:pPr>
      <w:r>
        <w:t>4.5 Q01–Q07｜国内正式上线条件与推进顺序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现在可以做什么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Q01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北京公司主体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承载长期运营、商店账号、支付和企业云服务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推进公司注册；提前准备公司名称、域名、联系人、经营范围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进行中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Q02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软件著作权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国内安卓渠道常见/重要上架材料之一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现在整理软件名称、说明书、代码和截图；主体确定后正式提交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准备中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Q03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域名 / ICP备案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网站、域名、服务器正式经营基础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统一域名和服务器主体，避免多主体反复迁移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待主体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Q04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APP备案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国内App正式提供互联网信息服务的重要手续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提前冻结App名称、包名、域名、SDK清单等基础信息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未启动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Q05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应用商店上架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iOS和安卓正式分发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准备商店文案、隐私政策、截图；公司成立后开企业开发者账号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未启动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Q06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AI / 影视专项确认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确认AI生成内容和影视业务具体适用要求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以最终上线功能请专业合规/备案服务方出具明确判断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  <w:shd w:fill="F8FAFC"/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待确认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Q07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数据与隐私合规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处理真人素材、实名、授权、SDK、删除撤回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形成隐私政策、用户协议、SDK/权限清单、数据保存与删除规则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25" w:type="dxa"/>
              <w:start w:w="45" w:type="dxa"/>
              <w:bottom w:w="25" w:type="dxa"/>
              <w:end w:w="45" w:type="dxa"/>
            </w:tcMar>
          </w:tcPr>
          <w:p>
            <w:pPr>
              <w:spacing w:before="0" w:after="0" w:line="235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准备中</w:t>
            </w:r>
          </w:p>
        </w:tc>
      </w:tr>
    </w:tbl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64748B"/>
          <w:sz w:val="17"/>
        </w:rPr>
        <w:t>说明：APP备案等官方办理存在法定/官方流程时间，实际完成时间还取决于公司主体、材料完整度、是否涉及前置审核等条件；项目计划应把外部审批时间与内部开发时间分开管理。</w:t>
      </w:r>
    </w:p>
    <w:p>
      <w:pPr>
        <w:pStyle w:val="Heading2"/>
        <w:keepNext/>
        <w:widowControl/>
      </w:pPr>
      <w:r>
        <w:t>4.6 第三方账号与资料一次性收集表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厂商/事项</w:t>
            </w:r>
          </w:p>
        </w:tc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具体产品或用途</w:t>
            </w:r>
          </w:p>
        </w:tc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已开通</w:t>
            </w:r>
          </w:p>
        </w:tc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账号/子账号</w:t>
            </w:r>
          </w:p>
        </w:tc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关键编号/场景</w:t>
            </w:r>
          </w:p>
        </w:tc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联系人</w:t>
            </w:r>
          </w:p>
        </w:tc>
        <w:tc>
          <w:tcPr>
            <w:tcW w:type="dxa" w:w="1417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备注</w:t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火山引擎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方舟大模型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火山引擎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Seedream 图像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火山引擎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Seedance 视频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火山引擎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长期真人数字能力 / 可信素材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火山引擎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TTS / 声音复刻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阿里云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OSS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阿里云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实人认证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阿里云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内容安全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支付宝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开放平台 App / APP支付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支付宝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退款 / 查单 / 回调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电子签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企业签 / 个人实名签（如采用）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公司/资质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营业执照 / 域名 / 备案 / 开发者账号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961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5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第四部分｜成熟行业机制与采用建议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不照搬友商页面，只借鉴已经被验证的业务机制</w:t>
            </w:r>
          </w:p>
        </w:tc>
      </w:tr>
    </w:tbl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晶晶日上的业务同时涉及数字人经纪、机构管理、项目招募、内容审核、影视制作协作和项目结算，因此不存在一家“完全同类”的成熟平台。更合理的方法是从不同成熟产品中提取各自已经验证的机制，再按晶晶日上的业务边界做轻量化组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成熟机制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行业做法解决的问题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晶晶日上采用方式</w:t>
            </w:r>
          </w:p>
        </w:tc>
        <w:tc>
          <w:tcPr>
            <w:tcW w:type="dxa" w:w="1984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5.1.1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数字人库应是一份长期职业档案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巨量星图等内容商业平台会管理创作者、机构关系、任务和经营数据，而不是只保存账号。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为数字人增加标签、历史项目、合作次数、成团率、交付表现、已确认合作收入。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V1直接采用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5.1.2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机构绑定采用“邀请—确认—解绑”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巨量星图的MCN绑定由机构发起邀请、达人本人接受；解绑和申诉保留平台流程。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MCN不能无感把数字人挂到自己名下；绑定、解绑都保留生效日期和历史项目。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V1直接采用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5.1.3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项目招募同时支持公开报名和定向邀请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星图招募任务支持报名、扩大招募范围、定向邀约和客户最终选择。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影视项目支持公开报名、定向邀请、项目方筛选和权利人最终确认。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V1直接采用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5.1.4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项目先有清晰任务说明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成熟内容合作平台要求任务需求、交付时间和硬性要求明确。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每个项目/角色提供《项目参与说明》：角色、周期、素材、授权、合作方式、退出规则。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V1直接采用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5.2.1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内容协作采用版本审核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Frame.io 的核心机制是把客户反馈放在具体版本上，并支持外部审核。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剧本、样片、粗剪、成片统一使用“版本—反馈—修改—确认”。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V1重点采用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5.2.2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外部参与者只看被分享的必要内容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Frame.io 区分项目内部成员与外部审核者，并控制访问范围。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数字人权利人只看本人相关合同/内容/结算；合作方按职责查看。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V1先做角色权限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5.3.1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项目管理取轻量里程碑，不复制完整制片系统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StudioBinder可管理日历、任务、负责人、截止时间、文件、评论和依赖。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晶晶日上只保留节点、负责人、预计/实际时间、附件和状态。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V1简化采用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5.4.1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结算要形成正式结算单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成熟商业平台会把任务、结算单、开票/收款资料和付款记录串起来。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项目发行收入录入后生成结算单，确认后锁定，现实付款后回填结果。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V1重点采用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5.4.2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数据看板服务经营判断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成熟平台的数据中心关注任务、转化、趋势、机构和创作者表现。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数字人、机构、项目均建立可解释指标，用于选角、合作和运营判断。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V1基础版</w:t>
            </w:r>
          </w:p>
        </w:tc>
      </w:tr>
      <w:tr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5.4.3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6"/>
              </w:rPr>
              <w:t>争议要有证据和处理结果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成熟平台对绑定、任务、结算等争议保留申诉和举证机制。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项目取消、解绑、结算、验收预留异议记录和证据上传。</w:t>
            </w:r>
          </w:p>
        </w:tc>
        <w:tc>
          <w:tcPr>
            <w:tcW w:type="dxa" w:w="198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6"/>
              </w:rPr>
              <w:t>V1.5，结构预留</w:t>
            </w:r>
          </w:p>
        </w:tc>
      </w:tr>
    </w:tbl>
    <w:p>
      <w:pPr>
        <w:pStyle w:val="Heading2"/>
        <w:keepNext/>
        <w:widowControl/>
      </w:pPr>
      <w:r>
        <w:t>5.5 本项目不应照搬的成熟平台能力</w:t>
      </w:r>
    </w:p>
    <w:p>
      <w:pPr>
        <w:spacing w:before="0" w:after="160" w:line="307" w:lineRule="auto"/>
      </w:pPr>
      <w:r>
        <w:rPr>
          <w:rFonts w:ascii="Noto Sans CJK SC" w:hAnsi="Noto Sans CJK SC" w:eastAsia="Noto Sans CJK SC"/>
          <w:b w:val="0"/>
          <w:color w:val="475569"/>
          <w:sz w:val="21"/>
        </w:rPr>
        <w:t>成熟平台功能很多，但“别人有”不等于“V1也要有”。以下能力在当前阶段会显著增加建设和运营负担，不建议因为友商存在就提前加入。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完整制片日历、每日通告单、剧组排班和细粒度任务依赖。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发行平台实时数据抓取和自动对账。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影视项目自动利润分账。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没有真实历史数据前的复杂智能推荐。</w:t>
      </w:r>
    </w:p>
    <w:p>
      <w:pPr>
        <w:pStyle w:val="ListBullet"/>
        <w:spacing w:before="0" w:after="40" w:line="283" w:lineRule="auto"/>
      </w:pPr>
      <w:r>
        <w:rPr>
          <w:rFonts w:ascii="Noto Sans CJK SC" w:hAnsi="Noto Sans CJK SC" w:eastAsia="Noto Sans CJK SC"/>
          <w:b w:val="0"/>
          <w:color w:val="1F2937"/>
          <w:sz w:val="20"/>
        </w:rPr>
        <w:t>为了覆盖所有合作方而一次性建设过重的B端自助功能。</w:t>
      </w:r>
    </w:p>
    <w:p>
      <w:pPr>
        <w:pStyle w:val="Heading2"/>
        <w:keepNext/>
        <w:widowControl/>
      </w:pPr>
      <w:r>
        <w:t>5.6 行业参考来源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来源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链接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巨量星图｜MCN达人绑定与解绑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2">
              <w:r>
                <w:rPr>
                  <w:color w:val="2F75B5"/>
                  <w:u w:val="single"/>
                  <w:sz w:val="16"/>
                </w:rPr>
                <w:t>https://www.xingtu.cn/help-center/mcn/109210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巨量星图｜招募任务规则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3">
              <w:r>
                <w:rPr>
                  <w:color w:val="2F75B5"/>
                  <w:u w:val="single"/>
                  <w:sz w:val="16"/>
                </w:rPr>
                <w:t>https://www.xingtu.cn/help-center/author/136554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巨量星图｜招募任务执行/筛选/确认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4">
              <w:r>
                <w:rPr>
                  <w:color w:val="2F75B5"/>
                  <w:u w:val="single"/>
                  <w:sz w:val="16"/>
                </w:rPr>
                <w:t>https://www.xingtu.cn/help-center/demander/126583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巨量星图｜MCN机构后台与财务/数据管理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5">
              <w:r>
                <w:rPr>
                  <w:color w:val="2F75B5"/>
                  <w:u w:val="single"/>
                  <w:sz w:val="16"/>
                </w:rPr>
                <w:t>https://www.xingtu.cn/help-center/mcn/109107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Frame.io｜Review links / client feedback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6">
              <w:r>
                <w:rPr>
                  <w:color w:val="2F75B5"/>
                  <w:u w:val="single"/>
                  <w:sz w:val="16"/>
                </w:rPr>
                <w:t>https://help.frame.io/en/articles/1161479-review-links-explained-for-clients-legacy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StudioBinder｜Production Calendar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7">
              <w:r>
                <w:rPr>
                  <w:color w:val="2F75B5"/>
                  <w:u w:val="single"/>
                  <w:sz w:val="16"/>
                </w:rPr>
                <w:t>https://www.studiobinder.com/production-calendar/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Apple｜App Review Guidelines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8">
              <w:r>
                <w:rPr>
                  <w:color w:val="2F75B5"/>
                  <w:u w:val="single"/>
                  <w:sz w:val="16"/>
                </w:rPr>
                <w:t>https://developer.apple.com/app-store/review/guidelines/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火山引擎｜可信素材库 / 真人人像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19">
              <w:r>
                <w:rPr>
                  <w:color w:val="2F75B5"/>
                  <w:u w:val="single"/>
                  <w:sz w:val="16"/>
                </w:rPr>
                <w:t>https://www.volcengine.com/docs/82379/2315856?lang=zh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阿里云｜金融级实人认证接入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20">
              <w:r>
                <w:rPr>
                  <w:color w:val="2F75B5"/>
                  <w:u w:val="single"/>
                  <w:sz w:val="16"/>
                </w:rPr>
                <w:t>https://help.aliyun.com/zh/id-verification/financial-grade-id-verification/integration-process-h5</w:t>
              </w:r>
            </w:hyperlink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工业和信息化部｜APP备案相关政策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hyperlink r:id="rId21">
              <w:r>
                <w:rPr>
                  <w:color w:val="2F75B5"/>
                  <w:u w:val="single"/>
                  <w:sz w:val="16"/>
                </w:rPr>
                <w:t>https://www.miit.gov.cn/</w:t>
              </w:r>
            </w:hyperlink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961"/>
            <w:shd w:fill="17365D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34"/>
              </w:rPr>
              <w:t>6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32"/>
              </w:rPr>
              <w:t>附录</w:t>
            </w:r>
          </w:p>
          <w:p>
            <w:pPr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64748B"/>
                <w:sz w:val="19"/>
              </w:rPr>
              <w:t>会议记录、业务名词与会后执行</w:t>
            </w:r>
          </w:p>
        </w:tc>
      </w:tr>
    </w:tbl>
    <w:p>
      <w:pPr>
        <w:pStyle w:val="Heading2"/>
        <w:keepNext/>
        <w:widowControl/>
      </w:pPr>
      <w:r>
        <w:t>6.1 D01–D23 会议决议总表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决策事项</w:t>
            </w:r>
          </w:p>
        </w:tc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推荐基线</w:t>
            </w:r>
          </w:p>
        </w:tc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最终选择</w:t>
            </w:r>
          </w:p>
        </w:tc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补充约定</w:t>
            </w:r>
          </w:p>
        </w:tc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责任人</w:t>
            </w:r>
          </w:p>
        </w:tc>
        <w:tc>
          <w:tcPr>
            <w:tcW w:type="dxa" w:w="1417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  <w:insideH w:val="single" w:sz="4" w:color="17365D"/>
              <w:insideV w:val="single" w:sz="4" w:color="17365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完成时间</w:t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D01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角色认领与项目收入权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A：消费权益与项目收入权分开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D02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数字人项目收入方式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支持固定金额 / 比例 / 混合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D03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可分配收入定义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实际到账减合同明确扣减项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D04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C端项目收入展示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展示规则和已确认数据，不展示预计金额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D05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合同结构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框架协议 + 单项目确认书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D06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剧本库性质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创作方向/内容方案为主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D07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剧本维护方式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V1 A端代上传，后续B端自助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D08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项目进度粒度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关键节点汇报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D09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版本审核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版本—反馈—修改—确认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D10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MCN与数字人关系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系统支持不同权属，管理关系与所有权分开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D11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B端定位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统一合作机构工作台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D12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iOS收费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逐商品/服务判断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D13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项目再次确认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每个项目再次确认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D14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解绑后的历史项目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按签约时关系继续执行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D15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入组方式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报名 + 邀请 + 筛选 + 最终确认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D16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退出/取消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按项目阶段处理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D17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修改与验收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约定轮次；超时先提醒/人工处理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D18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资料权限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最小必要可见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D19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权利边界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逐项目确认授权范围、期限、地区、衍生权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D20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结算异议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确认/异议/锁定，调整进入下一期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D21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平台收费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多种方式并存，账目分开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D22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未成年人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V1不支持独立商业创建/签署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5"/>
              </w:rPr>
              <w:t>D23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退款售后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  <w:t>标准订单与影视项目分开</w:t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  <w:tc>
          <w:tcPr>
            <w:tcW w:type="dxa" w:w="141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5"/>
              </w:rPr>
            </w:r>
          </w:p>
        </w:tc>
      </w:tr>
    </w:tbl>
    <w:p>
      <w:pPr>
        <w:pStyle w:val="Heading2"/>
        <w:keepNext/>
        <w:widowControl/>
      </w:pPr>
      <w:r>
        <w:t>6.2 关键业务名词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名词</w:t>
            </w:r>
          </w:p>
        </w:tc>
        <w:tc>
          <w:tcPr>
            <w:tcW w:type="dxa" w:w="4961"/>
            <w:shd w:fill="EAF2F8"/>
            <w:tcBorders>
              <w:top w:val="single" w:sz="4" w:color="AFC8DF"/>
              <w:left w:val="single" w:sz="4" w:color="AFC8DF"/>
              <w:bottom w:val="single" w:sz="4" w:color="AFC8DF"/>
              <w:right w:val="single" w:sz="4" w:color="AFC8DF"/>
              <w:insideH w:val="single" w:sz="4" w:color="AFC8DF"/>
              <w:insideV w:val="single" w:sz="4" w:color="AFC8DF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定义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数字人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平台中经本人/权利方授权、可用于内容生成和项目参与的数字身份及其相关档案。本文中的“资产”仅表示可被系统管理的业务对象，不代表金融资产。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某一部定制剧、短剧或影视合作的完整业务单元，包含角色、参与者、剧本、合同、内容、发行和结算。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内容方案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供用户选择的题材、故事方向、人物或参考方案，不必然等于一份可直接拍摄的完整剧本。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项目确认书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某次具体项目中，用于确认角色、授权范围、期限、合作方式、结算规则等内容的单项目文件。</w:t>
            </w:r>
          </w:p>
        </w:tc>
      </w:tr>
      <w:tr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17"/>
              </w:rPr>
              <w:t>结算单</w:t>
            </w:r>
          </w:p>
        </w:tc>
        <w:tc>
          <w:tcPr>
            <w:tcW w:type="dxa" w:w="49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以某一结算期间实际发生的项目收入为基础，列明参与方应结算金额、调整和付款状态的正式业务记录。</w:t>
            </w:r>
          </w:p>
        </w:tc>
      </w:tr>
    </w:tbl>
    <w:p>
      <w:pPr>
        <w:pStyle w:val="Heading2"/>
        <w:keepNext/>
        <w:widowControl/>
      </w:pPr>
      <w:r>
        <w:t>6.3 会后执行原则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F8"/>
            <w:tcBorders>
              <w:top w:val="single" w:sz="6" w:color="9EC5E5"/>
              <w:left w:val="single" w:sz="6" w:color="9EC5E5"/>
              <w:bottom w:val="single" w:sz="6" w:color="9EC5E5"/>
              <w:right w:val="single" w:sz="6" w:color="9EC5E5"/>
              <w:insideH w:val="single" w:sz="6" w:color="9EC5E5"/>
              <w:insideV w:val="single" w:sz="6" w:color="9EC5E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 w:line="293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会议结束后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D01–D23 的最终选择、X01–X04 的真实外部状态、Q01–Q07 的负责人和时间应在同一天更新到会议决议表。后续文档、PPT、架构图和开发任务都引用这些编号，不再依靠口头记忆。</w:t>
            </w:r>
          </w:p>
        </w:tc>
      </w:tr>
    </w:tbl>
    <w:sectPr w:rsidR="00FC693F" w:rsidRPr="0006063C" w:rsidSect="00034616">
      <w:pgSz w:w="11906" w:h="16838"/>
      <w:pgMar w:top="879" w:right="992" w:bottom="822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4748B"/>
        <w:sz w:val="16"/>
      </w:rPr>
      <w:t>晶晶日上｜V1 产品与业务建设方案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93" w:lineRule="auto"/>
    </w:pPr>
    <w:rPr>
      <w:rFonts w:ascii="Noto Sans CJK SC" w:hAnsi="Noto Sans CJK SC" w:eastAsia="Noto Sans CJK S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B9E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xingtu.cn/help-center/mcn/109210" TargetMode="External"/><Relationship Id="rId13" Type="http://schemas.openxmlformats.org/officeDocument/2006/relationships/hyperlink" Target="https://www.xingtu.cn/help-center/author/136554" TargetMode="External"/><Relationship Id="rId14" Type="http://schemas.openxmlformats.org/officeDocument/2006/relationships/hyperlink" Target="https://www.xingtu.cn/help-center/demander/126583" TargetMode="External"/><Relationship Id="rId15" Type="http://schemas.openxmlformats.org/officeDocument/2006/relationships/hyperlink" Target="https://www.xingtu.cn/help-center/mcn/109107" TargetMode="External"/><Relationship Id="rId16" Type="http://schemas.openxmlformats.org/officeDocument/2006/relationships/hyperlink" Target="https://help.frame.io/en/articles/1161479-review-links-explained-for-clients-legacy" TargetMode="External"/><Relationship Id="rId17" Type="http://schemas.openxmlformats.org/officeDocument/2006/relationships/hyperlink" Target="https://www.studiobinder.com/production-calendar/" TargetMode="External"/><Relationship Id="rId18" Type="http://schemas.openxmlformats.org/officeDocument/2006/relationships/hyperlink" Target="https://developer.apple.com/app-store/review/guidelines/" TargetMode="External"/><Relationship Id="rId19" Type="http://schemas.openxmlformats.org/officeDocument/2006/relationships/hyperlink" Target="https://www.volcengine.com/docs/82379/2315856?lang=zh" TargetMode="External"/><Relationship Id="rId20" Type="http://schemas.openxmlformats.org/officeDocument/2006/relationships/hyperlink" Target="https://help.aliyun.com/zh/id-verification/financial-grade-id-verification/integration-process-h5" TargetMode="External"/><Relationship Id="rId21" Type="http://schemas.openxmlformats.org/officeDocument/2006/relationships/hyperlink" Target="https://www.miit.gov.cn/" TargetMode="External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