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E91931" w14:textId="77777777" w:rsidR="0054421B" w:rsidRDefault="0054421B">
      <w:r>
        <w:br/>
      </w:r>
    </w:p>
    <w:p w14:paraId="74785AF1" w14:textId="77777777" w:rsidR="00903A6D" w:rsidRDefault="00903A6D"/>
    <w:p w14:paraId="4845D034" w14:textId="77777777" w:rsidR="00903A6D" w:rsidRDefault="00903A6D"/>
    <w:p w14:paraId="39513016" w14:textId="77777777" w:rsidR="00903A6D" w:rsidRDefault="00903A6D"/>
    <w:p w14:paraId="7AAE839F" w14:textId="77777777" w:rsidR="0035576C" w:rsidRDefault="0035576C"/>
    <w:p w14:paraId="13FC5D7B" w14:textId="77777777" w:rsidR="0035576C" w:rsidRDefault="0035576C"/>
    <w:p w14:paraId="539AEEC1" w14:textId="77777777" w:rsidR="0035576C" w:rsidRDefault="0035576C"/>
    <w:p w14:paraId="79C64F5B" w14:textId="77777777" w:rsidR="0035576C" w:rsidRDefault="0035576C"/>
    <w:p w14:paraId="47DF4FD1" w14:textId="31A10309" w:rsidR="00903A6D" w:rsidRPr="00006E76" w:rsidRDefault="00BB3FFE" w:rsidP="0035576C">
      <w:pPr>
        <w:jc w:val="center"/>
        <w:rPr>
          <w:b/>
          <w:bCs/>
          <w:sz w:val="44"/>
          <w:szCs w:val="44"/>
        </w:rPr>
      </w:pPr>
      <w:r>
        <w:rPr>
          <w:b/>
          <w:bCs/>
          <w:sz w:val="44"/>
          <w:szCs w:val="44"/>
        </w:rPr>
        <w:t>Calorimetry Device</w:t>
      </w:r>
    </w:p>
    <w:p w14:paraId="5D05E535" w14:textId="687D080E" w:rsidR="0035576C" w:rsidRPr="00006E76" w:rsidRDefault="00BB3FFE" w:rsidP="0035576C">
      <w:pPr>
        <w:jc w:val="center"/>
        <w:rPr>
          <w:b/>
          <w:bCs/>
          <w:sz w:val="52"/>
          <w:szCs w:val="52"/>
        </w:rPr>
      </w:pPr>
      <w:r>
        <w:rPr>
          <w:b/>
          <w:bCs/>
          <w:sz w:val="52"/>
          <w:szCs w:val="52"/>
        </w:rPr>
        <w:t>Initial Study</w:t>
      </w:r>
    </w:p>
    <w:p w14:paraId="46370BC1" w14:textId="77777777" w:rsidR="0035576C" w:rsidRDefault="0035576C" w:rsidP="0035576C">
      <w:pPr>
        <w:jc w:val="center"/>
        <w:rPr>
          <w:sz w:val="52"/>
          <w:szCs w:val="52"/>
        </w:rPr>
      </w:pPr>
    </w:p>
    <w:p w14:paraId="48CABB5C" w14:textId="77777777" w:rsidR="0035576C" w:rsidRDefault="0035576C" w:rsidP="0035576C">
      <w:pPr>
        <w:jc w:val="center"/>
        <w:rPr>
          <w:sz w:val="52"/>
          <w:szCs w:val="52"/>
        </w:rPr>
      </w:pPr>
    </w:p>
    <w:p w14:paraId="2482A6DE" w14:textId="77777777" w:rsidR="0035576C" w:rsidRDefault="0035576C" w:rsidP="0035576C">
      <w:pPr>
        <w:jc w:val="center"/>
        <w:rPr>
          <w:sz w:val="52"/>
          <w:szCs w:val="52"/>
        </w:rPr>
      </w:pPr>
    </w:p>
    <w:p w14:paraId="43486272" w14:textId="77777777" w:rsidR="0035576C" w:rsidRDefault="0035576C" w:rsidP="0035576C">
      <w:pPr>
        <w:jc w:val="center"/>
        <w:rPr>
          <w:sz w:val="52"/>
          <w:szCs w:val="52"/>
        </w:rPr>
      </w:pPr>
    </w:p>
    <w:p w14:paraId="4AF59A69" w14:textId="77777777" w:rsidR="0035576C" w:rsidRDefault="0035576C" w:rsidP="0035576C">
      <w:pPr>
        <w:jc w:val="center"/>
      </w:pPr>
    </w:p>
    <w:p w14:paraId="4B3196AB" w14:textId="77777777" w:rsidR="0035576C" w:rsidRDefault="0035576C" w:rsidP="0035576C">
      <w:pPr>
        <w:jc w:val="center"/>
      </w:pPr>
    </w:p>
    <w:p w14:paraId="486E06DF" w14:textId="77777777" w:rsidR="0035576C" w:rsidRDefault="0035576C" w:rsidP="0035576C">
      <w:pPr>
        <w:jc w:val="center"/>
      </w:pPr>
    </w:p>
    <w:p w14:paraId="400A704E" w14:textId="77777777" w:rsidR="0035576C" w:rsidRDefault="0035576C" w:rsidP="0035576C">
      <w:pPr>
        <w:jc w:val="center"/>
      </w:pPr>
    </w:p>
    <w:p w14:paraId="6B832B43" w14:textId="77777777" w:rsidR="0035576C" w:rsidRDefault="0035576C" w:rsidP="0035576C">
      <w:pPr>
        <w:jc w:val="center"/>
      </w:pPr>
    </w:p>
    <w:p w14:paraId="221F9BC2" w14:textId="77777777" w:rsidR="0035576C" w:rsidRDefault="0035576C" w:rsidP="0035576C">
      <w:pPr>
        <w:jc w:val="center"/>
      </w:pPr>
    </w:p>
    <w:tbl>
      <w:tblPr>
        <w:tblStyle w:val="TableGrid"/>
        <w:tblW w:w="0" w:type="auto"/>
        <w:tblLook w:val="04A0" w:firstRow="1" w:lastRow="0" w:firstColumn="1" w:lastColumn="0" w:noHBand="0" w:noVBand="1"/>
      </w:tblPr>
      <w:tblGrid>
        <w:gridCol w:w="3005"/>
        <w:gridCol w:w="3005"/>
        <w:gridCol w:w="3006"/>
      </w:tblGrid>
      <w:tr w:rsidR="0035576C" w14:paraId="77F62A8F" w14:textId="77777777" w:rsidTr="0035576C">
        <w:tc>
          <w:tcPr>
            <w:tcW w:w="3005" w:type="dxa"/>
          </w:tcPr>
          <w:p w14:paraId="31A7230A" w14:textId="77777777" w:rsidR="0035576C" w:rsidRDefault="0035576C" w:rsidP="0035576C">
            <w:pPr>
              <w:jc w:val="center"/>
            </w:pPr>
            <w:r>
              <w:t>Author</w:t>
            </w:r>
          </w:p>
        </w:tc>
        <w:tc>
          <w:tcPr>
            <w:tcW w:w="3005" w:type="dxa"/>
          </w:tcPr>
          <w:p w14:paraId="73F80DFF" w14:textId="77777777" w:rsidR="0035576C" w:rsidRDefault="0035576C" w:rsidP="0035576C">
            <w:pPr>
              <w:jc w:val="center"/>
            </w:pPr>
            <w:r>
              <w:t>Checked</w:t>
            </w:r>
          </w:p>
        </w:tc>
        <w:tc>
          <w:tcPr>
            <w:tcW w:w="3006" w:type="dxa"/>
          </w:tcPr>
          <w:p w14:paraId="0E3DE7E6" w14:textId="77777777" w:rsidR="0035576C" w:rsidRDefault="0035576C" w:rsidP="0035576C">
            <w:pPr>
              <w:jc w:val="center"/>
            </w:pPr>
            <w:r>
              <w:t>Approved</w:t>
            </w:r>
          </w:p>
        </w:tc>
      </w:tr>
      <w:tr w:rsidR="0035576C" w14:paraId="30400656" w14:textId="77777777" w:rsidTr="0035576C">
        <w:tc>
          <w:tcPr>
            <w:tcW w:w="3005" w:type="dxa"/>
          </w:tcPr>
          <w:p w14:paraId="39CB9F25" w14:textId="30CB6117" w:rsidR="0035576C" w:rsidRDefault="00BB3FFE" w:rsidP="0035576C">
            <w:pPr>
              <w:jc w:val="center"/>
            </w:pPr>
            <w:r>
              <w:t>Vasileios Gkionis</w:t>
            </w:r>
          </w:p>
        </w:tc>
        <w:tc>
          <w:tcPr>
            <w:tcW w:w="3005" w:type="dxa"/>
          </w:tcPr>
          <w:p w14:paraId="53A51732" w14:textId="77777777" w:rsidR="0035576C" w:rsidRDefault="0035576C" w:rsidP="0035576C">
            <w:pPr>
              <w:jc w:val="center"/>
            </w:pPr>
            <w:r>
              <w:t>Name Surname</w:t>
            </w:r>
          </w:p>
        </w:tc>
        <w:tc>
          <w:tcPr>
            <w:tcW w:w="3006" w:type="dxa"/>
          </w:tcPr>
          <w:p w14:paraId="7F77C150" w14:textId="77777777" w:rsidR="0035576C" w:rsidRDefault="0035576C" w:rsidP="0035576C">
            <w:pPr>
              <w:jc w:val="center"/>
            </w:pPr>
            <w:r>
              <w:t>Name Surname</w:t>
            </w:r>
          </w:p>
        </w:tc>
      </w:tr>
      <w:tr w:rsidR="0035576C" w14:paraId="39E7A444" w14:textId="77777777" w:rsidTr="0035576C">
        <w:tc>
          <w:tcPr>
            <w:tcW w:w="3005" w:type="dxa"/>
          </w:tcPr>
          <w:p w14:paraId="233FD6DA" w14:textId="53988E87" w:rsidR="0035576C" w:rsidRDefault="00BB3FFE" w:rsidP="0035576C">
            <w:pPr>
              <w:jc w:val="center"/>
            </w:pPr>
            <w:r>
              <w:t>August 3 2026</w:t>
            </w:r>
          </w:p>
        </w:tc>
        <w:tc>
          <w:tcPr>
            <w:tcW w:w="3005" w:type="dxa"/>
          </w:tcPr>
          <w:p w14:paraId="63223938" w14:textId="77777777" w:rsidR="0035576C" w:rsidRDefault="0035576C" w:rsidP="0035576C">
            <w:pPr>
              <w:jc w:val="center"/>
            </w:pPr>
            <w:r>
              <w:t>Date</w:t>
            </w:r>
          </w:p>
        </w:tc>
        <w:tc>
          <w:tcPr>
            <w:tcW w:w="3006" w:type="dxa"/>
          </w:tcPr>
          <w:p w14:paraId="32F9F2E2" w14:textId="77777777" w:rsidR="0035576C" w:rsidRDefault="0035576C" w:rsidP="0035576C">
            <w:pPr>
              <w:jc w:val="center"/>
            </w:pPr>
            <w:r>
              <w:t>Date</w:t>
            </w:r>
          </w:p>
        </w:tc>
      </w:tr>
    </w:tbl>
    <w:p w14:paraId="06958838" w14:textId="77777777" w:rsidR="0054421B" w:rsidRDefault="0054421B" w:rsidP="0035576C">
      <w:pPr>
        <w:jc w:val="center"/>
      </w:pPr>
      <w:r>
        <w:br w:type="page"/>
      </w:r>
    </w:p>
    <w:p w14:paraId="319772B5" w14:textId="77777777" w:rsidR="00000E44" w:rsidRDefault="00000E44"/>
    <w:p w14:paraId="1A186398" w14:textId="77777777" w:rsidR="0035576C" w:rsidRPr="00006E76" w:rsidRDefault="0035576C">
      <w:pPr>
        <w:rPr>
          <w:sz w:val="32"/>
          <w:szCs w:val="32"/>
        </w:rPr>
      </w:pPr>
      <w:r w:rsidRPr="00006E76">
        <w:rPr>
          <w:sz w:val="32"/>
          <w:szCs w:val="32"/>
        </w:rPr>
        <w:t>Revision History</w:t>
      </w:r>
    </w:p>
    <w:tbl>
      <w:tblPr>
        <w:tblStyle w:val="TableGrid"/>
        <w:tblW w:w="9067" w:type="dxa"/>
        <w:tblLook w:val="04A0" w:firstRow="1" w:lastRow="0" w:firstColumn="1" w:lastColumn="0" w:noHBand="0" w:noVBand="1"/>
      </w:tblPr>
      <w:tblGrid>
        <w:gridCol w:w="988"/>
        <w:gridCol w:w="1417"/>
        <w:gridCol w:w="1701"/>
        <w:gridCol w:w="4961"/>
      </w:tblGrid>
      <w:tr w:rsidR="00CA7220" w14:paraId="3863C8B9" w14:textId="77777777" w:rsidTr="00CA7220">
        <w:tc>
          <w:tcPr>
            <w:tcW w:w="988" w:type="dxa"/>
          </w:tcPr>
          <w:p w14:paraId="34B18FE4" w14:textId="77777777" w:rsidR="00CA7220" w:rsidRDefault="00CA7220">
            <w:proofErr w:type="spellStart"/>
            <w:r>
              <w:t>Iss</w:t>
            </w:r>
            <w:proofErr w:type="spellEnd"/>
            <w:r>
              <w:t>. Rev.</w:t>
            </w:r>
          </w:p>
        </w:tc>
        <w:tc>
          <w:tcPr>
            <w:tcW w:w="1417" w:type="dxa"/>
          </w:tcPr>
          <w:p w14:paraId="1AE9F738" w14:textId="77777777" w:rsidR="00CA7220" w:rsidRDefault="00CA7220">
            <w:r>
              <w:t>Date</w:t>
            </w:r>
          </w:p>
        </w:tc>
        <w:tc>
          <w:tcPr>
            <w:tcW w:w="1701" w:type="dxa"/>
          </w:tcPr>
          <w:p w14:paraId="1CBDED92" w14:textId="77777777" w:rsidR="00CA7220" w:rsidRDefault="00CA7220">
            <w:r>
              <w:t>Author</w:t>
            </w:r>
          </w:p>
        </w:tc>
        <w:tc>
          <w:tcPr>
            <w:tcW w:w="4961" w:type="dxa"/>
          </w:tcPr>
          <w:p w14:paraId="3D4FC5CB" w14:textId="77777777" w:rsidR="00CA7220" w:rsidRDefault="00CA7220">
            <w:r>
              <w:t>Comments/Change log</w:t>
            </w:r>
          </w:p>
        </w:tc>
      </w:tr>
      <w:tr w:rsidR="00CA7220" w14:paraId="016D6C56" w14:textId="77777777" w:rsidTr="00CA7220">
        <w:tc>
          <w:tcPr>
            <w:tcW w:w="988" w:type="dxa"/>
          </w:tcPr>
          <w:p w14:paraId="67184216" w14:textId="77777777" w:rsidR="00CA7220" w:rsidRDefault="00CA7220">
            <w:r>
              <w:t>1.0</w:t>
            </w:r>
          </w:p>
        </w:tc>
        <w:tc>
          <w:tcPr>
            <w:tcW w:w="1417" w:type="dxa"/>
          </w:tcPr>
          <w:p w14:paraId="28AC40E0" w14:textId="59F97C60" w:rsidR="00CA7220" w:rsidRDefault="00BB3FFE">
            <w:r>
              <w:t xml:space="preserve">03–08–2026 </w:t>
            </w:r>
          </w:p>
        </w:tc>
        <w:tc>
          <w:tcPr>
            <w:tcW w:w="1701" w:type="dxa"/>
          </w:tcPr>
          <w:p w14:paraId="7341A704" w14:textId="4D1813DF" w:rsidR="00CA7220" w:rsidRDefault="00BB3FFE">
            <w:r>
              <w:t>G. Vasileios</w:t>
            </w:r>
          </w:p>
        </w:tc>
        <w:tc>
          <w:tcPr>
            <w:tcW w:w="4961" w:type="dxa"/>
          </w:tcPr>
          <w:p w14:paraId="38B135E5" w14:textId="77777777" w:rsidR="00CA7220" w:rsidRDefault="00CA7220">
            <w:r>
              <w:t>Initial release</w:t>
            </w:r>
          </w:p>
        </w:tc>
      </w:tr>
      <w:tr w:rsidR="00CA7220" w14:paraId="0A1D2D50" w14:textId="77777777" w:rsidTr="00CA7220">
        <w:tc>
          <w:tcPr>
            <w:tcW w:w="988" w:type="dxa"/>
          </w:tcPr>
          <w:p>
            <w:r/>
            <w:r>
              <w:rPr>
                <w:sz w:val="18"/>
              </w:rPr>
              <w:t>1.1</w:t>
            </w:r>
          </w:p>
        </w:tc>
        <w:tc>
          <w:tcPr>
            <w:tcW w:w="1417" w:type="dxa"/>
          </w:tcPr>
          <w:p>
            <w:r/>
            <w:r>
              <w:rPr>
                <w:sz w:val="18"/>
              </w:rPr>
              <w:t>30–08–2026</w:t>
            </w:r>
          </w:p>
        </w:tc>
        <w:tc>
          <w:tcPr>
            <w:tcW w:w="1701" w:type="dxa"/>
          </w:tcPr>
          <w:p>
            <w:r/>
            <w:r>
              <w:rPr>
                <w:sz w:val="18"/>
              </w:rPr>
              <w:t>G. Vasileios</w:t>
            </w:r>
          </w:p>
        </w:tc>
        <w:tc>
          <w:tcPr>
            <w:tcW w:w="4961" w:type="dxa"/>
          </w:tcPr>
          <w:p>
            <w:r/>
            <w:r>
              <w:rPr>
                <w:sz w:val="18"/>
              </w:rPr>
              <w:t>Sections 2–7 completed: reference documents, calorimetry theory, topology trade study and selection, design decisions, thermal model, state-space model and guard control design, Python simulation and results. Sections 8–9 (hardware, firmware) still to be written.</w:t>
            </w:r>
          </w:p>
        </w:tc>
      </w:tr>
      <w:tr w:rsidR="00CA7220" w14:paraId="25FBEF61" w14:textId="77777777" w:rsidTr="00CA7220">
        <w:tc>
          <w:tcPr>
            <w:tcW w:w="988" w:type="dxa"/>
          </w:tcPr>
          <w:p w14:paraId="1C6004AC" w14:textId="77777777" w:rsidR="00CA7220" w:rsidRDefault="00CA7220">
            <w:r>
              <w:rPr>
                <w:sz w:val="18"/>
                <w:szCs w:val="18"/>
              </w:rPr>
              <w:t xml:space="preserve">1.2</w:t>
            </w:r>
          </w:p>
        </w:tc>
        <w:tc>
          <w:tcPr>
            <w:tcW w:w="1417" w:type="dxa"/>
          </w:tcPr>
          <w:p w14:paraId="2A9FED36" w14:textId="77777777" w:rsidR="00CA7220" w:rsidRDefault="00CA7220">
            <w:r>
              <w:rPr>
                <w:sz w:val="18"/>
                <w:szCs w:val="18"/>
              </w:rPr>
              <w:t xml:space="preserve">31–08–2026</w:t>
            </w:r>
          </w:p>
        </w:tc>
        <w:tc>
          <w:tcPr>
            <w:tcW w:w="1701" w:type="dxa"/>
          </w:tcPr>
          <w:p w14:paraId="545C0955" w14:textId="77777777" w:rsidR="00CA7220" w:rsidRDefault="00CA7220">
            <w:r>
              <w:rPr>
                <w:sz w:val="18"/>
                <w:szCs w:val="18"/>
              </w:rPr>
              <w:t xml:space="preserve">G. Vasileios</w:t>
            </w:r>
          </w:p>
        </w:tc>
        <w:tc>
          <w:tcPr>
            <w:tcW w:w="4961" w:type="dxa"/>
          </w:tcPr>
          <w:p w14:paraId="69DEDE1D" w14:textId="77777777" w:rsidR="00CA7220" w:rsidRDefault="00CA7220">
            <w:r>
              <w:rPr>
                <w:sz w:val="18"/>
                <w:szCs w:val="18"/>
              </w:rPr>
              <w:t xml:space="preserve">Sections 8 and 9 completed. Section 8 (hardware): the carrier-board design record — rail budget, protection scheme by domain, component selection with packages and sourcing, and the full ESP32-S3 pin assignment against the module's strapping, PSRAM and USB constraints; the board was designed, not built. Section 9 (firmware): application structure, devicetree hardware description, threading and the control tick, the measurement path, the discretised control laws, the two gates, the disturbance observer, supervisor and calibration, safety, operator interfaces, build verification, bring-up ladder and open items.</w:t>
            </w:r>
          </w:p>
        </w:tc>
      </w:tr>
      <w:tr w:rsidR="00CA7220" w14:paraId="3E4C0228" w14:textId="77777777" w:rsidTr="00CA7220">
        <w:tc>
          <w:tcPr>
            <w:tcW w:w="988" w:type="dxa"/>
          </w:tcPr>
          <w:p w14:paraId="4D1B24D8" w14:textId="77777777" w:rsidR="00CA7220" w:rsidRDefault="00CA7220"/>
        </w:tc>
        <w:tc>
          <w:tcPr>
            <w:tcW w:w="1417" w:type="dxa"/>
          </w:tcPr>
          <w:p w14:paraId="25614CAF" w14:textId="77777777" w:rsidR="00CA7220" w:rsidRDefault="00CA7220"/>
        </w:tc>
        <w:tc>
          <w:tcPr>
            <w:tcW w:w="1701" w:type="dxa"/>
          </w:tcPr>
          <w:p w14:paraId="20C7A3BA" w14:textId="77777777" w:rsidR="00CA7220" w:rsidRDefault="00CA7220"/>
        </w:tc>
        <w:tc>
          <w:tcPr>
            <w:tcW w:w="4961" w:type="dxa"/>
          </w:tcPr>
          <w:p w14:paraId="25E0DB5B" w14:textId="77777777" w:rsidR="00CA7220" w:rsidRDefault="00CA7220"/>
        </w:tc>
      </w:tr>
      <w:tr w:rsidR="00CA7220" w14:paraId="1AE5E71A" w14:textId="77777777" w:rsidTr="00CA7220">
        <w:tc>
          <w:tcPr>
            <w:tcW w:w="988" w:type="dxa"/>
          </w:tcPr>
          <w:p w14:paraId="04FB990B" w14:textId="77777777" w:rsidR="00CA7220" w:rsidRDefault="00CA7220"/>
        </w:tc>
        <w:tc>
          <w:tcPr>
            <w:tcW w:w="1417" w:type="dxa"/>
          </w:tcPr>
          <w:p w14:paraId="432AECAC" w14:textId="77777777" w:rsidR="00CA7220" w:rsidRDefault="00CA7220"/>
        </w:tc>
        <w:tc>
          <w:tcPr>
            <w:tcW w:w="1701" w:type="dxa"/>
          </w:tcPr>
          <w:p w14:paraId="60C66CBB" w14:textId="77777777" w:rsidR="00CA7220" w:rsidRDefault="00CA7220"/>
        </w:tc>
        <w:tc>
          <w:tcPr>
            <w:tcW w:w="4961" w:type="dxa"/>
          </w:tcPr>
          <w:p w14:paraId="37463181" w14:textId="77777777" w:rsidR="00CA7220" w:rsidRDefault="00CA7220"/>
        </w:tc>
      </w:tr>
      <w:tr w:rsidR="00CA7220" w14:paraId="2D55877D" w14:textId="77777777" w:rsidTr="00CA7220">
        <w:tc>
          <w:tcPr>
            <w:tcW w:w="988" w:type="dxa"/>
          </w:tcPr>
          <w:p w14:paraId="00DF7DA2" w14:textId="77777777" w:rsidR="00CA7220" w:rsidRDefault="00CA7220"/>
        </w:tc>
        <w:tc>
          <w:tcPr>
            <w:tcW w:w="1417" w:type="dxa"/>
          </w:tcPr>
          <w:p w14:paraId="18E35146" w14:textId="77777777" w:rsidR="00CA7220" w:rsidRDefault="00CA7220"/>
        </w:tc>
        <w:tc>
          <w:tcPr>
            <w:tcW w:w="1701" w:type="dxa"/>
          </w:tcPr>
          <w:p w14:paraId="63B19E5B" w14:textId="77777777" w:rsidR="00CA7220" w:rsidRDefault="00CA7220"/>
        </w:tc>
        <w:tc>
          <w:tcPr>
            <w:tcW w:w="4961" w:type="dxa"/>
          </w:tcPr>
          <w:p w14:paraId="3014E9AE" w14:textId="77777777" w:rsidR="00CA7220" w:rsidRDefault="00CA7220"/>
        </w:tc>
      </w:tr>
    </w:tbl>
    <w:p w14:paraId="453B80A1" w14:textId="77777777" w:rsidR="0035576C" w:rsidRDefault="0035576C"/>
    <w:p w14:paraId="16C27F80" w14:textId="77777777" w:rsidR="004C073D" w:rsidRDefault="004C073D">
      <w:r>
        <w:br w:type="page"/>
      </w:r>
    </w:p>
    <w:sdt>
      <w:sdtPr>
        <w:id w:val="341061412"/>
        <w:docPartObj>
          <w:docPartGallery w:val="Table of Contents"/>
          <w:docPartUnique/>
        </w:docPartObj>
      </w:sdtPr>
      <w:sdtEndPr>
        <w:rPr>
          <w:b/>
          <w:bCs/>
          <w:noProof/>
        </w:rPr>
      </w:sdtEndPr>
      <w:sdtContent>
        <w:p w14:paraId="3EA21144" w14:textId="77777777" w:rsidR="0014774D" w:rsidRPr="00734B73" w:rsidRDefault="0014774D" w:rsidP="00734B73">
          <w:pPr>
            <w:rPr>
              <w:rFonts w:asciiTheme="majorHAnsi" w:hAnsiTheme="majorHAnsi" w:cstheme="majorHAnsi"/>
              <w:sz w:val="32"/>
              <w:szCs w:val="32"/>
            </w:rPr>
          </w:pPr>
          <w:r w:rsidRPr="00734B73">
            <w:rPr>
              <w:rFonts w:asciiTheme="majorHAnsi" w:hAnsiTheme="majorHAnsi" w:cstheme="majorHAnsi"/>
              <w:sz w:val="32"/>
              <w:szCs w:val="32"/>
            </w:rPr>
            <w:t>Table of Contents</w:t>
          </w:r>
        </w:p>
        <w:p w14:paraId="6A7D2748" w14:textId="77777777" w:rsidR="001E056F" w:rsidRDefault="0014774D">
          <w:pPr>
            <w:pStyle w:val="TOC1"/>
            <w:tabs>
              <w:tab w:val="left" w:pos="440"/>
              <w:tab w:val="right" w:leader="dot" w:pos="9016"/>
            </w:tabs>
            <w:rPr>
              <w:rFonts w:eastAsiaTheme="minorEastAsia"/>
              <w:noProof/>
              <w:lang w:eastAsia="en-GB"/>
            </w:rPr>
          </w:pPr>
          <w:r>
            <w:fldChar w:fldCharType="begin"/>
          </w:r>
          <w:r>
            <w:instrText xml:space="preserve"> TOC \o "1-3" \h \z \u </w:instrText>
          </w:r>
          <w:r>
            <w:fldChar w:fldCharType="separate"/>
          </w:r>
          <w:hyperlink w:anchor="_Toc98518437" w:history="1">
            <w:r w:rsidR="001E056F" w:rsidRPr="00AC71F1">
              <w:rPr>
                <w:rStyle w:val="Hyperlink"/>
                <w:noProof/>
              </w:rPr>
              <w:t>1</w:t>
            </w:r>
            <w:r w:rsidR="001E056F">
              <w:rPr>
                <w:rFonts w:eastAsiaTheme="minorEastAsia"/>
                <w:noProof/>
                <w:lang w:eastAsia="en-GB"/>
              </w:rPr>
              <w:tab/>
            </w:r>
            <w:r w:rsidR="001E056F" w:rsidRPr="00AC71F1">
              <w:rPr>
                <w:rStyle w:val="Hyperlink"/>
                <w:noProof/>
              </w:rPr>
              <w:t>Introduction</w:t>
            </w:r>
            <w:r w:rsidR="001E056F">
              <w:rPr>
                <w:noProof/>
                <w:webHidden/>
              </w:rPr>
              <w:tab/>
            </w:r>
            <w:r w:rsidR="001E056F">
              <w:rPr>
                <w:noProof/>
                <w:webHidden/>
              </w:rPr>
              <w:fldChar w:fldCharType="begin"/>
            </w:r>
            <w:r w:rsidR="001E056F">
              <w:rPr>
                <w:noProof/>
                <w:webHidden/>
              </w:rPr>
              <w:instrText xml:space="preserve"> PAGEREF _Toc98518437 \h </w:instrText>
            </w:r>
            <w:r w:rsidR="001E056F">
              <w:rPr>
                <w:noProof/>
                <w:webHidden/>
              </w:rPr>
            </w:r>
            <w:r w:rsidR="001E056F">
              <w:rPr>
                <w:noProof/>
                <w:webHidden/>
              </w:rPr>
              <w:fldChar w:fldCharType="separate"/>
            </w:r>
            <w:r w:rsidR="001E056F">
              <w:rPr>
                <w:noProof/>
                <w:webHidden/>
              </w:rPr>
              <w:t>4</w:t>
            </w:r>
            <w:r w:rsidR="001E056F">
              <w:rPr>
                <w:noProof/>
                <w:webHidden/>
              </w:rPr>
              <w:fldChar w:fldCharType="end"/>
            </w:r>
          </w:hyperlink>
        </w:p>
        <w:p w14:paraId="5E58DD3B" w14:textId="77777777" w:rsidR="001E056F" w:rsidRDefault="001E056F">
          <w:pPr>
            <w:pStyle w:val="TOC1"/>
            <w:tabs>
              <w:tab w:val="left" w:pos="440"/>
              <w:tab w:val="right" w:leader="dot" w:pos="9016"/>
            </w:tabs>
            <w:rPr>
              <w:rFonts w:eastAsiaTheme="minorEastAsia"/>
              <w:noProof/>
              <w:lang w:eastAsia="en-GB"/>
            </w:rPr>
          </w:pPr>
          <w:hyperlink w:anchor="_Toc98518438" w:history="1">
            <w:r w:rsidRPr="00AC71F1">
              <w:rPr>
                <w:rStyle w:val="Hyperlink"/>
                <w:noProof/>
              </w:rPr>
              <w:t>2</w:t>
            </w:r>
            <w:r>
              <w:rPr>
                <w:rFonts w:eastAsiaTheme="minorEastAsia"/>
                <w:noProof/>
                <w:lang w:eastAsia="en-GB"/>
              </w:rPr>
              <w:tab/>
            </w:r>
            <w:r w:rsidRPr="00AC71F1">
              <w:rPr>
                <w:rStyle w:val="Hyperlink"/>
                <w:noProof/>
              </w:rPr>
              <w:t>Applicable And Reference Documents</w:t>
            </w:r>
            <w:r>
              <w:rPr>
                <w:noProof/>
                <w:webHidden/>
              </w:rPr>
              <w:tab/>
            </w:r>
            <w:r>
              <w:rPr>
                <w:noProof/>
                <w:webHidden/>
              </w:rPr>
              <w:fldChar w:fldCharType="begin"/>
            </w:r>
            <w:r>
              <w:rPr>
                <w:noProof/>
                <w:webHidden/>
              </w:rPr>
              <w:instrText xml:space="preserve"> PAGEREF _Toc98518438 \h </w:instrText>
            </w:r>
            <w:r>
              <w:rPr>
                <w:noProof/>
                <w:webHidden/>
              </w:rPr>
            </w:r>
            <w:r>
              <w:rPr>
                <w:noProof/>
                <w:webHidden/>
              </w:rPr>
              <w:fldChar w:fldCharType="separate"/>
            </w:r>
            <w:r>
              <w:rPr>
                <w:noProof/>
                <w:webHidden/>
              </w:rPr>
              <w:t>4</w:t>
            </w:r>
            <w:r>
              <w:rPr>
                <w:noProof/>
                <w:webHidden/>
              </w:rPr>
              <w:fldChar w:fldCharType="end"/>
            </w:r>
          </w:hyperlink>
        </w:p>
        <w:p w14:paraId="122C05BD" w14:textId="77777777" w:rsidR="001E056F" w:rsidRDefault="001E056F">
          <w:pPr>
            <w:pStyle w:val="TOC2"/>
            <w:tabs>
              <w:tab w:val="left" w:pos="880"/>
              <w:tab w:val="right" w:leader="dot" w:pos="9016"/>
            </w:tabs>
            <w:rPr>
              <w:rFonts w:eastAsiaTheme="minorEastAsia"/>
              <w:noProof/>
              <w:lang w:eastAsia="en-GB"/>
            </w:rPr>
          </w:pPr>
          <w:hyperlink w:anchor="_Toc98518439" w:history="1">
            <w:r w:rsidRPr="00AC71F1">
              <w:rPr>
                <w:rStyle w:val="Hyperlink"/>
                <w:noProof/>
              </w:rPr>
              <w:t>2.1</w:t>
            </w:r>
            <w:r>
              <w:rPr>
                <w:rFonts w:eastAsiaTheme="minorEastAsia"/>
                <w:noProof/>
                <w:lang w:eastAsia="en-GB"/>
              </w:rPr>
              <w:tab/>
            </w:r>
            <w:r w:rsidRPr="00AC71F1">
              <w:rPr>
                <w:rStyle w:val="Hyperlink"/>
                <w:noProof/>
              </w:rPr>
              <w:t>Applicable documents</w:t>
            </w:r>
            <w:r>
              <w:rPr>
                <w:noProof/>
                <w:webHidden/>
              </w:rPr>
              <w:tab/>
            </w:r>
            <w:r>
              <w:rPr>
                <w:noProof/>
                <w:webHidden/>
              </w:rPr>
              <w:fldChar w:fldCharType="begin"/>
            </w:r>
            <w:r>
              <w:rPr>
                <w:noProof/>
                <w:webHidden/>
              </w:rPr>
              <w:instrText xml:space="preserve"> PAGEREF _Toc98518439 \h </w:instrText>
            </w:r>
            <w:r>
              <w:rPr>
                <w:noProof/>
                <w:webHidden/>
              </w:rPr>
            </w:r>
            <w:r>
              <w:rPr>
                <w:noProof/>
                <w:webHidden/>
              </w:rPr>
              <w:fldChar w:fldCharType="separate"/>
            </w:r>
            <w:r>
              <w:rPr>
                <w:noProof/>
                <w:webHidden/>
              </w:rPr>
              <w:t>4</w:t>
            </w:r>
            <w:r>
              <w:rPr>
                <w:noProof/>
                <w:webHidden/>
              </w:rPr>
              <w:fldChar w:fldCharType="end"/>
            </w:r>
          </w:hyperlink>
        </w:p>
        <w:p w14:paraId="3DE4ED51" w14:textId="77777777" w:rsidR="001E056F" w:rsidRDefault="001E056F">
          <w:pPr>
            <w:pStyle w:val="TOC2"/>
            <w:tabs>
              <w:tab w:val="left" w:pos="880"/>
              <w:tab w:val="right" w:leader="dot" w:pos="9016"/>
            </w:tabs>
            <w:rPr>
              <w:rFonts w:eastAsiaTheme="minorEastAsia"/>
              <w:noProof/>
              <w:lang w:eastAsia="en-GB"/>
            </w:rPr>
          </w:pPr>
          <w:hyperlink w:anchor="_Toc98518440" w:history="1">
            <w:r w:rsidRPr="00AC71F1">
              <w:rPr>
                <w:rStyle w:val="Hyperlink"/>
                <w:noProof/>
              </w:rPr>
              <w:t>2.2</w:t>
            </w:r>
            <w:r>
              <w:rPr>
                <w:rFonts w:eastAsiaTheme="minorEastAsia"/>
                <w:noProof/>
                <w:lang w:eastAsia="en-GB"/>
              </w:rPr>
              <w:tab/>
            </w:r>
            <w:r w:rsidRPr="00AC71F1">
              <w:rPr>
                <w:rStyle w:val="Hyperlink"/>
                <w:noProof/>
              </w:rPr>
              <w:t>Reference Documents</w:t>
            </w:r>
            <w:r>
              <w:rPr>
                <w:noProof/>
                <w:webHidden/>
              </w:rPr>
              <w:tab/>
            </w:r>
            <w:r>
              <w:rPr>
                <w:noProof/>
                <w:webHidden/>
              </w:rPr>
              <w:fldChar w:fldCharType="begin"/>
            </w:r>
            <w:r>
              <w:rPr>
                <w:noProof/>
                <w:webHidden/>
              </w:rPr>
              <w:instrText xml:space="preserve"> PAGEREF _Toc98518440 \h </w:instrText>
            </w:r>
            <w:r>
              <w:rPr>
                <w:noProof/>
                <w:webHidden/>
              </w:rPr>
            </w:r>
            <w:r>
              <w:rPr>
                <w:noProof/>
                <w:webHidden/>
              </w:rPr>
              <w:fldChar w:fldCharType="separate"/>
            </w:r>
            <w:r>
              <w:rPr>
                <w:noProof/>
                <w:webHidden/>
              </w:rPr>
              <w:t>4</w:t>
            </w:r>
            <w:r>
              <w:rPr>
                <w:noProof/>
                <w:webHidden/>
              </w:rPr>
              <w:fldChar w:fldCharType="end"/>
            </w:r>
          </w:hyperlink>
        </w:p>
        <w:p w14:paraId="1271051C" w14:textId="77777777" w:rsidR="001E056F" w:rsidRDefault="001E056F">
          <w:pPr>
            <w:pStyle w:val="TOC1"/>
            <w:tabs>
              <w:tab w:val="left" w:pos="440"/>
              <w:tab w:val="right" w:leader="dot" w:pos="9016"/>
            </w:tabs>
            <w:rPr>
              <w:rFonts w:eastAsiaTheme="minorEastAsia"/>
              <w:noProof/>
              <w:lang w:eastAsia="en-GB"/>
            </w:rPr>
          </w:pPr>
          <w:hyperlink w:anchor="_Toc98518441" w:history="1">
            <w:r w:rsidRPr="00AC71F1">
              <w:rPr>
                <w:rStyle w:val="Hyperlink"/>
                <w:noProof/>
              </w:rPr>
              <w:t>3</w:t>
            </w:r>
            <w:r>
              <w:rPr>
                <w:rFonts w:eastAsiaTheme="minorEastAsia"/>
                <w:noProof/>
                <w:lang w:eastAsia="en-GB"/>
              </w:rPr>
              <w:tab/>
            </w:r>
            <w:r w:rsidRPr="00AC71F1">
              <w:rPr>
                <w:rStyle w:val="Hyperlink"/>
                <w:noProof/>
              </w:rPr>
              <w:t>Abbreviations And Acronyms</w:t>
            </w:r>
            <w:r>
              <w:rPr>
                <w:noProof/>
                <w:webHidden/>
              </w:rPr>
              <w:tab/>
            </w:r>
            <w:r>
              <w:rPr>
                <w:noProof/>
                <w:webHidden/>
              </w:rPr>
              <w:fldChar w:fldCharType="begin"/>
            </w:r>
            <w:r>
              <w:rPr>
                <w:noProof/>
                <w:webHidden/>
              </w:rPr>
              <w:instrText xml:space="preserve"> PAGEREF _Toc98518441 \h </w:instrText>
            </w:r>
            <w:r>
              <w:rPr>
                <w:noProof/>
                <w:webHidden/>
              </w:rPr>
            </w:r>
            <w:r>
              <w:rPr>
                <w:noProof/>
                <w:webHidden/>
              </w:rPr>
              <w:fldChar w:fldCharType="separate"/>
            </w:r>
            <w:r>
              <w:rPr>
                <w:noProof/>
                <w:webHidden/>
              </w:rPr>
              <w:t>4</w:t>
            </w:r>
            <w:r>
              <w:rPr>
                <w:noProof/>
                <w:webHidden/>
              </w:rPr>
              <w:fldChar w:fldCharType="end"/>
            </w:r>
          </w:hyperlink>
        </w:p>
        <w:p w14:paraId="14DDBDFE" w14:textId="77777777" w:rsidR="001E056F" w:rsidRDefault="001E056F">
          <w:pPr>
            <w:pStyle w:val="TOC1"/>
            <w:tabs>
              <w:tab w:val="left" w:pos="440"/>
              <w:tab w:val="right" w:leader="dot" w:pos="9016"/>
            </w:tabs>
            <w:rPr>
              <w:rFonts w:eastAsiaTheme="minorEastAsia"/>
              <w:noProof/>
              <w:lang w:eastAsia="en-GB"/>
            </w:rPr>
          </w:pPr>
          <w:hyperlink w:anchor="_Toc98518442" w:history="1">
            <w:r w:rsidRPr="00AC71F1">
              <w:rPr>
                <w:rStyle w:val="Hyperlink"/>
                <w:noProof/>
              </w:rPr>
              <w:t>4</w:t>
            </w:r>
            <w:r>
              <w:rPr>
                <w:rFonts w:eastAsiaTheme="minorEastAsia"/>
                <w:noProof/>
                <w:lang w:eastAsia="en-GB"/>
              </w:rPr>
              <w:tab/>
            </w:r>
            <w:r w:rsidRPr="00AC71F1">
              <w:rPr>
                <w:rStyle w:val="Hyperlink"/>
                <w:noProof/>
              </w:rPr>
              <w:t>Topic</w:t>
            </w:r>
            <w:r>
              <w:rPr>
                <w:noProof/>
                <w:webHidden/>
              </w:rPr>
              <w:tab/>
            </w:r>
            <w:r>
              <w:rPr>
                <w:noProof/>
                <w:webHidden/>
              </w:rPr>
              <w:fldChar w:fldCharType="begin"/>
            </w:r>
            <w:r>
              <w:rPr>
                <w:noProof/>
                <w:webHidden/>
              </w:rPr>
              <w:instrText xml:space="preserve"> PAGEREF _Toc98518442 \h </w:instrText>
            </w:r>
            <w:r>
              <w:rPr>
                <w:noProof/>
                <w:webHidden/>
              </w:rPr>
            </w:r>
            <w:r>
              <w:rPr>
                <w:noProof/>
                <w:webHidden/>
              </w:rPr>
              <w:fldChar w:fldCharType="separate"/>
            </w:r>
            <w:r>
              <w:rPr>
                <w:noProof/>
                <w:webHidden/>
              </w:rPr>
              <w:t>4</w:t>
            </w:r>
            <w:r>
              <w:rPr>
                <w:noProof/>
                <w:webHidden/>
              </w:rPr>
              <w:fldChar w:fldCharType="end"/>
            </w:r>
          </w:hyperlink>
        </w:p>
        <w:p w14:paraId="19CE834E" w14:textId="77777777" w:rsidR="001E056F" w:rsidRDefault="001E056F">
          <w:pPr>
            <w:pStyle w:val="TOC2"/>
            <w:tabs>
              <w:tab w:val="left" w:pos="880"/>
              <w:tab w:val="right" w:leader="dot" w:pos="9016"/>
            </w:tabs>
            <w:rPr>
              <w:rFonts w:eastAsiaTheme="minorEastAsia"/>
              <w:noProof/>
              <w:lang w:eastAsia="en-GB"/>
            </w:rPr>
          </w:pPr>
          <w:hyperlink w:anchor="_Toc98518443" w:history="1">
            <w:r w:rsidRPr="00AC71F1">
              <w:rPr>
                <w:rStyle w:val="Hyperlink"/>
                <w:noProof/>
              </w:rPr>
              <w:t>4.1</w:t>
            </w:r>
            <w:r>
              <w:rPr>
                <w:rFonts w:eastAsiaTheme="minorEastAsia"/>
                <w:noProof/>
                <w:lang w:eastAsia="en-GB"/>
              </w:rPr>
              <w:tab/>
            </w:r>
            <w:r w:rsidRPr="00AC71F1">
              <w:rPr>
                <w:rStyle w:val="Hyperlink"/>
                <w:noProof/>
              </w:rPr>
              <w:t>Subtopic</w:t>
            </w:r>
            <w:r>
              <w:rPr>
                <w:noProof/>
                <w:webHidden/>
              </w:rPr>
              <w:tab/>
            </w:r>
            <w:r>
              <w:rPr>
                <w:noProof/>
                <w:webHidden/>
              </w:rPr>
              <w:fldChar w:fldCharType="begin"/>
            </w:r>
            <w:r>
              <w:rPr>
                <w:noProof/>
                <w:webHidden/>
              </w:rPr>
              <w:instrText xml:space="preserve"> PAGEREF _Toc98518443 \h </w:instrText>
            </w:r>
            <w:r>
              <w:rPr>
                <w:noProof/>
                <w:webHidden/>
              </w:rPr>
            </w:r>
            <w:r>
              <w:rPr>
                <w:noProof/>
                <w:webHidden/>
              </w:rPr>
              <w:fldChar w:fldCharType="separate"/>
            </w:r>
            <w:r>
              <w:rPr>
                <w:noProof/>
                <w:webHidden/>
              </w:rPr>
              <w:t>4</w:t>
            </w:r>
            <w:r>
              <w:rPr>
                <w:noProof/>
                <w:webHidden/>
              </w:rPr>
              <w:fldChar w:fldCharType="end"/>
            </w:r>
          </w:hyperlink>
        </w:p>
        <w:p w14:paraId="22900C7F" w14:textId="77777777" w:rsidR="001E056F" w:rsidRDefault="001E056F">
          <w:pPr>
            <w:pStyle w:val="TOC3"/>
            <w:tabs>
              <w:tab w:val="left" w:pos="1320"/>
              <w:tab w:val="right" w:leader="dot" w:pos="9016"/>
            </w:tabs>
            <w:rPr>
              <w:rFonts w:eastAsiaTheme="minorEastAsia"/>
              <w:noProof/>
              <w:lang w:eastAsia="en-GB"/>
            </w:rPr>
          </w:pPr>
          <w:hyperlink w:anchor="_Toc98518444" w:history="1">
            <w:r w:rsidRPr="00AC71F1">
              <w:rPr>
                <w:rStyle w:val="Hyperlink"/>
                <w:noProof/>
              </w:rPr>
              <w:t>4.1.1</w:t>
            </w:r>
            <w:r>
              <w:rPr>
                <w:rFonts w:eastAsiaTheme="minorEastAsia"/>
                <w:noProof/>
                <w:lang w:eastAsia="en-GB"/>
              </w:rPr>
              <w:tab/>
            </w:r>
            <w:r w:rsidRPr="00AC71F1">
              <w:rPr>
                <w:rStyle w:val="Hyperlink"/>
                <w:noProof/>
              </w:rPr>
              <w:t>Subtopic</w:t>
            </w:r>
            <w:r>
              <w:rPr>
                <w:noProof/>
                <w:webHidden/>
              </w:rPr>
              <w:tab/>
            </w:r>
            <w:r>
              <w:rPr>
                <w:noProof/>
                <w:webHidden/>
              </w:rPr>
              <w:fldChar w:fldCharType="begin"/>
            </w:r>
            <w:r>
              <w:rPr>
                <w:noProof/>
                <w:webHidden/>
              </w:rPr>
              <w:instrText xml:space="preserve"> PAGEREF _Toc98518444 \h </w:instrText>
            </w:r>
            <w:r>
              <w:rPr>
                <w:noProof/>
                <w:webHidden/>
              </w:rPr>
            </w:r>
            <w:r>
              <w:rPr>
                <w:noProof/>
                <w:webHidden/>
              </w:rPr>
              <w:fldChar w:fldCharType="separate"/>
            </w:r>
            <w:r>
              <w:rPr>
                <w:noProof/>
                <w:webHidden/>
              </w:rPr>
              <w:t>4</w:t>
            </w:r>
            <w:r>
              <w:rPr>
                <w:noProof/>
                <w:webHidden/>
              </w:rPr>
              <w:fldChar w:fldCharType="end"/>
            </w:r>
          </w:hyperlink>
        </w:p>
        <w:p w14:paraId="0B3C30B8" w14:textId="77777777" w:rsidR="0014774D" w:rsidRDefault="0014774D">
          <w:r>
            <w:rPr>
              <w:b/>
              <w:bCs/>
              <w:noProof/>
            </w:rPr>
            <w:fldChar w:fldCharType="end"/>
          </w:r>
        </w:p>
      </w:sdtContent>
    </w:sdt>
    <w:p w14:paraId="1F25A863" w14:textId="77777777" w:rsidR="004C073D" w:rsidRDefault="004C073D">
      <w:r>
        <w:br w:type="page"/>
      </w:r>
    </w:p>
    <w:p w14:paraId="02B99185" w14:textId="77777777" w:rsidR="0014774D" w:rsidRDefault="0014774D" w:rsidP="00734B73">
      <w:pPr>
        <w:pStyle w:val="Heading1"/>
      </w:pPr>
      <w:bookmarkStart w:id="0" w:name="_Toc98518437"/>
      <w:r w:rsidRPr="00734B73">
        <w:lastRenderedPageBreak/>
        <w:t>Introduction</w:t>
      </w:r>
      <w:bookmarkEnd w:id="0"/>
    </w:p>
    <w:p w14:paraId="53752D9B" w14:textId="77777777" w:rsidR="008408AF" w:rsidRDefault="008408AF" w:rsidP="007F0932">
      <w:pPr>
        <w:pStyle w:val="font-claude-response-body"/>
        <w:jc w:val="both"/>
      </w:pPr>
      <w:bookmarkStart w:id="1" w:name="_Toc98518438"/>
      <w:r>
        <w:t>The purpose of this document is to report the full system-level study for the design, evaluation, and assembly of a calorimeter developed to directly measure the power loss of Roboteq's ultra-low-voltage (ULV) motor drives, specifically the F-series footprint (140 × 140 × 25 mm, conduction-plate cooled), rated at 1.5 kW.</w:t>
      </w:r>
    </w:p>
    <w:p w14:paraId="5163758A" w14:textId="77777777" w:rsidR="008408AF" w:rsidRDefault="008408AF" w:rsidP="007F0932">
      <w:pPr>
        <w:pStyle w:val="font-claude-response-body"/>
        <w:jc w:val="both"/>
      </w:pPr>
      <w:r>
        <w:t>At the efficiency levels these drives achieve, typically 90% to above 99%, the dissipated power can be as low as 15 W against a 1.5 kW throughput, rising to at most 200 W at the low end of that efficiency range. Measuring this loss as the difference between electrical input and output power is unreliable at this scale, since the quantity being measured is small relative to the uncertainty of the instrumentation used to measure the much larger quantities it is subtracted from. Calorimetry avoids this limitation by measuring the dissipated heat directly, rather than inferring it from two closely matched electrical measurements.</w:t>
      </w:r>
    </w:p>
    <w:p w14:paraId="6FA10DFD" w14:textId="77777777" w:rsidR="008408AF" w:rsidRDefault="008408AF" w:rsidP="007F0932">
      <w:pPr>
        <w:pStyle w:val="font-claude-response-body"/>
        <w:jc w:val="both"/>
      </w:pPr>
      <w:r>
        <w:t>This document presents the trade study conducted across candidate calorimeter topologies, evaluated on accuracy, thermal response, build complexity, and cost, with particular attention to maintaining accuracy across the full 15–200 W loss envelope rather than at a single operating point. It then develops the thermal and control model of the selected configuration, a double-jacket chamber (DJC) with an actively servoed guard that nulls the temperature gradient across the inner wall, establishing the basis for meeting the ±1 W accuracy target and the hardware and instrumentation choices that follow from it.</w:t>
      </w:r>
    </w:p>
    <w:p w14:paraId="207D957E" w14:textId="77777777" w:rsidR="0014774D" w:rsidRDefault="0014774D" w:rsidP="00734B73">
      <w:pPr>
        <w:pStyle w:val="Heading1"/>
      </w:pPr>
      <w:r>
        <w:t>Applicable And Reference Documents</w:t>
      </w:r>
      <w:bookmarkEnd w:id="1"/>
    </w:p>
    <w:p w14:paraId="0CDCC204" w14:textId="77777777" w:rsidR="00734B73" w:rsidRDefault="003671C2" w:rsidP="003671C2">
      <w:pPr>
        <w:pStyle w:val="Heading2"/>
      </w:pPr>
      <w:bookmarkStart w:id="2" w:name="_Toc98518439"/>
      <w:r>
        <w:t>Applicable documents</w:t>
      </w:r>
      <w:bookmarkEnd w:id="2"/>
    </w:p>
    <w:tbl>
      <w:tblPr>
        <w:tblStyle w:val="TableGrid"/>
        <w:tblW w:w="0" w:type="auto"/>
        <w:tblLook w:val="04A0" w:firstRow="1" w:lastRow="0" w:firstColumn="1" w:lastColumn="0" w:noHBand="0" w:noVBand="1"/>
      </w:tblPr>
      <w:tblGrid>
        <w:gridCol w:w="2405"/>
        <w:gridCol w:w="6611"/>
      </w:tblGrid>
      <w:tr w:rsidR="003671C2" w14:paraId="416BFAAF" w14:textId="77777777" w:rsidTr="003671C2">
        <w:trPr>
          <w:tblHeader w:val="true"/>
        </w:trPr>
        <w:tc>
          <w:tcPr>
            <w:tcW w:w="1290" w:type="dxa"/>
          </w:tcPr>
          <w:p w14:paraId="0C0BD29F" w14:textId="77777777" w:rsidR="003671C2" w:rsidRDefault="003671C2" w:rsidP="003671C2">
            <w:pPr>
              <w:spacing w:after="20" w:before="20"/>
            </w:pPr>
            <w:r>
              <w:t>Document ID</w:t>
            </w:r>
          </w:p>
        </w:tc>
        <w:tc>
          <w:tcPr>
            <w:tcW w:w="7739" w:type="dxa"/>
          </w:tcPr>
          <w:p w14:paraId="3C9BD5F5" w14:textId="77777777" w:rsidR="003671C2" w:rsidRDefault="003671C2" w:rsidP="003671C2">
            <w:pPr>
              <w:spacing w:after="20" w:before="20"/>
            </w:pPr>
            <w:r>
              <w:t>Document Title</w:t>
            </w:r>
          </w:p>
        </w:tc>
      </w:tr>
      <w:tr>
        <w:tc>
          <w:tcPr>
            <w:tcW w:type="dxa" w:w="1290"/>
          </w:tcPr>
          <w:p>
            <w:pPr>
              <w:spacing w:after="20" w:before="20"/>
            </w:pPr>
            <w:r/>
            <w:r>
              <w:rPr>
                <w:sz w:val="18"/>
              </w:rPr>
              <w:t>AD-01</w:t>
            </w:r>
          </w:p>
        </w:tc>
        <w:tc>
          <w:tcPr>
            <w:tcW w:type="dxa" w:w="7739"/>
          </w:tcPr>
          <w:p>
            <w:pPr>
              <w:spacing w:after="20" w:before="20"/>
            </w:pPr>
            <w:r/>
            <w:r>
              <w:rPr>
                <w:sz w:val="18"/>
              </w:rPr>
              <w:t>IEC 60034-2-1 — Rotating electrical machines: standard methods for determining losses and efficiency from tests</w:t>
            </w:r>
          </w:p>
        </w:tc>
      </w:tr>
      <w:tr>
        <w:tc>
          <w:tcPr>
            <w:tcW w:type="dxa" w:w="1290"/>
          </w:tcPr>
          <w:p>
            <w:pPr>
              <w:spacing w:after="20" w:before="20"/>
            </w:pPr>
            <w:r/>
            <w:r>
              <w:rPr>
                <w:sz w:val="18"/>
              </w:rPr>
              <w:t>AD-02</w:t>
            </w:r>
          </w:p>
        </w:tc>
        <w:tc>
          <w:tcPr>
            <w:tcW w:type="dxa" w:w="7739"/>
          </w:tcPr>
          <w:p>
            <w:pPr>
              <w:spacing w:after="20" w:before="20"/>
            </w:pPr>
            <w:r/>
            <w:r>
              <w:rPr>
                <w:sz w:val="18"/>
              </w:rPr>
              <w:t>IEC 61800-9-2 — Adjustable speed electrical power drive systems: ecodesign, energy efficiency indicators for power drive systems and motor starters</w:t>
            </w:r>
          </w:p>
        </w:tc>
      </w:tr>
      <w:tr>
        <w:tc>
          <w:tcPr>
            <w:tcW w:type="dxa" w:w="1290"/>
          </w:tcPr>
          <w:p>
            <w:pPr>
              <w:spacing w:after="20" w:before="20"/>
            </w:pPr>
            <w:r/>
            <w:r>
              <w:rPr>
                <w:sz w:val="18"/>
              </w:rPr>
              <w:t>AD-03</w:t>
            </w:r>
          </w:p>
        </w:tc>
        <w:tc>
          <w:tcPr>
            <w:tcW w:type="dxa" w:w="7739"/>
          </w:tcPr>
          <w:p>
            <w:pPr>
              <w:spacing w:after="20" w:before="20"/>
            </w:pPr>
            <w:r/>
            <w:r>
              <w:rPr>
                <w:sz w:val="18"/>
              </w:rPr>
              <w:t>Nidec Automation / Roboteq — Ultra-Low-Voltage Drive Catalog, 17 Sep 2025 (F-series DUT class: 140 × 140 × 25 mm, 2 × 60 A / 1 × 120 A)</w:t>
            </w:r>
          </w:p>
        </w:tc>
      </w:tr>
    </w:tbl>
    <w:p w14:paraId="6CE5ED95" w14:textId="77777777" w:rsidR="003671C2" w:rsidRDefault="003671C2" w:rsidP="003671C2"/>
    <w:p w14:paraId="4BD85102" w14:textId="77777777" w:rsidR="003671C2" w:rsidRPr="00734B73" w:rsidRDefault="003671C2" w:rsidP="003671C2">
      <w:pPr>
        <w:pStyle w:val="Heading2"/>
      </w:pPr>
      <w:bookmarkStart w:id="3" w:name="_Toc98518440"/>
      <w:r w:rsidRPr="003671C2">
        <w:t>Reference Documents</w:t>
      </w:r>
      <w:bookmarkEnd w:id="3"/>
    </w:p>
    <w:tbl>
      <w:tblPr>
        <w:tblStyle w:val="TableGrid"/>
        <w:tblW w:w="0" w:type="auto"/>
        <w:tblLook w:val="04A0" w:firstRow="1" w:lastRow="0" w:firstColumn="1" w:lastColumn="0" w:noHBand="0" w:noVBand="1"/>
      </w:tblPr>
      <w:tblGrid>
        <w:gridCol w:w="2405"/>
        <w:gridCol w:w="6611"/>
      </w:tblGrid>
      <w:tr w:rsidR="003671C2" w14:paraId="0F78C382" w14:textId="77777777" w:rsidTr="0059102A">
        <w:trPr>
          <w:tblHeader w:val="true"/>
        </w:trPr>
        <w:tc>
          <w:tcPr>
            <w:tcW w:w="1290" w:type="dxa"/>
          </w:tcPr>
          <w:p w14:paraId="44A89883" w14:textId="77777777" w:rsidR="003671C2" w:rsidRDefault="003671C2" w:rsidP="0059102A">
            <w:pPr>
              <w:spacing w:after="20" w:before="20"/>
            </w:pPr>
            <w:r>
              <w:t>Document ID</w:t>
            </w:r>
          </w:p>
        </w:tc>
        <w:tc>
          <w:tcPr>
            <w:tcW w:w="7739" w:type="dxa"/>
          </w:tcPr>
          <w:p w14:paraId="12EFAAD1" w14:textId="77777777" w:rsidR="003671C2" w:rsidRDefault="003671C2" w:rsidP="0059102A">
            <w:pPr>
              <w:spacing w:after="20" w:before="20"/>
            </w:pPr>
            <w:r>
              <w:t>Document Title</w:t>
            </w:r>
          </w:p>
        </w:tc>
      </w:tr>
      <w:tr>
        <w:tc>
          <w:tcPr>
            <w:tcW w:type="dxa" w:w="1290"/>
          </w:tcPr>
          <w:p>
            <w:pPr>
              <w:spacing w:after="20" w:before="20"/>
            </w:pPr>
            <w:r/>
            <w:r>
              <w:rPr>
                <w:sz w:val="18"/>
              </w:rPr>
              <w:t>RD-01</w:t>
            </w:r>
          </w:p>
        </w:tc>
        <w:tc>
          <w:tcPr>
            <w:tcW w:type="dxa" w:w="7739"/>
          </w:tcPr>
          <w:p>
            <w:pPr>
              <w:spacing w:after="20" w:before="20"/>
            </w:pPr>
            <w:r/>
            <w:r>
              <w:rPr>
                <w:sz w:val="18"/>
              </w:rPr>
              <w:t>Christen, D., Badstübner, U., Biela, J., Kolar, J. W., “Calorimetric Power Loss Measurement for Highly Efficient Converters”, IPEC 2010, ETH Zürich Power Electronic Systems Laboratory. Built air-gap double-jacket calorimeter, ±0.4 W / 1 %. Primary architecture reference.</w:t>
            </w:r>
          </w:p>
        </w:tc>
      </w:tr>
      <w:tr>
        <w:tc>
          <w:tcPr>
            <w:tcW w:type="dxa" w:w="1290"/>
          </w:tcPr>
          <w:p>
            <w:pPr>
              <w:spacing w:after="20" w:before="20"/>
            </w:pPr>
            <w:r/>
            <w:r>
              <w:rPr>
                <w:sz w:val="18"/>
              </w:rPr>
              <w:t>RD-02</w:t>
            </w:r>
          </w:p>
        </w:tc>
        <w:tc>
          <w:tcPr>
            <w:tcW w:type="dxa" w:w="7739"/>
          </w:tcPr>
          <w:p>
            <w:pPr>
              <w:spacing w:after="20" w:before="20"/>
            </w:pPr>
            <w:r/>
            <w:r>
              <w:rPr>
                <w:sz w:val="18"/>
              </w:rPr>
              <w:t>Simpson, N., Hopkins, A. N., “An Accurate and Flexible Calorimeter Topology for Power Electronic System Loss Measurement”, IEMDC 2017, University of Bristol. Surface-heated closed calorimeter, &lt; 1 % over 20–100 W. Guard-actuator and commissioning reference.</w:t>
            </w:r>
          </w:p>
        </w:tc>
      </w:tr>
      <w:tr>
        <w:tc>
          <w:tcPr>
            <w:tcW w:type="dxa" w:w="1290"/>
          </w:tcPr>
          <w:p>
            <w:pPr>
              <w:spacing w:after="20" w:before="20"/>
            </w:pPr>
            <w:r/>
            <w:r>
              <w:rPr>
                <w:sz w:val="18"/>
              </w:rPr>
              <w:t>RD-03</w:t>
            </w:r>
          </w:p>
        </w:tc>
        <w:tc>
          <w:tcPr>
            <w:tcW w:type="dxa" w:w="7739"/>
          </w:tcPr>
          <w:p>
            <w:pPr>
              <w:spacing w:after="20" w:before="20"/>
            </w:pPr>
            <w:r/>
            <w:r>
              <w:rPr>
                <w:sz w:val="18"/>
              </w:rPr>
              <w:t>Nair, D. G., “Calorimetric Power Loss Measurement of a Small Power Converter”, MSc thesis, Aalto University, 2013. Source of the double-jacket schematic and of the guard criterion |T</w:t>
            </w:r>
            <w:r>
              <w:rPr>
                <w:sz w:val="18"/>
                <w:vertAlign w:val="subscript"/>
              </w:rPr>
              <w:t>i</w:t>
            </w:r>
            <w:r>
              <w:rPr>
                <w:sz w:val="18"/>
              </w:rPr>
              <w:t xml:space="preserve"> − T</w:t>
            </w:r>
            <w:r>
              <w:rPr>
                <w:sz w:val="18"/>
                <w:vertAlign w:val="subscript"/>
              </w:rPr>
              <w:t>e</w:t>
            </w:r>
            <w:r>
              <w:rPr>
                <w:sz w:val="18"/>
              </w:rPr>
              <w:t>| &lt; P</w:t>
            </w:r>
            <w:r>
              <w:rPr>
                <w:sz w:val="18"/>
                <w:vertAlign w:val="subscript"/>
              </w:rPr>
              <w:t>acc</w:t>
            </w:r>
            <w:r>
              <w:rPr>
                <w:sz w:val="18"/>
              </w:rPr>
              <w:t>·R</w:t>
            </w:r>
            <w:r>
              <w:rPr>
                <w:sz w:val="18"/>
                <w:vertAlign w:val="subscript"/>
              </w:rPr>
              <w:t>th(in)</w:t>
            </w:r>
            <w:r>
              <w:rPr>
                <w:sz w:val="18"/>
              </w:rPr>
              <w:t xml:space="preserve"> (§3.4.2). Also the unguarded counter-example.</w:t>
            </w:r>
          </w:p>
        </w:tc>
      </w:tr>
      <w:tr>
        <w:tc>
          <w:tcPr>
            <w:tcW w:type="dxa" w:w="1290"/>
          </w:tcPr>
          <w:p>
            <w:pPr>
              <w:spacing w:after="20" w:before="20"/>
            </w:pPr>
            <w:r/>
            <w:r>
              <w:rPr>
                <w:sz w:val="18"/>
              </w:rPr>
              <w:t>RD-04</w:t>
            </w:r>
          </w:p>
        </w:tc>
        <w:tc>
          <w:tcPr>
            <w:tcW w:type="dxa" w:w="7739"/>
          </w:tcPr>
          <w:p>
            <w:pPr>
              <w:spacing w:after="20" w:before="20"/>
            </w:pPr>
            <w:r/>
            <w:r>
              <w:rPr>
                <w:sz w:val="18"/>
              </w:rPr>
              <w:t>Kosonen, A., et al., “Calorimetric concept for measurement of power losses up to 2 kW in electric drives”, IET Electric Power Applications, 2013. Modularity across DUT ratings.</w:t>
            </w:r>
          </w:p>
        </w:tc>
      </w:tr>
      <w:tr>
        <w:tc>
          <w:tcPr>
            <w:tcW w:type="dxa" w:w="1290"/>
          </w:tcPr>
          <w:p>
            <w:pPr>
              <w:spacing w:after="20" w:before="20"/>
            </w:pPr>
            <w:r/>
            <w:r>
              <w:rPr>
                <w:sz w:val="18"/>
              </w:rPr>
              <w:t>RD-05</w:t>
            </w:r>
          </w:p>
        </w:tc>
        <w:tc>
          <w:tcPr>
            <w:tcW w:type="dxa" w:w="7739"/>
          </w:tcPr>
          <w:p>
            <w:pPr>
              <w:spacing w:after="20" w:before="20"/>
            </w:pPr>
            <w:r/>
            <w:r>
              <w:rPr>
                <w:sz w:val="18"/>
              </w:rPr>
              <w:t>Malliband, P. D., Carter, B., Gordon, M., Warne, D. F., “Accurate measurement of induction motor losses using balance calorimeter”, Proc. IEE, vol. 138, no. 5, 1991.</w:t>
            </w:r>
          </w:p>
        </w:tc>
      </w:tr>
      <w:tr>
        <w:tc>
          <w:tcPr>
            <w:tcW w:type="dxa" w:w="1290"/>
          </w:tcPr>
          <w:p>
            <w:pPr>
              <w:spacing w:after="20" w:before="20"/>
            </w:pPr>
            <w:r/>
            <w:r>
              <w:rPr>
                <w:sz w:val="18"/>
              </w:rPr>
              <w:t>RD-06</w:t>
            </w:r>
          </w:p>
        </w:tc>
        <w:tc>
          <w:tcPr>
            <w:tcW w:type="dxa" w:w="7739"/>
          </w:tcPr>
          <w:p>
            <w:pPr>
              <w:spacing w:after="20" w:before="20"/>
            </w:pPr>
            <w:r/>
            <w:r>
              <w:rPr>
                <w:sz w:val="18"/>
              </w:rPr>
              <w:t>Malliband, P. D., et al., “Design of a double-jacketed, closed type calorimeter for direct measurement of motor losses”, 7th Int. Conf. on Power Electronics and Variable Speed Drives, no. 456, 1998. Original DJC proposal.</w:t>
            </w:r>
          </w:p>
        </w:tc>
      </w:tr>
      <w:tr>
        <w:tc>
          <w:tcPr>
            <w:tcW w:type="dxa" w:w="1290"/>
          </w:tcPr>
          <w:p>
            <w:pPr>
              <w:spacing w:after="20" w:before="20"/>
            </w:pPr>
            <w:r/>
            <w:r>
              <w:rPr>
                <w:sz w:val="18"/>
              </w:rPr>
              <w:t>RD-07</w:t>
            </w:r>
          </w:p>
        </w:tc>
        <w:tc>
          <w:tcPr>
            <w:tcW w:type="dxa" w:w="7739"/>
          </w:tcPr>
          <w:p>
            <w:pPr>
              <w:spacing w:after="20" w:before="20"/>
            </w:pPr>
            <w:r/>
            <w:r>
              <w:rPr>
                <w:sz w:val="18"/>
              </w:rPr>
              <w:t>Blaabjerg, F., Pedersen, J. K., Ritchie, E., “Calorimetric measuring systems for characterizing high frequency power losses in power electronic components and systems”, IEEE IAS Conf., vol. 2, pp. 1369–1376, 2002. First proposal of active air-gap temperature control.</w:t>
            </w:r>
          </w:p>
        </w:tc>
      </w:tr>
      <w:tr>
        <w:tc>
          <w:tcPr>
            <w:tcW w:type="dxa" w:w="1290"/>
          </w:tcPr>
          <w:p>
            <w:pPr>
              <w:spacing w:after="20" w:before="20"/>
            </w:pPr>
            <w:r/>
            <w:r>
              <w:rPr>
                <w:sz w:val="18"/>
              </w:rPr>
              <w:t>RD-08</w:t>
            </w:r>
          </w:p>
        </w:tc>
        <w:tc>
          <w:tcPr>
            <w:tcW w:type="dxa" w:w="7739"/>
          </w:tcPr>
          <w:p>
            <w:pPr>
              <w:spacing w:after="20" w:before="20"/>
            </w:pPr>
            <w:r/>
            <w:r>
              <w:rPr>
                <w:sz w:val="18"/>
              </w:rPr>
              <w:t>Xiao, C., Chen, G., Odendaal, W. G. H., “Overview of Power Loss Measurement Techniques in Power Electronic Systems”, IEEE Trans. Industry Applications, pp. 657–664, 2007.</w:t>
            </w:r>
          </w:p>
        </w:tc>
      </w:tr>
      <w:tr>
        <w:tc>
          <w:tcPr>
            <w:tcW w:type="dxa" w:w="1290"/>
          </w:tcPr>
          <w:p>
            <w:pPr>
              <w:spacing w:after="20" w:before="20"/>
            </w:pPr>
            <w:r/>
            <w:r>
              <w:rPr>
                <w:sz w:val="18"/>
              </w:rPr>
              <w:t>RD-09</w:t>
            </w:r>
          </w:p>
        </w:tc>
        <w:tc>
          <w:tcPr>
            <w:tcW w:type="dxa" w:w="7739"/>
          </w:tcPr>
          <w:p>
            <w:pPr>
              <w:spacing w:after="20" w:before="20"/>
            </w:pPr>
            <w:r/>
            <w:r>
              <w:rPr>
                <w:sz w:val="18"/>
              </w:rPr>
              <w:t>Jalilian, A., Gosbell, V. J., Perera, B. S. P., Cooper, P., “Double chamber calorimeter (DCC): a new approach to measure induction motor harmonic losses”, IEEE Trans. Energy Conversion, vol. 14, no. 3, 1999. The series calorimeter — distinct from the DJC.</w:t>
            </w:r>
          </w:p>
        </w:tc>
      </w:tr>
      <w:tr>
        <w:tc>
          <w:tcPr>
            <w:tcW w:type="dxa" w:w="1290"/>
          </w:tcPr>
          <w:p>
            <w:pPr>
              <w:spacing w:after="20" w:before="20"/>
            </w:pPr>
            <w:r/>
            <w:r>
              <w:rPr>
                <w:sz w:val="18"/>
              </w:rPr>
              <w:t>RD-10</w:t>
            </w:r>
          </w:p>
        </w:tc>
        <w:tc>
          <w:tcPr>
            <w:tcW w:type="dxa" w:w="7739"/>
          </w:tcPr>
          <w:p>
            <w:pPr>
              <w:spacing w:after="20" w:before="20"/>
            </w:pPr>
            <w:r/>
            <w:r>
              <w:rPr>
                <w:sz w:val="18"/>
              </w:rPr>
              <w:t>“Overview of calorimetric systems used in loss determination of electric motors and drives”, IEEE, 2017. Source of the four-way open / closed / balanced / series classification.</w:t>
            </w:r>
          </w:p>
        </w:tc>
      </w:tr>
      <w:tr>
        <w:tc>
          <w:tcPr>
            <w:tcW w:type="dxa" w:w="1290"/>
          </w:tcPr>
          <w:p>
            <w:pPr>
              <w:spacing w:after="20" w:before="20"/>
            </w:pPr>
            <w:r/>
            <w:r>
              <w:rPr>
                <w:sz w:val="18"/>
              </w:rPr>
              <w:t>RD-11</w:t>
            </w:r>
          </w:p>
        </w:tc>
        <w:tc>
          <w:tcPr>
            <w:tcW w:type="dxa" w:w="7739"/>
          </w:tcPr>
          <w:p>
            <w:pPr>
              <w:spacing w:after="20" w:before="20"/>
            </w:pPr>
            <w:r/>
            <w:r>
              <w:rPr>
                <w:sz w:val="18"/>
              </w:rPr>
              <w:t xml:space="preserve">Internal working notes, Obsidian vault </w:t>
            </w:r>
            <w:r>
              <w:rPr>
                <w:rFonts w:ascii="Consolas" w:hAnsi="Consolas"/>
                <w:sz w:val="18"/>
              </w:rPr>
              <w:t>Roboteq Internship/Calorimetry/</w:t>
            </w:r>
            <w:r>
              <w:rPr>
                <w:sz w:val="18"/>
              </w:rPr>
              <w:t xml:space="preserve"> — Study, thermo modeling, Parameter Calculation, Biot check, System Modeling Final, BOM manual, Zephyr map.</w:t>
            </w:r>
          </w:p>
        </w:tc>
      </w:tr>
      <w:tr>
        <w:tc>
          <w:tcPr>
            <w:tcW w:type="dxa" w:w="1290"/>
          </w:tcPr>
          <w:p>
            <w:pPr>
              <w:spacing w:after="20" w:before="20"/>
            </w:pPr>
            <w:r/>
            <w:r>
              <w:rPr>
                <w:sz w:val="18"/>
              </w:rPr>
              <w:t>RD-12</w:t>
            </w:r>
          </w:p>
        </w:tc>
        <w:tc>
          <w:tcPr>
            <w:tcW w:type="dxa" w:w="7739"/>
          </w:tcPr>
          <w:p>
            <w:pPr>
              <w:spacing w:after="20" w:before="20"/>
            </w:pPr>
            <w:r/>
            <w:r>
              <w:rPr>
                <w:sz w:val="18"/>
              </w:rPr>
              <w:t xml:space="preserve">Simulation source, </w:t>
            </w:r>
            <w:r>
              <w:rPr>
                <w:rFonts w:ascii="Consolas" w:hAnsi="Consolas"/>
                <w:sz w:val="18"/>
              </w:rPr>
              <w:t>~/roboteq/python/</w:t>
            </w:r>
            <w:r>
              <w:rPr>
                <w:sz w:val="18"/>
              </w:rPr>
              <w:t xml:space="preserve"> — </w:t>
            </w:r>
            <w:r>
              <w:rPr>
                <w:rFonts w:ascii="Consolas" w:hAnsi="Consolas"/>
                <w:sz w:val="18"/>
              </w:rPr>
              <w:t>calorimetry-ss.py</w:t>
            </w:r>
            <w:r>
              <w:rPr>
                <w:sz w:val="18"/>
              </w:rPr>
              <w:t xml:space="preserve"> (plant), </w:t>
            </w:r>
            <w:r>
              <w:rPr>
                <w:rFonts w:ascii="Consolas" w:hAnsi="Consolas"/>
                <w:sz w:val="18"/>
              </w:rPr>
              <w:t>calorimetry_sim.py</w:t>
            </w:r>
            <w:r>
              <w:rPr>
                <w:sz w:val="18"/>
              </w:rPr>
              <w:t xml:space="preserve"> (closed loop, probes, plots), </w:t>
            </w:r>
            <w:r>
              <w:rPr>
                <w:rFonts w:ascii="Consolas" w:hAnsi="Consolas"/>
                <w:sz w:val="18"/>
              </w:rPr>
              <w:t>params.yaml</w:t>
            </w:r>
            <w:r>
              <w:rPr>
                <w:sz w:val="18"/>
              </w:rPr>
              <w:t>.</w:t>
            </w:r>
          </w:p>
        </w:tc>
      </w:tr>
      <w:tr>
        <w:tc>
          <w:tcPr>
            <w:tcW w:type="dxa" w:w="1290"/>
          </w:tcPr>
          <w:p>
            <w:pPr>
              <w:spacing w:after="20" w:before="20"/>
            </w:pPr>
            <w:r>
              <w:rPr>
                <w:sz w:val="18"/>
                <w:szCs w:val="18"/>
              </w:rPr>
              <w:t xml:space="preserve">RD-13</w:t>
            </w:r>
          </w:p>
        </w:tc>
        <w:tc>
          <w:tcPr>
            <w:tcW w:type="dxa" w:w="7739"/>
          </w:tcPr>
          <w:p>
            <w:pPr>
              <w:spacing w:after="20" w:before="20"/>
            </w:pPr>
            <w:r>
              <w:rPr>
                <w:sz w:val="18"/>
                <w:szCs w:val="18"/>
              </w:rPr>
              <w:t xml:space="preserve">Zephyr Project documentation, revision 4.4.99 (</w:t>
            </w:r>
            <w:r>
              <w:rPr>
                <w:rFonts w:ascii="Consolas" w:hAnsi="Consolas"/>
                <w:sz w:val="18"/>
                <w:szCs w:val="18"/>
              </w:rPr>
              <w:t xml:space="preserve">main</w:t>
            </w:r>
            <w:r>
              <w:rPr>
                <w:sz w:val="18"/>
                <w:szCs w:val="18"/>
              </w:rPr>
              <w:t xml:space="preserve">), docs.zephyrproject.org — kernel services (threads, mutexes, message queues, atomics), the device driver model and devicetree API, the GPIO / PWM / I²C / SPI / sensor / watchdog / display peripheral APIs, the State Machine Framework, the settings subsystem and its NVS backend, logging, shell, and the HTTP server and WebSocket libraries.</w:t>
            </w:r>
          </w:p>
        </w:tc>
      </w:tr>
      <w:tr>
        <w:tc>
          <w:tcPr>
            <w:tcW w:type="dxa" w:w="1290"/>
          </w:tcPr>
          <w:p>
            <w:pPr>
              <w:spacing w:after="20" w:before="20"/>
            </w:pPr>
            <w:r>
              <w:rPr>
                <w:sz w:val="18"/>
                <w:szCs w:val="18"/>
              </w:rPr>
              <w:t xml:space="preserve">RD-14</w:t>
            </w:r>
          </w:p>
        </w:tc>
        <w:tc>
          <w:tcPr>
            <w:tcW w:type="dxa" w:w="7739"/>
          </w:tcPr>
          <w:p>
            <w:pPr>
              <w:spacing w:after="20" w:before="20"/>
            </w:pPr>
            <w:r>
              <w:rPr>
                <w:sz w:val="18"/>
                <w:szCs w:val="18"/>
              </w:rPr>
              <w:t xml:space="preserve">Firmware source and working notes — </w:t>
            </w:r>
            <w:r>
              <w:rPr>
                <w:rFonts w:ascii="Consolas" w:hAnsi="Consolas"/>
                <w:sz w:val="18"/>
                <w:szCs w:val="18"/>
              </w:rPr>
              <w:t xml:space="preserve">~/roboteq/zephyr/calorimetry/</w:t>
            </w:r>
            <w:r>
              <w:rPr>
                <w:sz w:val="18"/>
                <w:szCs w:val="18"/>
              </w:rPr>
              <w:t xml:space="preserve"> (application, </w:t>
            </w:r>
            <w:r>
              <w:rPr>
                <w:rFonts w:ascii="Consolas" w:hAnsi="Consolas"/>
                <w:sz w:val="18"/>
                <w:szCs w:val="18"/>
              </w:rPr>
              <w:t xml:space="preserve">README.md</w:t>
            </w:r>
            <w:r>
              <w:rPr>
                <w:sz w:val="18"/>
                <w:szCs w:val="18"/>
              </w:rPr>
              <w:t xml:space="preserve"> with build, operation and bring-up ladder, and the </w:t>
            </w:r>
            <w:r>
              <w:rPr>
                <w:rFonts w:ascii="Consolas" w:hAnsi="Consolas"/>
                <w:sz w:val="18"/>
                <w:szCs w:val="18"/>
              </w:rPr>
              <w:t xml:space="preserve">graphify-out/</w:t>
            </w:r>
            <w:r>
              <w:rPr>
                <w:sz w:val="18"/>
                <w:szCs w:val="18"/>
              </w:rPr>
              <w:t xml:space="preserve"> knowledge graph), and the Obsidian vault's </w:t>
            </w:r>
            <w:r>
              <w:rPr>
                <w:rFonts w:ascii="Consolas" w:hAnsi="Consolas"/>
                <w:sz w:val="18"/>
                <w:szCs w:val="18"/>
              </w:rPr>
              <w:t xml:space="preserve">Calorimetry/Zephyr/</w:t>
            </w:r>
            <w:r>
              <w:rPr>
                <w:sz w:val="18"/>
                <w:szCs w:val="18"/>
              </w:rPr>
              <w:t xml:space="preserve"> notes: requirements and targets, architecture suggestions, the display/remote split, the toolchain installation record, and the development log §9 is drawn from.</w:t>
            </w:r>
          </w:p>
        </w:tc>
      </w:tr>
      <w:tr>
        <w:tc>
          <w:tcPr>
            <w:tcW w:type="dxa" w:w="1290"/>
          </w:tcPr>
          <w:p>
            <w:pPr>
              <w:spacing w:after="20" w:before="20"/>
            </w:pPr>
            <w:r>
              <w:rPr>
                <w:sz w:val="18"/>
                <w:szCs w:val="18"/>
              </w:rPr>
              <w:t xml:space="preserve">RD-15</w:t>
            </w:r>
          </w:p>
        </w:tc>
        <w:tc>
          <w:tcPr>
            <w:tcW w:type="dxa" w:w="7739"/>
          </w:tcPr>
          <w:p>
            <w:pPr>
              <w:spacing w:after="20" w:before="20"/>
            </w:pPr>
            <w:r>
              <w:rPr>
                <w:sz w:val="18"/>
                <w:szCs w:val="18"/>
              </w:rPr>
              <w:t xml:space="preserve">Espressif Systems — ESP32-S3-DevKitC-1 User Guide and ESP32-S3 Series Datasheet. Source of the strapping-pin list, the octal-PSRAM pin usage on R8 modules, the board-revision RGB-LED difference, and the mutually-exclusive power-input constraint of §8.2.</w:t>
            </w:r>
          </w:p>
        </w:tc>
      </w:tr>
      <w:tr>
        <w:tc>
          <w:tcPr>
            <w:tcW w:type="dxa" w:w="1290"/>
          </w:tcPr>
          <w:p>
            <w:pPr>
              <w:spacing w:after="20" w:before="20"/>
            </w:pPr>
            <w:r>
              <w:rPr>
                <w:sz w:val="18"/>
                <w:szCs w:val="18"/>
              </w:rPr>
              <w:t xml:space="preserve">RD-16</w:t>
            </w:r>
          </w:p>
        </w:tc>
        <w:tc>
          <w:tcPr>
            <w:tcW w:type="dxa" w:w="7739"/>
          </w:tcPr>
          <w:p>
            <w:pPr>
              <w:spacing w:after="20" w:before="20"/>
            </w:pPr>
            <w:r>
              <w:rPr>
                <w:sz w:val="18"/>
                <w:szCs w:val="18"/>
              </w:rPr>
              <w:t xml:space="preserve">Component datasheets for the parts of Table 32 — Infineon (IPP041N04N, IRF4905); Texas Instruments (UCC27517 / UCC27524, INA226, INA3221, LM74610-Q1, LMR33630); Analog Devices (MAX31865, TMC5160); Diotec (1.5SMCJ series); Bourns (MF-R series); Littelfuse (1210L series); onsemi (NUP4114, NUP2105L). Board design and component notes: the Obsidian vault's </w:t>
            </w:r>
            <w:r>
              <w:rPr>
                <w:rFonts w:ascii="Consolas" w:hAnsi="Consolas"/>
                <w:sz w:val="18"/>
                <w:szCs w:val="18"/>
              </w:rPr>
              <w:t xml:space="preserve">Calorimetry/Board/</w:t>
            </w:r>
            <w:r>
              <w:rPr>
                <w:sz w:val="18"/>
                <w:szCs w:val="18"/>
              </w:rPr>
              <w:t xml:space="preserve"> — requirements, protection suggestions, the design note §8.7 transcribes, and the sourced parts list.</w:t>
            </w:r>
          </w:p>
        </w:tc>
      </w:tr>
    </w:tbl>
    <w:p w14:paraId="49DDCB9A" w14:textId="77777777" w:rsidR="0014774D" w:rsidRDefault="0014774D"/>
    <w:p w14:paraId="5CD89C3A" w14:textId="77777777" w:rsidR="0014774D" w:rsidRDefault="0014774D" w:rsidP="00734B73">
      <w:pPr>
        <w:pStyle w:val="Heading1"/>
      </w:pPr>
      <w:bookmarkStart w:id="4" w:name="_Toc98518441"/>
      <w:r w:rsidRPr="00734B73">
        <w:t>Abbreviations</w:t>
      </w:r>
      <w:r>
        <w:t xml:space="preserve"> And Acronyms</w:t>
      </w:r>
      <w:bookmarkEnd w:id="4"/>
      <w:r>
        <w:t xml:space="preserve"> </w:t>
      </w:r>
    </w:p>
    <w:tbl>
      <w:tblPr>
        <w:tblStyle w:val="TableGrid"/>
        <w:tblW w:w="0" w:type="auto"/>
        <w:tblLook w:val="04A0" w:firstRow="1" w:lastRow="0" w:firstColumn="1" w:lastColumn="0" w:noHBand="0" w:noVBand="1"/>
      </w:tblPr>
      <w:tblGrid>
        <w:gridCol w:w="1271"/>
        <w:gridCol w:w="7745"/>
      </w:tblGrid>
      <w:tr>
        <w:tc>
          <w:tcPr>
            <w:tcW w:type="dxa" w:w="1806"/>
          </w:tcPr>
          <w:p>
            <w:pPr>
              <w:spacing w:after="20" w:before="20"/>
            </w:pPr>
            <w:r/>
            <w:r>
              <w:rPr>
                <w:b/>
                <w:sz w:val="18"/>
              </w:rPr>
              <w:t>ADC</w:t>
            </w:r>
          </w:p>
        </w:tc>
        <w:tc>
          <w:tcPr>
            <w:tcW w:type="dxa" w:w="7223"/>
          </w:tcPr>
          <w:p>
            <w:pPr>
              <w:spacing w:after="20" w:before="20"/>
            </w:pPr>
            <w:r/>
            <w:r>
              <w:rPr>
                <w:sz w:val="18"/>
              </w:rPr>
              <w:t>Analog-to-Digital Converter</w:t>
            </w:r>
          </w:p>
        </w:tc>
      </w:tr>
      <w:tr>
        <w:tc>
          <w:tcPr>
            <w:tcW w:type="dxa" w:w="1806"/>
          </w:tcPr>
          <w:p>
            <w:pPr>
              <w:spacing w:after="20" w:before="20"/>
            </w:pPr>
            <w:r>
              <w:rPr>
                <w:sz w:val="18"/>
                <w:szCs w:val="18"/>
              </w:rPr>
              <w:t xml:space="preserve">API</w:t>
            </w:r>
          </w:p>
        </w:tc>
        <w:tc>
          <w:tcPr>
            <w:tcW w:type="dxa" w:w="7223"/>
          </w:tcPr>
          <w:p>
            <w:pPr>
              <w:spacing w:after="20" w:before="20"/>
            </w:pPr>
            <w:r>
              <w:rPr>
                <w:sz w:val="18"/>
                <w:szCs w:val="18"/>
              </w:rPr>
              <w:t xml:space="preserve">Application Programming Interface</w:t>
            </w:r>
          </w:p>
        </w:tc>
      </w:tr>
      <w:tr>
        <w:tc>
          <w:tcPr>
            <w:tcW w:type="dxa" w:w="1806"/>
          </w:tcPr>
          <w:p>
            <w:pPr>
              <w:spacing w:after="20" w:before="20"/>
            </w:pPr>
            <w:r>
              <w:rPr>
                <w:sz w:val="18"/>
                <w:szCs w:val="18"/>
              </w:rPr>
              <w:t xml:space="preserve">AST</w:t>
            </w:r>
          </w:p>
        </w:tc>
        <w:tc>
          <w:tcPr>
            <w:tcW w:type="dxa" w:w="7223"/>
          </w:tcPr>
          <w:p>
            <w:pPr>
              <w:spacing w:after="20" w:before="20"/>
            </w:pPr>
            <w:r>
              <w:rPr>
                <w:sz w:val="18"/>
                <w:szCs w:val="18"/>
              </w:rPr>
              <w:t xml:space="preserve">Abstract Syntax Tree</w:t>
            </w:r>
          </w:p>
        </w:tc>
      </w:tr>
      <w:tr>
        <w:tc>
          <w:tcPr>
            <w:tcW w:type="dxa" w:w="1806"/>
          </w:tcPr>
          <w:p>
            <w:pPr>
              <w:spacing w:after="20" w:before="20"/>
            </w:pPr>
            <w:r/>
            <w:r>
              <w:rPr>
                <w:b/>
                <w:sz w:val="18"/>
              </w:rPr>
              <w:t>AW</w:t>
            </w:r>
          </w:p>
        </w:tc>
        <w:tc>
          <w:tcPr>
            <w:tcW w:type="dxa" w:w="7223"/>
          </w:tcPr>
          <w:p>
            <w:pPr>
              <w:spacing w:after="20" w:before="20"/>
            </w:pPr>
            <w:r/>
            <w:r>
              <w:rPr>
                <w:sz w:val="18"/>
              </w:rPr>
              <w:t>Anti-Windup</w:t>
            </w:r>
          </w:p>
        </w:tc>
      </w:tr>
      <w:tr>
        <w:tc>
          <w:tcPr>
            <w:tcW w:type="dxa" w:w="1806"/>
          </w:tcPr>
          <w:p>
            <w:pPr>
              <w:spacing w:after="20" w:before="20"/>
            </w:pPr>
            <w:r/>
            <w:r>
              <w:rPr>
                <w:b/>
                <w:sz w:val="18"/>
              </w:rPr>
              <w:t>B1</w:t>
            </w:r>
          </w:p>
        </w:tc>
        <w:tc>
          <w:tcPr>
            <w:tcW w:type="dxa" w:w="7223"/>
          </w:tcPr>
          <w:p>
            <w:pPr>
              <w:spacing w:after="20" w:before="20"/>
            </w:pPr>
            <w:r/>
            <w:r>
              <w:rPr>
                <w:sz w:val="18"/>
              </w:rPr>
              <w:t>Measurement boundary — the surface enclosing the inner chamber contents</w:t>
            </w:r>
          </w:p>
        </w:tc>
      </w:tr>
      <w:tr>
        <w:tc>
          <w:tcPr>
            <w:tcW w:type="dxa" w:w="1806"/>
          </w:tcPr>
          <w:p>
            <w:pPr>
              <w:spacing w:after="20" w:before="20"/>
            </w:pPr>
            <w:r/>
            <w:r>
              <w:rPr>
                <w:b/>
                <w:sz w:val="18"/>
              </w:rPr>
              <w:t>BOM</w:t>
            </w:r>
          </w:p>
        </w:tc>
        <w:tc>
          <w:tcPr>
            <w:tcW w:type="dxa" w:w="7223"/>
          </w:tcPr>
          <w:p>
            <w:pPr>
              <w:spacing w:after="20" w:before="20"/>
            </w:pPr>
            <w:r/>
            <w:r>
              <w:rPr>
                <w:sz w:val="18"/>
              </w:rPr>
              <w:t>Bill of Materials</w:t>
            </w:r>
          </w:p>
        </w:tc>
      </w:tr>
      <w:tr>
        <w:tc>
          <w:tcPr>
            <w:tcW w:type="dxa" w:w="1806"/>
          </w:tcPr>
          <w:p>
            <w:pPr>
              <w:spacing w:after="20" w:before="20"/>
            </w:pPr>
            <w:r>
              <w:rPr>
                <w:sz w:val="18"/>
                <w:szCs w:val="18"/>
              </w:rPr>
              <w:t xml:space="preserve">CS</w:t>
            </w:r>
          </w:p>
        </w:tc>
        <w:tc>
          <w:tcPr>
            <w:tcW w:type="dxa" w:w="7223"/>
          </w:tcPr>
          <w:p>
            <w:pPr>
              <w:spacing w:after="20" w:before="20"/>
            </w:pPr>
            <w:r>
              <w:rPr>
                <w:sz w:val="18"/>
                <w:szCs w:val="18"/>
              </w:rPr>
              <w:t xml:space="preserve">Chip Select (SPI)</w:t>
            </w:r>
          </w:p>
        </w:tc>
      </w:tr>
      <w:tr>
        <w:tc>
          <w:tcPr>
            <w:tcW w:type="dxa" w:w="1806"/>
          </w:tcPr>
          <w:p>
            <w:pPr>
              <w:spacing w:after="20" w:before="20"/>
            </w:pPr>
            <w:r/>
            <w:r>
              <w:rPr>
                <w:b/>
                <w:sz w:val="18"/>
              </w:rPr>
              <w:t>DAQ</w:t>
            </w:r>
          </w:p>
        </w:tc>
        <w:tc>
          <w:tcPr>
            <w:tcW w:type="dxa" w:w="7223"/>
          </w:tcPr>
          <w:p>
            <w:pPr>
              <w:spacing w:after="20" w:before="20"/>
            </w:pPr>
            <w:r/>
            <w:r>
              <w:rPr>
                <w:sz w:val="18"/>
              </w:rPr>
              <w:t>Data Acquisition</w:t>
            </w:r>
          </w:p>
        </w:tc>
      </w:tr>
      <w:tr>
        <w:tc>
          <w:tcPr>
            <w:tcW w:type="dxa" w:w="1806"/>
          </w:tcPr>
          <w:p>
            <w:pPr>
              <w:spacing w:after="20" w:before="20"/>
            </w:pPr>
            <w:r/>
            <w:r>
              <w:rPr>
                <w:b/>
                <w:sz w:val="18"/>
              </w:rPr>
              <w:t>DC</w:t>
            </w:r>
          </w:p>
        </w:tc>
        <w:tc>
          <w:tcPr>
            <w:tcW w:type="dxa" w:w="7223"/>
          </w:tcPr>
          <w:p>
            <w:pPr>
              <w:spacing w:after="20" w:before="20"/>
            </w:pPr>
            <w:r/>
            <w:r>
              <w:rPr>
                <w:sz w:val="18"/>
              </w:rPr>
              <w:t>Direct Current — here also the zero-frequency gain of a transfer function</w:t>
            </w:r>
          </w:p>
        </w:tc>
      </w:tr>
      <w:tr>
        <w:tc>
          <w:tcPr>
            <w:tcW w:type="dxa" w:w="1806"/>
          </w:tcPr>
          <w:p>
            <w:pPr>
              <w:spacing w:after="20" w:before="20"/>
            </w:pPr>
            <w:r/>
            <w:r>
              <w:rPr>
                <w:b/>
                <w:sz w:val="18"/>
              </w:rPr>
              <w:t>DJC</w:t>
            </w:r>
          </w:p>
        </w:tc>
        <w:tc>
          <w:tcPr>
            <w:tcW w:type="dxa" w:w="7223"/>
          </w:tcPr>
          <w:p>
            <w:pPr>
              <w:spacing w:after="20" w:before="20"/>
            </w:pPr>
            <w:r/>
            <w:r>
              <w:rPr>
                <w:sz w:val="18"/>
              </w:rPr>
              <w:t>Double-Jacket Chamber</w:t>
            </w:r>
          </w:p>
        </w:tc>
      </w:tr>
      <w:tr>
        <w:tc>
          <w:tcPr>
            <w:tcW w:type="dxa" w:w="1806"/>
          </w:tcPr>
          <w:p>
            <w:pPr>
              <w:spacing w:after="20" w:before="20"/>
            </w:pPr>
            <w:r>
              <w:rPr>
                <w:sz w:val="18"/>
                <w:szCs w:val="18"/>
              </w:rPr>
              <w:t xml:space="preserve">DRAM</w:t>
            </w:r>
          </w:p>
        </w:tc>
        <w:tc>
          <w:tcPr>
            <w:tcW w:type="dxa" w:w="7223"/>
          </w:tcPr>
          <w:p>
            <w:pPr>
              <w:spacing w:after="20" w:before="20"/>
            </w:pPr>
            <w:r>
              <w:rPr>
                <w:sz w:val="18"/>
                <w:szCs w:val="18"/>
              </w:rPr>
              <w:t xml:space="preserve">Data RAM — the ESP32-S3's internal data memory</w:t>
            </w:r>
          </w:p>
        </w:tc>
      </w:tr>
      <w:tr>
        <w:tc>
          <w:tcPr>
            <w:tcW w:type="dxa" w:w="1806"/>
          </w:tcPr>
          <w:p>
            <w:pPr>
              <w:spacing w:after="20" w:before="20"/>
            </w:pPr>
            <w:r>
              <w:rPr>
                <w:sz w:val="18"/>
                <w:szCs w:val="18"/>
              </w:rPr>
              <w:t xml:space="preserve">DT</w:t>
            </w:r>
          </w:p>
        </w:tc>
        <w:tc>
          <w:tcPr>
            <w:tcW w:type="dxa" w:w="7223"/>
          </w:tcPr>
          <w:p>
            <w:pPr>
              <w:spacing w:after="20" w:before="20"/>
            </w:pPr>
            <w:r>
              <w:rPr>
                <w:sz w:val="18"/>
                <w:szCs w:val="18"/>
              </w:rPr>
              <w:t xml:space="preserve">Devicetree — Zephyr's hardware description</w:t>
            </w:r>
          </w:p>
        </w:tc>
      </w:tr>
      <w:tr>
        <w:tc>
          <w:tcPr>
            <w:tcW w:type="dxa" w:w="1806"/>
          </w:tcPr>
          <w:p>
            <w:pPr>
              <w:spacing w:after="20" w:before="20"/>
            </w:pPr>
            <w:r/>
            <w:r>
              <w:rPr>
                <w:b/>
                <w:sz w:val="18"/>
              </w:rPr>
              <w:t>DUT</w:t>
            </w:r>
          </w:p>
        </w:tc>
        <w:tc>
          <w:tcPr>
            <w:tcW w:type="dxa" w:w="7223"/>
          </w:tcPr>
          <w:p>
            <w:pPr>
              <w:spacing w:after="20" w:before="20"/>
            </w:pPr>
            <w:r/>
            <w:r>
              <w:rPr>
                <w:sz w:val="18"/>
              </w:rPr>
              <w:t>Device Under Test</w:t>
            </w:r>
          </w:p>
        </w:tc>
      </w:tr>
      <w:tr>
        <w:tc>
          <w:tcPr>
            <w:tcW w:type="dxa" w:w="1806"/>
          </w:tcPr>
          <w:p>
            <w:pPr>
              <w:spacing w:after="20" w:before="20"/>
            </w:pPr>
            <w:r>
              <w:rPr>
                <w:sz w:val="18"/>
                <w:szCs w:val="18"/>
              </w:rPr>
              <w:t xml:space="preserve">EMI</w:t>
            </w:r>
          </w:p>
        </w:tc>
        <w:tc>
          <w:tcPr>
            <w:tcW w:type="dxa" w:w="7223"/>
          </w:tcPr>
          <w:p>
            <w:pPr>
              <w:spacing w:after="20" w:before="20"/>
            </w:pPr>
            <w:r>
              <w:rPr>
                <w:sz w:val="18"/>
                <w:szCs w:val="18"/>
              </w:rPr>
              <w:t xml:space="preserve">Electromagnetic Interference</w:t>
            </w:r>
          </w:p>
        </w:tc>
      </w:tr>
      <w:tr>
        <w:tc>
          <w:tcPr>
            <w:tcW w:type="dxa" w:w="1806"/>
          </w:tcPr>
          <w:p>
            <w:pPr>
              <w:spacing w:after="20" w:before="20"/>
            </w:pPr>
            <w:r/>
            <w:r>
              <w:rPr>
                <w:b/>
                <w:sz w:val="18"/>
              </w:rPr>
              <w:t>EPP</w:t>
            </w:r>
          </w:p>
        </w:tc>
        <w:tc>
          <w:tcPr>
            <w:tcW w:type="dxa" w:w="7223"/>
          </w:tcPr>
          <w:p>
            <w:pPr>
              <w:spacing w:after="20" w:before="20"/>
            </w:pPr>
            <w:r/>
            <w:r>
              <w:rPr>
                <w:sz w:val="18"/>
              </w:rPr>
              <w:t>Expanded Polypropylene</w:t>
            </w:r>
          </w:p>
        </w:tc>
      </w:tr>
      <w:tr>
        <w:tc>
          <w:tcPr>
            <w:tcW w:type="dxa" w:w="1806"/>
          </w:tcPr>
          <w:p>
            <w:pPr>
              <w:spacing w:after="20" w:before="20"/>
            </w:pPr>
            <w:r/>
            <w:r>
              <w:rPr>
                <w:b/>
                <w:sz w:val="18"/>
              </w:rPr>
              <w:t>ESD</w:t>
            </w:r>
          </w:p>
        </w:tc>
        <w:tc>
          <w:tcPr>
            <w:tcW w:type="dxa" w:w="7223"/>
          </w:tcPr>
          <w:p>
            <w:pPr>
              <w:spacing w:after="20" w:before="20"/>
            </w:pPr>
            <w:r/>
            <w:r>
              <w:rPr>
                <w:sz w:val="18"/>
              </w:rPr>
              <w:t>Electrostatic Discharge</w:t>
            </w:r>
          </w:p>
        </w:tc>
      </w:tr>
      <w:tr>
        <w:tc>
          <w:tcPr>
            <w:tcW w:type="dxa" w:w="1806"/>
          </w:tcPr>
          <w:p>
            <w:pPr>
              <w:spacing w:after="20" w:before="20"/>
            </w:pPr>
            <w:r/>
            <w:r>
              <w:rPr>
                <w:b/>
                <w:sz w:val="18"/>
              </w:rPr>
              <w:t>FF</w:t>
            </w:r>
          </w:p>
        </w:tc>
        <w:tc>
          <w:tcPr>
            <w:tcW w:type="dxa" w:w="7223"/>
          </w:tcPr>
          <w:p>
            <w:pPr>
              <w:spacing w:after="20" w:before="20"/>
            </w:pPr>
            <w:r/>
            <w:r>
              <w:rPr>
                <w:sz w:val="18"/>
              </w:rPr>
              <w:t>Feedforward</w:t>
            </w:r>
          </w:p>
        </w:tc>
      </w:tr>
      <w:tr>
        <w:tc>
          <w:tcPr>
            <w:tcW w:type="dxa" w:w="1806"/>
          </w:tcPr>
          <w:p>
            <w:pPr>
              <w:spacing w:after="20" w:before="20"/>
            </w:pPr>
            <w:r>
              <w:rPr>
                <w:sz w:val="18"/>
                <w:szCs w:val="18"/>
              </w:rPr>
              <w:t xml:space="preserve">GPIO</w:t>
            </w:r>
          </w:p>
        </w:tc>
        <w:tc>
          <w:tcPr>
            <w:tcW w:type="dxa" w:w="7223"/>
          </w:tcPr>
          <w:p>
            <w:pPr>
              <w:spacing w:after="20" w:before="20"/>
            </w:pPr>
            <w:r>
              <w:rPr>
                <w:sz w:val="18"/>
                <w:szCs w:val="18"/>
              </w:rPr>
              <w:t xml:space="preserve">General-Purpose Input/Output</w:t>
            </w:r>
          </w:p>
        </w:tc>
      </w:tr>
      <w:tr>
        <w:tc>
          <w:tcPr>
            <w:tcW w:type="dxa" w:w="1806"/>
          </w:tcPr>
          <w:p>
            <w:pPr>
              <w:spacing w:after="20" w:before="20"/>
            </w:pPr>
            <w:r>
              <w:rPr>
                <w:sz w:val="18"/>
                <w:szCs w:val="18"/>
              </w:rPr>
              <w:t xml:space="preserve">HTTP</w:t>
            </w:r>
          </w:p>
        </w:tc>
        <w:tc>
          <w:tcPr>
            <w:tcW w:type="dxa" w:w="7223"/>
          </w:tcPr>
          <w:p>
            <w:pPr>
              <w:spacing w:after="20" w:before="20"/>
            </w:pPr>
            <w:r>
              <w:rPr>
                <w:sz w:val="18"/>
                <w:szCs w:val="18"/>
              </w:rPr>
              <w:t xml:space="preserve">Hypertext Transfer Protocol</w:t>
            </w:r>
          </w:p>
        </w:tc>
      </w:tr>
      <w:tr>
        <w:tc>
          <w:tcPr>
            <w:tcW w:type="dxa" w:w="1806"/>
          </w:tcPr>
          <w:p>
            <w:pPr>
              <w:spacing w:after="20" w:before="20"/>
            </w:pPr>
            <w:r/>
            <w:r>
              <w:rPr>
                <w:b/>
                <w:sz w:val="18"/>
              </w:rPr>
              <w:t>HX</w:t>
            </w:r>
          </w:p>
        </w:tc>
        <w:tc>
          <w:tcPr>
            <w:tcW w:type="dxa" w:w="7223"/>
          </w:tcPr>
          <w:p>
            <w:pPr>
              <w:spacing w:after="20" w:before="20"/>
            </w:pPr>
            <w:r/>
            <w:r>
              <w:rPr>
                <w:sz w:val="18"/>
              </w:rPr>
              <w:t>Heat Exchanger</w:t>
            </w:r>
          </w:p>
        </w:tc>
      </w:tr>
      <w:tr>
        <w:tc>
          <w:tcPr>
            <w:tcW w:type="dxa" w:w="1806"/>
          </w:tcPr>
          <w:p>
            <w:pPr>
              <w:spacing w:after="20" w:before="20"/>
            </w:pPr>
            <w:r/>
            <w:r>
              <w:rPr>
                <w:b/>
                <w:sz w:val="18"/>
              </w:rPr>
              <w:t>I²C</w:t>
            </w:r>
          </w:p>
        </w:tc>
        <w:tc>
          <w:tcPr>
            <w:tcW w:type="dxa" w:w="7223"/>
          </w:tcPr>
          <w:p>
            <w:pPr>
              <w:spacing w:after="20" w:before="20"/>
            </w:pPr>
            <w:r/>
            <w:r>
              <w:rPr>
                <w:sz w:val="18"/>
              </w:rPr>
              <w:t>Inter-Integrated Circuit (two-wire serial bus)</w:t>
            </w:r>
          </w:p>
        </w:tc>
      </w:tr>
      <w:tr>
        <w:tc>
          <w:tcPr>
            <w:tcW w:type="dxa" w:w="1806"/>
          </w:tcPr>
          <w:p>
            <w:pPr>
              <w:spacing w:after="20" w:before="20"/>
            </w:pPr>
            <w:r/>
            <w:r>
              <w:rPr>
                <w:b/>
                <w:sz w:val="18"/>
              </w:rPr>
              <w:t>IMC</w:t>
            </w:r>
          </w:p>
        </w:tc>
        <w:tc>
          <w:tcPr>
            <w:tcW w:type="dxa" w:w="7223"/>
          </w:tcPr>
          <w:p>
            <w:pPr>
              <w:spacing w:after="20" w:before="20"/>
            </w:pPr>
            <w:r/>
            <w:r>
              <w:rPr>
                <w:sz w:val="18"/>
              </w:rPr>
              <w:t>Internal Model Control — the λ-tuning rule used for the guard PI</w:t>
            </w:r>
          </w:p>
        </w:tc>
      </w:tr>
      <w:tr>
        <w:tc>
          <w:tcPr>
            <w:tcW w:type="dxa" w:w="1806"/>
          </w:tcPr>
          <w:p>
            <w:pPr>
              <w:spacing w:after="20" w:before="20"/>
            </w:pPr>
            <w:r>
              <w:rPr>
                <w:sz w:val="18"/>
                <w:szCs w:val="18"/>
              </w:rPr>
              <w:t xml:space="preserve">IRAM</w:t>
            </w:r>
          </w:p>
        </w:tc>
        <w:tc>
          <w:tcPr>
            <w:tcW w:type="dxa" w:w="7223"/>
          </w:tcPr>
          <w:p>
            <w:pPr>
              <w:spacing w:after="20" w:before="20"/>
            </w:pPr>
            <w:r>
              <w:rPr>
                <w:sz w:val="18"/>
                <w:szCs w:val="18"/>
              </w:rPr>
              <w:t xml:space="preserve">Instruction RAM</w:t>
            </w:r>
          </w:p>
        </w:tc>
      </w:tr>
      <w:tr>
        <w:tc>
          <w:tcPr>
            <w:tcW w:type="dxa" w:w="1806"/>
          </w:tcPr>
          <w:p>
            <w:pPr>
              <w:spacing w:after="20" w:before="20"/>
            </w:pPr>
            <w:r>
              <w:rPr>
                <w:sz w:val="18"/>
                <w:szCs w:val="18"/>
              </w:rPr>
              <w:t xml:space="preserve">ISR</w:t>
            </w:r>
          </w:p>
        </w:tc>
        <w:tc>
          <w:tcPr>
            <w:tcW w:type="dxa" w:w="7223"/>
          </w:tcPr>
          <w:p>
            <w:pPr>
              <w:spacing w:after="20" w:before="20"/>
            </w:pPr>
            <w:r>
              <w:rPr>
                <w:sz w:val="18"/>
                <w:szCs w:val="18"/>
              </w:rPr>
              <w:t xml:space="preserve">Interrupt Service Routine</w:t>
            </w:r>
          </w:p>
        </w:tc>
      </w:tr>
      <w:tr>
        <w:tc>
          <w:tcPr>
            <w:tcW w:type="dxa" w:w="1806"/>
          </w:tcPr>
          <w:p>
            <w:pPr>
              <w:spacing w:after="20" w:before="20"/>
            </w:pPr>
            <w:r>
              <w:rPr>
                <w:sz w:val="18"/>
                <w:szCs w:val="18"/>
              </w:rPr>
              <w:t xml:space="preserve">JSON</w:t>
            </w:r>
          </w:p>
        </w:tc>
        <w:tc>
          <w:tcPr>
            <w:tcW w:type="dxa" w:w="7223"/>
          </w:tcPr>
          <w:p>
            <w:pPr>
              <w:spacing w:after="20" w:before="20"/>
            </w:pPr>
            <w:r>
              <w:rPr>
                <w:sz w:val="18"/>
                <w:szCs w:val="18"/>
              </w:rPr>
              <w:t xml:space="preserve">JavaScript Object Notation</w:t>
            </w:r>
          </w:p>
        </w:tc>
      </w:tr>
      <w:tr>
        <w:tc>
          <w:tcPr>
            <w:tcW w:type="dxa" w:w="1806"/>
          </w:tcPr>
          <w:p>
            <w:pPr>
              <w:spacing w:after="20" w:before="20"/>
            </w:pPr>
            <w:r>
              <w:rPr>
                <w:sz w:val="18"/>
                <w:szCs w:val="18"/>
              </w:rPr>
              <w:t xml:space="preserve">KF</w:t>
            </w:r>
          </w:p>
        </w:tc>
        <w:tc>
          <w:tcPr>
            <w:tcW w:type="dxa" w:w="7223"/>
          </w:tcPr>
          <w:p>
            <w:pPr>
              <w:spacing w:after="20" w:before="20"/>
            </w:pPr>
            <w:r>
              <w:rPr>
                <w:sz w:val="18"/>
                <w:szCs w:val="18"/>
              </w:rPr>
              <w:t xml:space="preserve">Kalman Filter</w:t>
            </w:r>
          </w:p>
        </w:tc>
      </w:tr>
      <w:tr>
        <w:tc>
          <w:tcPr>
            <w:tcW w:type="dxa" w:w="1806"/>
          </w:tcPr>
          <w:p>
            <w:pPr>
              <w:spacing w:after="20" w:before="20"/>
            </w:pPr>
            <w:r>
              <w:rPr>
                <w:sz w:val="18"/>
                <w:szCs w:val="18"/>
              </w:rPr>
              <w:t xml:space="preserve">LDO</w:t>
            </w:r>
          </w:p>
        </w:tc>
        <w:tc>
          <w:tcPr>
            <w:tcW w:type="dxa" w:w="7223"/>
          </w:tcPr>
          <w:p>
            <w:pPr>
              <w:spacing w:after="20" w:before="20"/>
            </w:pPr>
            <w:r>
              <w:rPr>
                <w:sz w:val="18"/>
                <w:szCs w:val="18"/>
              </w:rPr>
              <w:t xml:space="preserve">Low-Dropout linear regulator</w:t>
            </w:r>
          </w:p>
        </w:tc>
      </w:tr>
      <w:tr>
        <w:tc>
          <w:tcPr>
            <w:tcW w:type="dxa" w:w="1806"/>
          </w:tcPr>
          <w:p>
            <w:pPr>
              <w:spacing w:after="20" w:before="20"/>
            </w:pPr>
            <w:r>
              <w:rPr>
                <w:sz w:val="18"/>
                <w:szCs w:val="18"/>
              </w:rPr>
              <w:t xml:space="preserve">LSQ</w:t>
            </w:r>
          </w:p>
        </w:tc>
        <w:tc>
          <w:tcPr>
            <w:tcW w:type="dxa" w:w="7223"/>
          </w:tcPr>
          <w:p>
            <w:pPr>
              <w:spacing w:after="20" w:before="20"/>
            </w:pPr>
            <w:r>
              <w:rPr>
                <w:sz w:val="18"/>
                <w:szCs w:val="18"/>
              </w:rPr>
              <w:t xml:space="preserve">Least Squares</w:t>
            </w:r>
          </w:p>
        </w:tc>
      </w:tr>
      <w:tr>
        <w:tc>
          <w:tcPr>
            <w:tcW w:type="dxa" w:w="1806"/>
          </w:tcPr>
          <w:p>
            <w:pPr>
              <w:spacing w:after="20" w:before="20"/>
            </w:pPr>
            <w:r/>
            <w:r>
              <w:rPr>
                <w:b/>
                <w:sz w:val="18"/>
              </w:rPr>
              <w:t>LTI</w:t>
            </w:r>
          </w:p>
        </w:tc>
        <w:tc>
          <w:tcPr>
            <w:tcW w:type="dxa" w:w="7223"/>
          </w:tcPr>
          <w:p>
            <w:pPr>
              <w:spacing w:after="20" w:before="20"/>
            </w:pPr>
            <w:r/>
            <w:r>
              <w:rPr>
                <w:sz w:val="18"/>
              </w:rPr>
              <w:t>Linear Time-Invariant</w:t>
            </w:r>
          </w:p>
        </w:tc>
      </w:tr>
      <w:tr>
        <w:tc>
          <w:tcPr>
            <w:tcW w:type="dxa" w:w="1806"/>
          </w:tcPr>
          <w:p>
            <w:pPr>
              <w:spacing w:after="20" w:before="20"/>
            </w:pPr>
            <w:r>
              <w:rPr>
                <w:sz w:val="18"/>
                <w:szCs w:val="18"/>
              </w:rPr>
              <w:t xml:space="preserve">LVGL</w:t>
            </w:r>
          </w:p>
        </w:tc>
        <w:tc>
          <w:tcPr>
            <w:tcW w:type="dxa" w:w="7223"/>
          </w:tcPr>
          <w:p>
            <w:pPr>
              <w:spacing w:after="20" w:before="20"/>
            </w:pPr>
            <w:r>
              <w:rPr>
                <w:sz w:val="18"/>
                <w:szCs w:val="18"/>
              </w:rPr>
              <w:t xml:space="preserve">Light and Versatile Graphics Library — the embedded GUI toolkit</w:t>
            </w:r>
          </w:p>
        </w:tc>
      </w:tr>
      <w:tr>
        <w:tc>
          <w:tcPr>
            <w:tcW w:type="dxa" w:w="1806"/>
          </w:tcPr>
          <w:p>
            <w:pPr>
              <w:spacing w:after="20" w:before="20"/>
            </w:pPr>
            <w:r/>
            <w:r>
              <w:rPr>
                <w:b/>
                <w:sz w:val="18"/>
              </w:rPr>
              <w:t>MCU</w:t>
            </w:r>
          </w:p>
        </w:tc>
        <w:tc>
          <w:tcPr>
            <w:tcW w:type="dxa" w:w="7223"/>
          </w:tcPr>
          <w:p>
            <w:pPr>
              <w:spacing w:after="20" w:before="20"/>
            </w:pPr>
            <w:r/>
            <w:r>
              <w:rPr>
                <w:sz w:val="18"/>
              </w:rPr>
              <w:t>Microcontroller Unit</w:t>
            </w:r>
          </w:p>
        </w:tc>
      </w:tr>
      <w:tr>
        <w:tc>
          <w:tcPr>
            <w:tcW w:type="dxa" w:w="1806"/>
          </w:tcPr>
          <w:p>
            <w:pPr>
              <w:spacing w:after="20" w:before="20"/>
            </w:pPr>
            <w:r>
              <w:rPr>
                <w:sz w:val="18"/>
                <w:szCs w:val="18"/>
              </w:rPr>
              <w:t xml:space="preserve">MOSFET</w:t>
            </w:r>
          </w:p>
        </w:tc>
        <w:tc>
          <w:tcPr>
            <w:tcW w:type="dxa" w:w="7223"/>
          </w:tcPr>
          <w:p>
            <w:pPr>
              <w:spacing w:after="20" w:before="20"/>
            </w:pPr>
            <w:r>
              <w:rPr>
                <w:sz w:val="18"/>
                <w:szCs w:val="18"/>
              </w:rPr>
              <w:t xml:space="preserve">Metal-Oxide-Semiconductor Field-Effect Transistor</w:t>
            </w:r>
          </w:p>
        </w:tc>
      </w:tr>
      <w:tr>
        <w:tc>
          <w:tcPr>
            <w:tcW w:type="dxa" w:w="1806"/>
          </w:tcPr>
          <w:p>
            <w:pPr>
              <w:spacing w:after="20" w:before="20"/>
            </w:pPr>
            <w:r/>
            <w:r>
              <w:rPr>
                <w:b/>
                <w:sz w:val="18"/>
              </w:rPr>
              <w:t>NA</w:t>
            </w:r>
          </w:p>
        </w:tc>
        <w:tc>
          <w:tcPr>
            <w:tcW w:type="dxa" w:w="7223"/>
          </w:tcPr>
          <w:p>
            <w:pPr>
              <w:spacing w:after="20" w:before="20"/>
            </w:pPr>
            <w:r/>
            <w:r>
              <w:rPr>
                <w:sz w:val="18"/>
              </w:rPr>
              <w:t>Not Applicable</w:t>
            </w:r>
          </w:p>
        </w:tc>
      </w:tr>
      <w:tr>
        <w:tc>
          <w:tcPr>
            <w:tcW w:type="dxa" w:w="1806"/>
          </w:tcPr>
          <w:p>
            <w:pPr>
              <w:spacing w:after="20" w:before="20"/>
            </w:pPr>
            <w:r>
              <w:rPr>
                <w:sz w:val="18"/>
                <w:szCs w:val="18"/>
              </w:rPr>
              <w:t xml:space="preserve">NVS</w:t>
            </w:r>
          </w:p>
        </w:tc>
        <w:tc>
          <w:tcPr>
            <w:tcW w:type="dxa" w:w="7223"/>
          </w:tcPr>
          <w:p>
            <w:pPr>
              <w:spacing w:after="20" w:before="20"/>
            </w:pPr>
            <w:r>
              <w:rPr>
                <w:sz w:val="18"/>
                <w:szCs w:val="18"/>
              </w:rPr>
              <w:t xml:space="preserve">Non-Volatile Storage — the flash backend behind Zephyr's settings subsystem</w:t>
            </w:r>
          </w:p>
        </w:tc>
      </w:tr>
      <w:tr>
        <w:tc>
          <w:tcPr>
            <w:tcW w:type="dxa" w:w="1806"/>
          </w:tcPr>
          <w:p>
            <w:pPr>
              <w:spacing w:after="20" w:before="20"/>
            </w:pPr>
            <w:r>
              <w:rPr>
                <w:sz w:val="18"/>
                <w:szCs w:val="18"/>
              </w:rPr>
              <w:t xml:space="preserve">OCP</w:t>
            </w:r>
          </w:p>
        </w:tc>
        <w:tc>
          <w:tcPr>
            <w:tcW w:type="dxa" w:w="7223"/>
          </w:tcPr>
          <w:p>
            <w:pPr>
              <w:spacing w:after="20" w:before="20"/>
            </w:pPr>
            <w:r>
              <w:rPr>
                <w:sz w:val="18"/>
                <w:szCs w:val="18"/>
              </w:rPr>
              <w:t xml:space="preserve">Over-Current Protection</w:t>
            </w:r>
          </w:p>
        </w:tc>
      </w:tr>
      <w:tr>
        <w:tc>
          <w:tcPr>
            <w:tcW w:type="dxa" w:w="1806"/>
          </w:tcPr>
          <w:p>
            <w:pPr>
              <w:spacing w:after="20" w:before="20"/>
            </w:pPr>
            <w:r>
              <w:rPr>
                <w:sz w:val="18"/>
                <w:szCs w:val="18"/>
              </w:rPr>
              <w:t xml:space="preserve">OVP</w:t>
            </w:r>
          </w:p>
        </w:tc>
        <w:tc>
          <w:tcPr>
            <w:tcW w:type="dxa" w:w="7223"/>
          </w:tcPr>
          <w:p>
            <w:pPr>
              <w:spacing w:after="20" w:before="20"/>
            </w:pPr>
            <w:r>
              <w:rPr>
                <w:sz w:val="18"/>
                <w:szCs w:val="18"/>
              </w:rPr>
              <w:t xml:space="preserve">Over-Voltage Protection</w:t>
            </w:r>
          </w:p>
        </w:tc>
      </w:tr>
      <w:tr>
        <w:tc>
          <w:tcPr>
            <w:tcW w:type="dxa" w:w="1806"/>
          </w:tcPr>
          <w:p>
            <w:pPr>
              <w:spacing w:after="20" w:before="20"/>
            </w:pPr>
            <w:r>
              <w:rPr>
                <w:sz w:val="18"/>
                <w:szCs w:val="18"/>
              </w:rPr>
              <w:t xml:space="preserve">PCB</w:t>
            </w:r>
          </w:p>
        </w:tc>
        <w:tc>
          <w:tcPr>
            <w:tcW w:type="dxa" w:w="7223"/>
          </w:tcPr>
          <w:p>
            <w:pPr>
              <w:spacing w:after="20" w:before="20"/>
            </w:pPr>
            <w:r>
              <w:rPr>
                <w:sz w:val="18"/>
                <w:szCs w:val="18"/>
              </w:rPr>
              <w:t xml:space="preserve">Printed Circuit Board</w:t>
            </w:r>
          </w:p>
        </w:tc>
      </w:tr>
      <w:tr>
        <w:tc>
          <w:tcPr>
            <w:tcW w:type="dxa" w:w="1806"/>
          </w:tcPr>
          <w:p>
            <w:pPr>
              <w:spacing w:after="20" w:before="20"/>
            </w:pPr>
            <w:r>
              <w:rPr>
                <w:sz w:val="18"/>
                <w:szCs w:val="18"/>
              </w:rPr>
              <w:t xml:space="preserve">PCNT</w:t>
            </w:r>
          </w:p>
        </w:tc>
        <w:tc>
          <w:tcPr>
            <w:tcW w:type="dxa" w:w="7223"/>
          </w:tcPr>
          <w:p>
            <w:pPr>
              <w:spacing w:after="20" w:before="20"/>
            </w:pPr>
            <w:r>
              <w:rPr>
                <w:sz w:val="18"/>
                <w:szCs w:val="18"/>
              </w:rPr>
              <w:t xml:space="preserve">Pulse Counter — the ESP32-S3 peripheral used for the turbine flow meter</w:t>
            </w:r>
          </w:p>
        </w:tc>
      </w:tr>
      <w:tr>
        <w:tc>
          <w:tcPr>
            <w:tcW w:type="dxa" w:w="1806"/>
          </w:tcPr>
          <w:p>
            <w:pPr>
              <w:spacing w:after="20" w:before="20"/>
            </w:pPr>
            <w:r/>
            <w:r>
              <w:rPr>
                <w:b/>
                <w:sz w:val="18"/>
              </w:rPr>
              <w:t>PI / PID</w:t>
            </w:r>
          </w:p>
        </w:tc>
        <w:tc>
          <w:tcPr>
            <w:tcW w:type="dxa" w:w="7223"/>
          </w:tcPr>
          <w:p>
            <w:pPr>
              <w:spacing w:after="20" w:before="20"/>
            </w:pPr>
            <w:r/>
            <w:r>
              <w:rPr>
                <w:sz w:val="18"/>
              </w:rPr>
              <w:t>Proportional-Integral / Proportional-Integral-Derivative controller</w:t>
            </w:r>
          </w:p>
        </w:tc>
      </w:tr>
      <w:tr>
        <w:tc>
          <w:tcPr>
            <w:tcW w:type="dxa" w:w="1806"/>
          </w:tcPr>
          <w:p>
            <w:pPr>
              <w:spacing w:after="20" w:before="20"/>
            </w:pPr>
            <w:r>
              <w:rPr>
                <w:sz w:val="18"/>
                <w:szCs w:val="18"/>
              </w:rPr>
              <w:t xml:space="preserve">POST</w:t>
            </w:r>
          </w:p>
        </w:tc>
        <w:tc>
          <w:tcPr>
            <w:tcW w:type="dxa" w:w="7223"/>
          </w:tcPr>
          <w:p>
            <w:pPr>
              <w:spacing w:after="20" w:before="20"/>
            </w:pPr>
            <w:r>
              <w:rPr>
                <w:sz w:val="18"/>
                <w:szCs w:val="18"/>
              </w:rPr>
              <w:t xml:space="preserve">Power-On Self-Test</w:t>
            </w:r>
          </w:p>
        </w:tc>
      </w:tr>
      <w:tr>
        <w:tc>
          <w:tcPr>
            <w:tcW w:type="dxa" w:w="1806"/>
          </w:tcPr>
          <w:p>
            <w:pPr>
              <w:spacing w:after="20" w:before="20"/>
            </w:pPr>
            <w:r>
              <w:rPr>
                <w:sz w:val="18"/>
                <w:szCs w:val="18"/>
              </w:rPr>
              <w:t xml:space="preserve">PSRAM</w:t>
            </w:r>
          </w:p>
        </w:tc>
        <w:tc>
          <w:tcPr>
            <w:tcW w:type="dxa" w:w="7223"/>
          </w:tcPr>
          <w:p>
            <w:pPr>
              <w:spacing w:after="20" w:before="20"/>
            </w:pPr>
            <w:r>
              <w:rPr>
                <w:sz w:val="18"/>
                <w:szCs w:val="18"/>
              </w:rPr>
              <w:t xml:space="preserve">Pseudo-Static RAM — the external RAM on the ESP32-S3-N8R8 module</w:t>
            </w:r>
          </w:p>
        </w:tc>
      </w:tr>
      <w:tr>
        <w:tc>
          <w:tcPr>
            <w:tcW w:type="dxa" w:w="1806"/>
          </w:tcPr>
          <w:p>
            <w:pPr>
              <w:spacing w:after="20" w:before="20"/>
            </w:pPr>
            <w:r/>
            <w:r>
              <w:rPr>
                <w:b/>
                <w:sz w:val="18"/>
              </w:rPr>
              <w:t>PWM</w:t>
            </w:r>
          </w:p>
        </w:tc>
        <w:tc>
          <w:tcPr>
            <w:tcW w:type="dxa" w:w="7223"/>
          </w:tcPr>
          <w:p>
            <w:pPr>
              <w:spacing w:after="20" w:before="20"/>
            </w:pPr>
            <w:r/>
            <w:r>
              <w:rPr>
                <w:sz w:val="18"/>
              </w:rPr>
              <w:t>Pulse Width Modulation</w:t>
            </w:r>
          </w:p>
        </w:tc>
      </w:tr>
      <w:tr>
        <w:tc>
          <w:tcPr>
            <w:tcW w:type="dxa" w:w="1806"/>
          </w:tcPr>
          <w:p>
            <w:pPr>
              <w:spacing w:after="20" w:before="20"/>
            </w:pPr>
            <w:r/>
            <w:r>
              <w:rPr>
                <w:b/>
                <w:sz w:val="18"/>
              </w:rPr>
              <w:t>RK4</w:t>
            </w:r>
          </w:p>
        </w:tc>
        <w:tc>
          <w:tcPr>
            <w:tcW w:type="dxa" w:w="7223"/>
          </w:tcPr>
          <w:p>
            <w:pPr>
              <w:spacing w:after="20" w:before="20"/>
            </w:pPr>
            <w:r/>
            <w:r>
              <w:rPr>
                <w:sz w:val="18"/>
              </w:rPr>
              <w:t>Fourth-order Runge-Kutta fixed-step integrator</w:t>
            </w:r>
          </w:p>
        </w:tc>
      </w:tr>
      <w:tr>
        <w:tc>
          <w:tcPr>
            <w:tcW w:type="dxa" w:w="1806"/>
          </w:tcPr>
          <w:p>
            <w:pPr>
              <w:spacing w:after="20" w:before="20"/>
            </w:pPr>
            <w:r>
              <w:rPr>
                <w:sz w:val="18"/>
                <w:szCs w:val="18"/>
              </w:rPr>
              <w:t xml:space="preserve">RMS</w:t>
            </w:r>
          </w:p>
        </w:tc>
        <w:tc>
          <w:tcPr>
            <w:tcW w:type="dxa" w:w="7223"/>
          </w:tcPr>
          <w:p>
            <w:pPr>
              <w:spacing w:after="20" w:before="20"/>
            </w:pPr>
            <w:r>
              <w:rPr>
                <w:sz w:val="18"/>
                <w:szCs w:val="18"/>
              </w:rPr>
              <w:t xml:space="preserve">Root Mean Square</w:t>
            </w:r>
          </w:p>
        </w:tc>
      </w:tr>
      <w:tr>
        <w:tc>
          <w:tcPr>
            <w:tcW w:type="dxa" w:w="1806"/>
          </w:tcPr>
          <w:p>
            <w:pPr>
              <w:spacing w:after="20" w:before="20"/>
            </w:pPr>
            <w:r/>
            <w:r>
              <w:rPr>
                <w:b/>
                <w:sz w:val="18"/>
              </w:rPr>
              <w:t>RSS</w:t>
            </w:r>
          </w:p>
        </w:tc>
        <w:tc>
          <w:tcPr>
            <w:tcW w:type="dxa" w:w="7223"/>
          </w:tcPr>
          <w:p>
            <w:pPr>
              <w:spacing w:after="20" w:before="20"/>
            </w:pPr>
            <w:r/>
            <w:r>
              <w:rPr>
                <w:sz w:val="18"/>
              </w:rPr>
              <w:t>Root Sum of Squares</w:t>
            </w:r>
          </w:p>
        </w:tc>
      </w:tr>
      <w:tr>
        <w:tc>
          <w:tcPr>
            <w:tcW w:type="dxa" w:w="1806"/>
          </w:tcPr>
          <w:p>
            <w:pPr>
              <w:spacing w:after="20" w:before="20"/>
            </w:pPr>
            <w:r/>
            <w:r>
              <w:rPr>
                <w:b/>
                <w:sz w:val="18"/>
              </w:rPr>
              <w:t>RTD</w:t>
            </w:r>
          </w:p>
        </w:tc>
        <w:tc>
          <w:tcPr>
            <w:tcW w:type="dxa" w:w="7223"/>
          </w:tcPr>
          <w:p>
            <w:pPr>
              <w:spacing w:after="20" w:before="20"/>
            </w:pPr>
            <w:r/>
            <w:r>
              <w:rPr>
                <w:sz w:val="18"/>
              </w:rPr>
              <w:t>Resistance Temperature Detector (Pt100 / Pt1000)</w:t>
            </w:r>
          </w:p>
        </w:tc>
      </w:tr>
      <w:tr>
        <w:tc>
          <w:tcPr>
            <w:tcW w:type="dxa" w:w="1806"/>
          </w:tcPr>
          <w:p>
            <w:pPr>
              <w:spacing w:after="20" w:before="20"/>
            </w:pPr>
            <w:r>
              <w:rPr>
                <w:sz w:val="18"/>
                <w:szCs w:val="18"/>
              </w:rPr>
              <w:t xml:space="preserve">RTOS</w:t>
            </w:r>
          </w:p>
        </w:tc>
        <w:tc>
          <w:tcPr>
            <w:tcW w:type="dxa" w:w="7223"/>
          </w:tcPr>
          <w:p>
            <w:pPr>
              <w:spacing w:after="20" w:before="20"/>
            </w:pPr>
            <w:r>
              <w:rPr>
                <w:sz w:val="18"/>
                <w:szCs w:val="18"/>
              </w:rPr>
              <w:t xml:space="preserve">Real-Time Operating System</w:t>
            </w:r>
          </w:p>
        </w:tc>
      </w:tr>
      <w:tr>
        <w:tc>
          <w:tcPr>
            <w:tcW w:type="dxa" w:w="1806"/>
          </w:tcPr>
          <w:p>
            <w:pPr>
              <w:spacing w:after="20" w:before="20"/>
            </w:pPr>
            <w:r>
              <w:rPr>
                <w:sz w:val="18"/>
                <w:szCs w:val="18"/>
              </w:rPr>
              <w:t xml:space="preserve">SCP</w:t>
            </w:r>
          </w:p>
        </w:tc>
        <w:tc>
          <w:tcPr>
            <w:tcW w:type="dxa" w:w="7223"/>
          </w:tcPr>
          <w:p>
            <w:pPr>
              <w:spacing w:after="20" w:before="20"/>
            </w:pPr>
            <w:r>
              <w:rPr>
                <w:sz w:val="18"/>
                <w:szCs w:val="18"/>
              </w:rPr>
              <w:t xml:space="preserve">Short-Circuit Protection</w:t>
            </w:r>
          </w:p>
        </w:tc>
      </w:tr>
      <w:tr>
        <w:tc>
          <w:tcPr>
            <w:tcW w:type="dxa" w:w="1806"/>
          </w:tcPr>
          <w:p>
            <w:pPr>
              <w:spacing w:after="20" w:before="20"/>
            </w:pPr>
            <w:r>
              <w:rPr>
                <w:sz w:val="18"/>
                <w:szCs w:val="18"/>
              </w:rPr>
              <w:t xml:space="preserve">SDK</w:t>
            </w:r>
          </w:p>
        </w:tc>
        <w:tc>
          <w:tcPr>
            <w:tcW w:type="dxa" w:w="7223"/>
          </w:tcPr>
          <w:p>
            <w:pPr>
              <w:spacing w:after="20" w:before="20"/>
            </w:pPr>
            <w:r>
              <w:rPr>
                <w:sz w:val="18"/>
                <w:szCs w:val="18"/>
              </w:rPr>
              <w:t xml:space="preserve">Software Development Kit</w:t>
            </w:r>
          </w:p>
        </w:tc>
      </w:tr>
      <w:tr>
        <w:tc>
          <w:tcPr>
            <w:tcW w:type="dxa" w:w="1806"/>
          </w:tcPr>
          <w:p>
            <w:pPr>
              <w:spacing w:after="20" w:before="20"/>
            </w:pPr>
            <w:r>
              <w:rPr>
                <w:sz w:val="18"/>
                <w:szCs w:val="18"/>
              </w:rPr>
              <w:t xml:space="preserve">SE</w:t>
            </w:r>
          </w:p>
        </w:tc>
        <w:tc>
          <w:tcPr>
            <w:tcW w:type="dxa" w:w="7223"/>
          </w:tcPr>
          <w:p>
            <w:pPr>
              <w:spacing w:after="20" w:before="20"/>
            </w:pPr>
            <w:r>
              <w:rPr>
                <w:sz w:val="18"/>
                <w:szCs w:val="18"/>
              </w:rPr>
              <w:t xml:space="preserve">Standard Error (of the mean)</w:t>
            </w:r>
          </w:p>
        </w:tc>
      </w:tr>
      <w:tr>
        <w:tc>
          <w:tcPr>
            <w:tcW w:type="dxa" w:w="1806"/>
          </w:tcPr>
          <w:p>
            <w:pPr>
              <w:spacing w:after="20" w:before="20"/>
            </w:pPr>
            <w:r/>
            <w:r>
              <w:rPr>
                <w:b/>
                <w:sz w:val="18"/>
              </w:rPr>
              <w:t>SISO</w:t>
            </w:r>
          </w:p>
        </w:tc>
        <w:tc>
          <w:tcPr>
            <w:tcW w:type="dxa" w:w="7223"/>
          </w:tcPr>
          <w:p>
            <w:pPr>
              <w:spacing w:after="20" w:before="20"/>
            </w:pPr>
            <w:r/>
            <w:r>
              <w:rPr>
                <w:sz w:val="18"/>
              </w:rPr>
              <w:t>Single-Input Single-Output</w:t>
            </w:r>
          </w:p>
        </w:tc>
      </w:tr>
      <w:tr>
        <w:tc>
          <w:tcPr>
            <w:tcW w:type="dxa" w:w="1806"/>
          </w:tcPr>
          <w:p>
            <w:pPr>
              <w:spacing w:after="20" w:before="20"/>
            </w:pPr>
            <w:r>
              <w:rPr>
                <w:sz w:val="18"/>
                <w:szCs w:val="18"/>
              </w:rPr>
              <w:t xml:space="preserve">SMF</w:t>
            </w:r>
          </w:p>
        </w:tc>
        <w:tc>
          <w:tcPr>
            <w:tcW w:type="dxa" w:w="7223"/>
          </w:tcPr>
          <w:p>
            <w:pPr>
              <w:spacing w:after="20" w:before="20"/>
            </w:pPr>
            <w:r>
              <w:rPr>
                <w:sz w:val="18"/>
                <w:szCs w:val="18"/>
              </w:rPr>
              <w:t xml:space="preserve">State Machine Framework — the Zephyr subsystem the supervisor is built on</w:t>
            </w:r>
          </w:p>
        </w:tc>
      </w:tr>
      <w:tr>
        <w:tc>
          <w:tcPr>
            <w:tcW w:type="dxa" w:w="1806"/>
          </w:tcPr>
          <w:p>
            <w:pPr>
              <w:spacing w:after="20" w:before="20"/>
            </w:pPr>
            <w:r>
              <w:rPr>
                <w:sz w:val="18"/>
                <w:szCs w:val="18"/>
              </w:rPr>
              <w:t xml:space="preserve">SPI</w:t>
            </w:r>
          </w:p>
        </w:tc>
        <w:tc>
          <w:tcPr>
            <w:tcW w:type="dxa" w:w="7223"/>
          </w:tcPr>
          <w:p>
            <w:pPr>
              <w:spacing w:after="20" w:before="20"/>
            </w:pPr>
            <w:r>
              <w:rPr>
                <w:sz w:val="18"/>
                <w:szCs w:val="18"/>
              </w:rPr>
              <w:t xml:space="preserve">Serial Peripheral Interface</w:t>
            </w:r>
          </w:p>
        </w:tc>
      </w:tr>
      <w:tr>
        <w:tc>
          <w:tcPr>
            <w:tcW w:type="dxa" w:w="1806"/>
          </w:tcPr>
          <w:p>
            <w:pPr>
              <w:spacing w:after="20" w:before="20"/>
            </w:pPr>
            <w:r/>
            <w:r>
              <w:rPr>
                <w:b/>
                <w:sz w:val="18"/>
              </w:rPr>
              <w:t>TIM</w:t>
            </w:r>
          </w:p>
        </w:tc>
        <w:tc>
          <w:tcPr>
            <w:tcW w:type="dxa" w:w="7223"/>
          </w:tcPr>
          <w:p>
            <w:pPr>
              <w:spacing w:after="20" w:before="20"/>
            </w:pPr>
            <w:r/>
            <w:r>
              <w:rPr>
                <w:sz w:val="18"/>
              </w:rPr>
              <w:t>Thermal Interface Material</w:t>
            </w:r>
          </w:p>
        </w:tc>
      </w:tr>
      <w:tr>
        <w:tc>
          <w:tcPr>
            <w:tcW w:type="dxa" w:w="1806"/>
          </w:tcPr>
          <w:p>
            <w:pPr>
              <w:spacing w:after="20" w:before="20"/>
            </w:pPr>
            <w:r>
              <w:rPr>
                <w:sz w:val="18"/>
                <w:szCs w:val="18"/>
              </w:rPr>
              <w:t xml:space="preserve">TLS</w:t>
            </w:r>
          </w:p>
        </w:tc>
        <w:tc>
          <w:tcPr>
            <w:tcW w:type="dxa" w:w="7223"/>
          </w:tcPr>
          <w:p>
            <w:pPr>
              <w:spacing w:after="20" w:before="20"/>
            </w:pPr>
            <w:r>
              <w:rPr>
                <w:sz w:val="18"/>
                <w:szCs w:val="18"/>
              </w:rPr>
              <w:t xml:space="preserve">Transport Layer Security</w:t>
            </w:r>
          </w:p>
        </w:tc>
      </w:tr>
      <w:tr>
        <w:tc>
          <w:tcPr>
            <w:tcW w:type="dxa" w:w="1806"/>
          </w:tcPr>
          <w:p>
            <w:pPr>
              <w:spacing w:after="20" w:before="20"/>
            </w:pPr>
            <w:r>
              <w:rPr>
                <w:sz w:val="18"/>
                <w:szCs w:val="18"/>
              </w:rPr>
              <w:t xml:space="preserve">TVS</w:t>
            </w:r>
          </w:p>
        </w:tc>
        <w:tc>
          <w:tcPr>
            <w:tcW w:type="dxa" w:w="7223"/>
          </w:tcPr>
          <w:p>
            <w:pPr>
              <w:spacing w:after="20" w:before="20"/>
            </w:pPr>
            <w:r>
              <w:rPr>
                <w:sz w:val="18"/>
                <w:szCs w:val="18"/>
              </w:rPr>
              <w:t xml:space="preserve">Transient Voltage Suppressor</w:t>
            </w:r>
          </w:p>
        </w:tc>
      </w:tr>
      <w:tr>
        <w:tc>
          <w:tcPr>
            <w:tcW w:type="dxa" w:w="1806"/>
          </w:tcPr>
          <w:p>
            <w:pPr>
              <w:spacing w:after="20" w:before="20"/>
            </w:pPr>
            <w:r>
              <w:rPr>
                <w:sz w:val="18"/>
                <w:szCs w:val="18"/>
              </w:rPr>
              <w:t xml:space="preserve">UART</w:t>
            </w:r>
          </w:p>
        </w:tc>
        <w:tc>
          <w:tcPr>
            <w:tcW w:type="dxa" w:w="7223"/>
          </w:tcPr>
          <w:p>
            <w:pPr>
              <w:spacing w:after="20" w:before="20"/>
            </w:pPr>
            <w:r>
              <w:rPr>
                <w:sz w:val="18"/>
                <w:szCs w:val="18"/>
              </w:rPr>
              <w:t xml:space="preserve">Universal Asynchronous Receiver/Transmitter</w:t>
            </w:r>
          </w:p>
        </w:tc>
      </w:tr>
      <w:tr>
        <w:tc>
          <w:tcPr>
            <w:tcW w:type="dxa" w:w="1806"/>
          </w:tcPr>
          <w:p>
            <w:pPr>
              <w:spacing w:after="20" w:before="20"/>
            </w:pPr>
            <w:r/>
            <w:r>
              <w:rPr>
                <w:b/>
                <w:sz w:val="18"/>
              </w:rPr>
              <w:t>ULV</w:t>
            </w:r>
          </w:p>
        </w:tc>
        <w:tc>
          <w:tcPr>
            <w:tcW w:type="dxa" w:w="7223"/>
          </w:tcPr>
          <w:p>
            <w:pPr>
              <w:spacing w:after="20" w:before="20"/>
            </w:pPr>
            <w:r/>
            <w:r>
              <w:rPr>
                <w:sz w:val="18"/>
              </w:rPr>
              <w:t>Ultra-Low Voltage (≤ 60 V — the Roboteq / Nidec Automation drive class)</w:t>
            </w:r>
          </w:p>
        </w:tc>
      </w:tr>
      <w:tr>
        <w:tc>
          <w:tcPr>
            <w:tcW w:type="dxa" w:w="1806"/>
          </w:tcPr>
          <w:p>
            <w:pPr>
              <w:spacing w:after="20" w:before="20"/>
            </w:pPr>
            <w:r>
              <w:rPr>
                <w:sz w:val="18"/>
                <w:szCs w:val="18"/>
              </w:rPr>
              <w:t xml:space="preserve">UVLO</w:t>
            </w:r>
          </w:p>
        </w:tc>
        <w:tc>
          <w:tcPr>
            <w:tcW w:type="dxa" w:w="7223"/>
          </w:tcPr>
          <w:p>
            <w:pPr>
              <w:spacing w:after="20" w:before="20"/>
            </w:pPr>
            <w:r>
              <w:rPr>
                <w:sz w:val="18"/>
                <w:szCs w:val="18"/>
              </w:rPr>
              <w:t xml:space="preserve">Under-Voltage Lockout</w:t>
            </w:r>
          </w:p>
        </w:tc>
      </w:tr>
      <w:tr>
        <w:tc>
          <w:tcPr>
            <w:tcW w:type="dxa" w:w="1806"/>
          </w:tcPr>
          <w:p>
            <w:pPr>
              <w:spacing w:after="20" w:before="20"/>
            </w:pPr>
            <w:r>
              <w:rPr>
                <w:sz w:val="18"/>
                <w:szCs w:val="18"/>
              </w:rPr>
              <w:t xml:space="preserve">WDT</w:t>
            </w:r>
          </w:p>
        </w:tc>
        <w:tc>
          <w:tcPr>
            <w:tcW w:type="dxa" w:w="7223"/>
          </w:tcPr>
          <w:p>
            <w:pPr>
              <w:spacing w:after="20" w:before="20"/>
            </w:pPr>
            <w:r>
              <w:rPr>
                <w:sz w:val="18"/>
                <w:szCs w:val="18"/>
              </w:rPr>
              <w:t xml:space="preserve">Watchdog Timer</w:t>
            </w:r>
          </w:p>
        </w:tc>
      </w:tr>
      <w:tr>
        <w:tc>
          <w:tcPr>
            <w:tcW w:type="dxa" w:w="1806"/>
          </w:tcPr>
          <w:p>
            <w:pPr>
              <w:spacing w:after="20" w:before="20"/>
            </w:pPr>
            <w:r/>
            <w:r>
              <w:rPr>
                <w:b/>
                <w:sz w:val="18"/>
              </w:rPr>
              <w:t>XPS</w:t>
            </w:r>
          </w:p>
        </w:tc>
        <w:tc>
          <w:tcPr>
            <w:tcW w:type="dxa" w:w="7223"/>
          </w:tcPr>
          <w:p>
            <w:pPr>
              <w:spacing w:after="20" w:before="20"/>
            </w:pPr>
            <w:r/>
            <w:r>
              <w:rPr>
                <w:sz w:val="18"/>
              </w:rPr>
              <w:t>Extruded Polystyrene (rigid foam insulation)</w:t>
            </w:r>
          </w:p>
        </w:tc>
      </w:tr>
      <w:tr>
        <w:tc>
          <w:tcPr>
            <w:tcW w:type="dxa" w:w="1806"/>
          </w:tcPr>
          <w:p>
            <w:pPr>
              <w:spacing w:after="20" w:before="20"/>
            </w:pPr>
            <w:r/>
            <w:r>
              <w:rPr>
                <w:b/>
                <w:sz w:val="18"/>
              </w:rPr>
              <w:t>ZOH</w:t>
            </w:r>
          </w:p>
        </w:tc>
        <w:tc>
          <w:tcPr>
            <w:tcW w:type="dxa" w:w="7223"/>
          </w:tcPr>
          <w:p>
            <w:pPr>
              <w:spacing w:after="20" w:before="20"/>
            </w:pPr>
            <w:r/>
            <w:r>
              <w:rPr>
                <w:sz w:val="18"/>
              </w:rPr>
              <w:t>Zero-Order Hold</w:t>
            </w:r>
          </w:p>
        </w:tc>
      </w:tr>
    </w:tbl>
    <w:p w14:paraId="582F00CB" w14:textId="77777777" w:rsidR="0014774D" w:rsidRDefault="0014774D"/>
    <w:p w14:paraId="1E3E56F9" w14:textId="1EDAA046" w:rsidR="0014774D" w:rsidRDefault="00CC74BA" w:rsidP="0065783A">
      <w:pPr>
        <w:pStyle w:val="Heading1"/>
      </w:pPr>
      <w:r>
        <w:t xml:space="preserve">Calorimetry Theory and System </w:t>
      </w:r>
      <w:proofErr w:type="spellStart"/>
      <w:r>
        <w:t>Modeling</w:t>
      </w:r>
      <w:proofErr w:type="spellEnd"/>
    </w:p>
    <w:p w14:paraId="5EBFEBED" w14:textId="77777777" w:rsidR="0013759C" w:rsidRDefault="0013759C" w:rsidP="0013759C"/>
    <w:p w14:paraId="18903D62" w14:textId="77777777" w:rsidR="0013759C" w:rsidRPr="0013759C" w:rsidRDefault="0013759C" w:rsidP="0013759C"/>
    <w:p w14:paraId="589B3F29" w14:textId="77162BAE" w:rsidR="0065783A" w:rsidRDefault="00D83345" w:rsidP="0065783A">
      <w:pPr>
        <w:pStyle w:val="Heading2"/>
      </w:pPr>
      <w:r>
        <w:t>Calorimeter</w:t>
      </w:r>
    </w:p>
    <w:p w14:paraId="3824DFCF" w14:textId="77777777" w:rsidR="00D83345" w:rsidRDefault="00D83345" w:rsidP="00D83345"/>
    <w:p w14:paraId="28922F21" w14:textId="3F6A1AAB" w:rsidR="00D83345" w:rsidRPr="00C53DC0" w:rsidRDefault="00CC74BA" w:rsidP="00D83345">
      <w:pPr>
        <w:jc w:val="both"/>
        <w:rPr>
          <w:lang w:val="en-US"/>
        </w:rPr>
      </w:pPr>
      <w:r>
        <w:lastRenderedPageBreak/>
        <w:t>A calorimeter is a thermally isolated chamber in which a coolant loop provides, ideally, the only path for heat exchange between the chamber’s contents and the ambient room. The device under test (DUT) is placed inside the chamber and operated at its rated power. The power the DUT dissipates as loss heats the chamber and is carried away by the coolant loop. Because this heat has no other way out, it can be measured directly from the coolant’s flow rate and temperature rise.  This is what makes calorimetry well suited to high-precision loss measurement: it is agnostic to the source of the heat. A calorimeter cannot distinguish whether the dissipated power originated as conduction loss, switching loss, hysteresis loss, or a chemical reaction, it registers only the total heat crossing the boundary. The total loss of a DUT, whether a power converter, a motor, or any other heat-producing device, is therefore obtained directly from the heat it dissipates inside the chamber, rather than from a breakdown of individual loss mechanisms. This is why calorimetry is the primary method for characterizing the losses of power converters: these devices combine high power throughput with high efficiency, so the loss to be measured is a small quantity riding on a much larger one, a regime in which other measurement approaches lose precision.</w:t>
      </w:r>
      <w:r w:rsidR="00D83345">
        <w:t xml:space="preserve"> </w:t>
      </w:r>
    </w:p>
    <w:p w14:paraId="43937635" w14:textId="77777777" w:rsidR="00BC6582" w:rsidRPr="00C53DC0" w:rsidRDefault="00BC6582" w:rsidP="00D83345">
      <w:pPr>
        <w:jc w:val="both"/>
        <w:rPr>
          <w:lang w:val="en-US"/>
        </w:rPr>
      </w:pPr>
    </w:p>
    <w:p>
      <w:pPr>
        <w:pStyle w:val="Heading2"/>
      </w:pPr>
      <w:r>
        <w:t>Why calorimetry, and not an electrical measurement</w:t>
      </w:r>
    </w:p>
    <w:p>
      <w:pPr>
        <w:spacing w:after="120"/>
      </w:pPr>
      <w:r>
        <w:t>The direct way to find a converter's loss is to measure input and output power electrically and subtract. That method degrades exactly where this project needs it most, because the measurand is the small difference of two large, nearly equal numbers.</w:t>
      </w:r>
    </w:p>
    <w:p>
      <w:pPr>
        <w:spacing w:after="120"/>
      </w:pPr>
      <w:r>
        <w:t>For the F-series DUT at 1.5 kW, the loss to be resolved is between 15 W (η = 99 %) and 200 W (η ≈ 88 %). Resolving the 15 W point to ±1 W by subtraction requires each of the two 1.5 kW measurements to be accurate to better than ±0.7 W, i.e. ±0.05 % of reading. Real bench instrumentation does not do this: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2257"/>
            <w:shd w:val="clear" w:color="auto" w:fill="DEEAF6"/>
          </w:tcPr>
          <w:p>
            <w:pPr>
              <w:spacing w:after="20" w:before="20"/>
            </w:pPr>
            <w:r/>
            <w:r>
              <w:rPr>
                <w:b/>
                <w:sz w:val="18"/>
              </w:rPr>
              <w:t>Power-analyser class</w:t>
            </w:r>
          </w:p>
        </w:tc>
        <w:tc>
          <w:tcPr>
            <w:tcW w:type="dxa" w:w="2257"/>
            <w:shd w:val="clear" w:color="auto" w:fill="DEEAF6"/>
          </w:tcPr>
          <w:p>
            <w:pPr>
              <w:spacing w:after="20" w:before="20"/>
            </w:pPr>
            <w:r/>
            <w:r>
              <w:rPr>
                <w:b/>
                <w:sz w:val="18"/>
              </w:rPr>
              <w:t>Uncertainty per channel at 1.5 kW</w:t>
            </w:r>
          </w:p>
        </w:tc>
        <w:tc>
          <w:tcPr>
            <w:tcW w:type="dxa" w:w="2483"/>
            <w:shd w:val="clear" w:color="auto" w:fill="DEEAF6"/>
          </w:tcPr>
          <w:p>
            <w:pPr>
              <w:spacing w:after="20" w:before="20"/>
            </w:pPr>
            <w:r/>
            <w:r>
              <w:rPr>
                <w:b/>
                <w:sz w:val="18"/>
              </w:rPr>
              <w:t>Uncertainty on P</w:t>
            </w:r>
            <w:r>
              <w:rPr>
                <w:b/>
                <w:sz w:val="18"/>
                <w:vertAlign w:val="subscript"/>
              </w:rPr>
              <w:t>in</w:t>
            </w:r>
            <w:r>
              <w:rPr>
                <w:b/>
                <w:sz w:val="18"/>
              </w:rPr>
              <w:t xml:space="preserve"> − P</w:t>
            </w:r>
            <w:r>
              <w:rPr>
                <w:b/>
                <w:sz w:val="18"/>
                <w:vertAlign w:val="subscript"/>
              </w:rPr>
              <w:t>out</w:t>
            </w:r>
            <w:r>
              <w:rPr>
                <w:b/>
                <w:sz w:val="18"/>
              </w:rPr>
              <w:t xml:space="preserve"> (RSS)</w:t>
            </w:r>
          </w:p>
        </w:tc>
        <w:tc>
          <w:tcPr>
            <w:tcW w:type="dxa" w:w="2031"/>
            <w:shd w:val="clear" w:color="auto" w:fill="DEEAF6"/>
          </w:tcPr>
          <w:p>
            <w:pPr>
              <w:spacing w:after="20" w:before="20"/>
            </w:pPr>
            <w:r/>
            <w:r>
              <w:rPr>
                <w:b/>
                <w:sz w:val="18"/>
              </w:rPr>
              <w:t>As a fraction of a 15 W loss</w:t>
            </w:r>
          </w:p>
        </w:tc>
      </w:tr>
      <w:tr>
        <w:tc>
          <w:tcPr>
            <w:tcW w:type="dxa" w:w="2257"/>
          </w:tcPr>
          <w:p>
            <w:pPr>
              <w:spacing w:after="20" w:before="20"/>
            </w:pPr>
            <w:r/>
            <w:r>
              <w:rPr>
                <w:sz w:val="18"/>
              </w:rPr>
              <w:t>±0.05 % of reading</w:t>
            </w:r>
          </w:p>
        </w:tc>
        <w:tc>
          <w:tcPr>
            <w:tcW w:type="dxa" w:w="2257"/>
          </w:tcPr>
          <w:p>
            <w:pPr>
              <w:spacing w:after="20" w:before="20"/>
            </w:pPr>
            <w:r/>
            <w:r>
              <w:rPr>
                <w:sz w:val="18"/>
              </w:rPr>
              <w:t>0.75 W</w:t>
            </w:r>
          </w:p>
        </w:tc>
        <w:tc>
          <w:tcPr>
            <w:tcW w:type="dxa" w:w="2483"/>
          </w:tcPr>
          <w:p>
            <w:pPr>
              <w:spacing w:after="20" w:before="20"/>
            </w:pPr>
            <w:r/>
            <w:r>
              <w:rPr>
                <w:sz w:val="18"/>
              </w:rPr>
              <w:t>1.06 W</w:t>
            </w:r>
          </w:p>
        </w:tc>
        <w:tc>
          <w:tcPr>
            <w:tcW w:type="dxa" w:w="2031"/>
          </w:tcPr>
          <w:p>
            <w:pPr>
              <w:spacing w:after="20" w:before="20"/>
            </w:pPr>
            <w:r/>
            <w:r>
              <w:rPr>
                <w:sz w:val="18"/>
              </w:rPr>
              <w:t>7.1 %</w:t>
            </w:r>
          </w:p>
        </w:tc>
      </w:tr>
      <w:tr>
        <w:tc>
          <w:tcPr>
            <w:tcW w:type="dxa" w:w="2257"/>
          </w:tcPr>
          <w:p>
            <w:pPr>
              <w:spacing w:after="20" w:before="20"/>
            </w:pPr>
            <w:r/>
            <w:r>
              <w:rPr>
                <w:sz w:val="18"/>
              </w:rPr>
              <w:t>±0.1 %</w:t>
            </w:r>
          </w:p>
        </w:tc>
        <w:tc>
          <w:tcPr>
            <w:tcW w:type="dxa" w:w="2257"/>
          </w:tcPr>
          <w:p>
            <w:pPr>
              <w:spacing w:after="20" w:before="20"/>
            </w:pPr>
            <w:r/>
            <w:r>
              <w:rPr>
                <w:sz w:val="18"/>
              </w:rPr>
              <w:t>1.5 W</w:t>
            </w:r>
          </w:p>
        </w:tc>
        <w:tc>
          <w:tcPr>
            <w:tcW w:type="dxa" w:w="2483"/>
          </w:tcPr>
          <w:p>
            <w:pPr>
              <w:spacing w:after="20" w:before="20"/>
            </w:pPr>
            <w:r/>
            <w:r>
              <w:rPr>
                <w:sz w:val="18"/>
              </w:rPr>
              <w:t>2.12 W</w:t>
            </w:r>
          </w:p>
        </w:tc>
        <w:tc>
          <w:tcPr>
            <w:tcW w:type="dxa" w:w="2031"/>
          </w:tcPr>
          <w:p>
            <w:pPr>
              <w:spacing w:after="20" w:before="20"/>
            </w:pPr>
            <w:r/>
            <w:r>
              <w:rPr>
                <w:sz w:val="18"/>
              </w:rPr>
              <w:t>14.1 %</w:t>
            </w:r>
          </w:p>
        </w:tc>
      </w:tr>
      <w:tr>
        <w:tc>
          <w:tcPr>
            <w:tcW w:type="dxa" w:w="2257"/>
          </w:tcPr>
          <w:p>
            <w:pPr>
              <w:spacing w:after="20" w:before="20"/>
            </w:pPr>
            <w:r/>
            <w:r>
              <w:rPr>
                <w:sz w:val="18"/>
              </w:rPr>
              <w:t>±0.2 %</w:t>
            </w:r>
          </w:p>
        </w:tc>
        <w:tc>
          <w:tcPr>
            <w:tcW w:type="dxa" w:w="2257"/>
          </w:tcPr>
          <w:p>
            <w:pPr>
              <w:spacing w:after="20" w:before="20"/>
            </w:pPr>
            <w:r/>
            <w:r>
              <w:rPr>
                <w:sz w:val="18"/>
              </w:rPr>
              <w:t>3.0 W</w:t>
            </w:r>
          </w:p>
        </w:tc>
        <w:tc>
          <w:tcPr>
            <w:tcW w:type="dxa" w:w="2483"/>
          </w:tcPr>
          <w:p>
            <w:pPr>
              <w:spacing w:after="20" w:before="20"/>
            </w:pPr>
            <w:r/>
            <w:r>
              <w:rPr>
                <w:sz w:val="18"/>
              </w:rPr>
              <w:t>4.24 W</w:t>
            </w:r>
          </w:p>
        </w:tc>
        <w:tc>
          <w:tcPr>
            <w:tcW w:type="dxa" w:w="2031"/>
          </w:tcPr>
          <w:p>
            <w:pPr>
              <w:spacing w:after="20" w:before="20"/>
            </w:pPr>
            <w:r/>
            <w:r>
              <w:rPr>
                <w:sz w:val="18"/>
              </w:rPr>
              <w:t>28.3 %</w:t>
            </w:r>
          </w:p>
        </w:tc>
      </w:tr>
      <w:tr>
        <w:tc>
          <w:tcPr>
            <w:tcW w:type="dxa" w:w="2257"/>
          </w:tcPr>
          <w:p>
            <w:pPr>
              <w:spacing w:after="20" w:before="20"/>
            </w:pPr>
            <w:r/>
            <w:r>
              <w:rPr>
                <w:sz w:val="18"/>
              </w:rPr>
              <w:t>±0.5 %</w:t>
            </w:r>
          </w:p>
        </w:tc>
        <w:tc>
          <w:tcPr>
            <w:tcW w:type="dxa" w:w="2257"/>
          </w:tcPr>
          <w:p>
            <w:pPr>
              <w:spacing w:after="20" w:before="20"/>
            </w:pPr>
            <w:r/>
            <w:r>
              <w:rPr>
                <w:sz w:val="18"/>
              </w:rPr>
              <w:t>7.5 W</w:t>
            </w:r>
          </w:p>
        </w:tc>
        <w:tc>
          <w:tcPr>
            <w:tcW w:type="dxa" w:w="2483"/>
          </w:tcPr>
          <w:p>
            <w:pPr>
              <w:spacing w:after="20" w:before="20"/>
            </w:pPr>
            <w:r/>
            <w:r>
              <w:rPr>
                <w:sz w:val="18"/>
              </w:rPr>
              <w:t>10.6 W</w:t>
            </w:r>
          </w:p>
        </w:tc>
        <w:tc>
          <w:tcPr>
            <w:tcW w:type="dxa" w:w="2031"/>
          </w:tcPr>
          <w:p>
            <w:pPr>
              <w:spacing w:after="20" w:before="20"/>
            </w:pPr>
            <w:r/>
            <w:r>
              <w:rPr>
                <w:sz w:val="18"/>
              </w:rPr>
              <w:t>70.7 %</w:t>
            </w:r>
          </w:p>
        </w:tc>
      </w:tr>
    </w:tbl>
    <w:p>
      <w:pPr>
        <w:spacing w:before="60" w:after="200"/>
        <w:jc w:val="left"/>
      </w:pPr>
      <w:r>
        <w:rPr>
          <w:i/>
          <w:sz w:val="18"/>
        </w:rPr>
        <w:t>Table 1. Why subtraction fails at the high-efficiency end. The uncertainty is fixed by the throughput, not by the loss, so it does not shrink as the DUT gets better. The same instrument that reads a 200 W loss to 2 % reads a 15 W loss to 14 % or worse.</w:t>
      </w:r>
    </w:p>
    <w:p>
      <w:pPr>
        <w:spacing w:after="120"/>
      </w:pPr>
      <w:r>
        <w:t xml:space="preserve">Calorimetry does not have this structure. It measures the dissipated heat itself, so its uncertainty is set by the flow meter, the temperature-pair match and the guard residual — all of which are roughly </w:t>
      </w:r>
      <w:r>
        <w:rPr>
          <w:b/>
        </w:rPr>
        <w:t>constant in watts</w:t>
      </w:r>
      <w:r>
        <w:t xml:space="preserve"> across the range, and none of which depend on the DUT's throughput, waveform, switching frequency, power factor or EMI. A calorimeter that is good to ±1 W is good to ±1 W at 15 W and at 200 W alike.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806"/>
            <w:shd w:val="clear" w:color="auto" w:fill="DEEAF6"/>
          </w:tcPr>
          <w:p>
            <w:pPr>
              <w:spacing w:after="20" w:before="20"/>
            </w:pPr>
            <w:r/>
            <w:r>
              <w:rPr>
                <w:b/>
                <w:sz w:val="18"/>
              </w:rPr>
              <w:t>Aspect</w:t>
            </w:r>
          </w:p>
        </w:tc>
        <w:tc>
          <w:tcPr>
            <w:tcW w:type="dxa" w:w="3612"/>
            <w:shd w:val="clear" w:color="auto" w:fill="DEEAF6"/>
          </w:tcPr>
          <w:p>
            <w:pPr>
              <w:spacing w:after="20" w:before="20"/>
            </w:pPr>
            <w:r/>
            <w:r>
              <w:rPr>
                <w:b/>
                <w:sz w:val="18"/>
              </w:rPr>
              <w:t>Electrical (input − output)</w:t>
            </w:r>
          </w:p>
        </w:tc>
        <w:tc>
          <w:tcPr>
            <w:tcW w:type="dxa" w:w="3612"/>
            <w:shd w:val="clear" w:color="auto" w:fill="DEEAF6"/>
          </w:tcPr>
          <w:p>
            <w:pPr>
              <w:spacing w:after="20" w:before="20"/>
            </w:pPr>
            <w:r/>
            <w:r>
              <w:rPr>
                <w:b/>
                <w:sz w:val="18"/>
              </w:rPr>
              <w:t>Calorimetric</w:t>
            </w:r>
          </w:p>
        </w:tc>
      </w:tr>
      <w:tr>
        <w:tc>
          <w:tcPr>
            <w:tcW w:type="dxa" w:w="1806"/>
          </w:tcPr>
          <w:p>
            <w:pPr>
              <w:spacing w:after="20" w:before="20"/>
            </w:pPr>
            <w:r/>
            <w:r>
              <w:rPr>
                <w:sz w:val="18"/>
              </w:rPr>
              <w:t>What is measured</w:t>
            </w:r>
          </w:p>
        </w:tc>
        <w:tc>
          <w:tcPr>
            <w:tcW w:type="dxa" w:w="3612"/>
          </w:tcPr>
          <w:p>
            <w:pPr>
              <w:spacing w:after="20" w:before="20"/>
            </w:pPr>
            <w:r/>
            <w:r>
              <w:rPr>
                <w:sz w:val="18"/>
              </w:rPr>
              <w:t>Two large electrical powers, then their difference</w:t>
            </w:r>
          </w:p>
        </w:tc>
        <w:tc>
          <w:tcPr>
            <w:tcW w:type="dxa" w:w="3612"/>
          </w:tcPr>
          <w:p>
            <w:pPr>
              <w:spacing w:after="20" w:before="20"/>
            </w:pPr>
            <w:r/>
            <w:r>
              <w:rPr>
                <w:sz w:val="18"/>
              </w:rPr>
              <w:t>The heat leaving the DUT, directly</w:t>
            </w:r>
          </w:p>
        </w:tc>
      </w:tr>
      <w:tr>
        <w:tc>
          <w:tcPr>
            <w:tcW w:type="dxa" w:w="1806"/>
          </w:tcPr>
          <w:p>
            <w:pPr>
              <w:spacing w:after="20" w:before="20"/>
            </w:pPr>
            <w:r/>
            <w:r>
              <w:rPr>
                <w:sz w:val="18"/>
              </w:rPr>
              <w:t>Dominant error</w:t>
            </w:r>
          </w:p>
        </w:tc>
        <w:tc>
          <w:tcPr>
            <w:tcW w:type="dxa" w:w="3612"/>
          </w:tcPr>
          <w:p>
            <w:pPr>
              <w:spacing w:after="20" w:before="20"/>
            </w:pPr>
            <w:r/>
            <w:r>
              <w:rPr>
                <w:sz w:val="18"/>
              </w:rPr>
              <w:t>Difference of two similar large numbers — error grows as a fraction of the loss as efficiency rises</w:t>
            </w:r>
          </w:p>
        </w:tc>
        <w:tc>
          <w:tcPr>
            <w:tcW w:type="dxa" w:w="3612"/>
          </w:tcPr>
          <w:p>
            <w:pPr>
              <w:spacing w:after="20" w:before="20"/>
            </w:pPr>
            <w:r/>
            <w:r>
              <w:rPr>
                <w:sz w:val="18"/>
              </w:rPr>
              <w:t>Absolute — stays roughly constant in watts</w:t>
            </w:r>
          </w:p>
        </w:tc>
      </w:tr>
      <w:tr>
        <w:tc>
          <w:tcPr>
            <w:tcW w:type="dxa" w:w="1806"/>
          </w:tcPr>
          <w:p>
            <w:pPr>
              <w:spacing w:after="20" w:before="20"/>
            </w:pPr>
            <w:r/>
            <w:r>
              <w:rPr>
                <w:sz w:val="18"/>
              </w:rPr>
              <w:t>Sensitive to</w:t>
            </w:r>
          </w:p>
        </w:tc>
        <w:tc>
          <w:tcPr>
            <w:tcW w:type="dxa" w:w="3612"/>
          </w:tcPr>
          <w:p>
            <w:pPr>
              <w:spacing w:after="20" w:before="20"/>
            </w:pPr>
            <w:r/>
            <w:r>
              <w:rPr>
                <w:sz w:val="18"/>
              </w:rPr>
              <w:t>Waveform distortion, phase/timing error, sensor bandwidth, EMI</w:t>
            </w:r>
          </w:p>
        </w:tc>
        <w:tc>
          <w:tcPr>
            <w:tcW w:type="dxa" w:w="3612"/>
          </w:tcPr>
          <w:p>
            <w:pPr>
              <w:spacing w:after="20" w:before="20"/>
            </w:pPr>
            <w:r/>
            <w:r>
              <w:rPr>
                <w:sz w:val="18"/>
              </w:rPr>
              <w:t>Ambient stability, wall leakage, calibration drift</w:t>
            </w:r>
          </w:p>
        </w:tc>
      </w:tr>
      <w:tr>
        <w:tc>
          <w:tcPr>
            <w:tcW w:type="dxa" w:w="1806"/>
          </w:tcPr>
          <w:p>
            <w:pPr>
              <w:spacing w:after="20" w:before="20"/>
            </w:pPr>
            <w:r/>
            <w:r>
              <w:rPr>
                <w:sz w:val="18"/>
              </w:rPr>
              <w:t>Electrical connection to DUT</w:t>
            </w:r>
          </w:p>
        </w:tc>
        <w:tc>
          <w:tcPr>
            <w:tcW w:type="dxa" w:w="3612"/>
          </w:tcPr>
          <w:p>
            <w:pPr>
              <w:spacing w:after="20" w:before="20"/>
            </w:pPr>
            <w:r/>
            <w:r>
              <w:rPr>
                <w:sz w:val="18"/>
              </w:rPr>
              <w:t>Required</w:t>
            </w:r>
          </w:p>
        </w:tc>
        <w:tc>
          <w:tcPr>
            <w:tcW w:type="dxa" w:w="3612"/>
          </w:tcPr>
          <w:p>
            <w:pPr>
              <w:spacing w:after="20" w:before="20"/>
            </w:pPr>
            <w:r/>
            <w:r>
              <w:rPr>
                <w:sz w:val="18"/>
              </w:rPr>
              <w:t>None — fully decoupled</w:t>
            </w:r>
          </w:p>
        </w:tc>
      </w:tr>
      <w:tr>
        <w:tc>
          <w:tcPr>
            <w:tcW w:type="dxa" w:w="1806"/>
          </w:tcPr>
          <w:p>
            <w:pPr>
              <w:spacing w:after="20" w:before="20"/>
            </w:pPr>
            <w:r/>
            <w:r>
              <w:rPr>
                <w:sz w:val="18"/>
              </w:rPr>
              <w:t>Speed</w:t>
            </w:r>
          </w:p>
        </w:tc>
        <w:tc>
          <w:tcPr>
            <w:tcW w:type="dxa" w:w="3612"/>
          </w:tcPr>
          <w:p>
            <w:pPr>
              <w:spacing w:after="20" w:before="20"/>
            </w:pPr>
            <w:r/>
            <w:r>
              <w:rPr>
                <w:sz w:val="18"/>
              </w:rPr>
              <w:t>Seconds</w:t>
            </w:r>
          </w:p>
        </w:tc>
        <w:tc>
          <w:tcPr>
            <w:tcW w:type="dxa" w:w="3612"/>
          </w:tcPr>
          <w:p>
            <w:pPr>
              <w:spacing w:after="20" w:before="20"/>
            </w:pPr>
            <w:r/>
            <w:r>
              <w:rPr>
                <w:sz w:val="18"/>
              </w:rPr>
              <w:t>Minutes to hours per point (thermal settling)</w:t>
            </w:r>
          </w:p>
        </w:tc>
      </w:tr>
      <w:tr>
        <w:tc>
          <w:tcPr>
            <w:tcW w:type="dxa" w:w="1806"/>
          </w:tcPr>
          <w:p>
            <w:pPr>
              <w:spacing w:after="20" w:before="20"/>
            </w:pPr>
            <w:r/>
            <w:r>
              <w:rPr>
                <w:sz w:val="18"/>
              </w:rPr>
              <w:t>Best suited to</w:t>
            </w:r>
          </w:p>
        </w:tc>
        <w:tc>
          <w:tcPr>
            <w:tcW w:type="dxa" w:w="3612"/>
          </w:tcPr>
          <w:p>
            <w:pPr>
              <w:spacing w:after="20" w:before="20"/>
            </w:pPr>
            <w:r/>
            <w:r>
              <w:rPr>
                <w:sz w:val="18"/>
              </w:rPr>
              <w:t>Low to moderate efficiency, transient measurement</w:t>
            </w:r>
          </w:p>
        </w:tc>
        <w:tc>
          <w:tcPr>
            <w:tcW w:type="dxa" w:w="3612"/>
          </w:tcPr>
          <w:p>
            <w:pPr>
              <w:spacing w:after="20" w:before="20"/>
            </w:pPr>
            <w:r/>
            <w:r>
              <w:rPr>
                <w:sz w:val="18"/>
              </w:rPr>
              <w:t>Verifying loss on high-efficiency devices (η &gt; ~95 %)</w:t>
            </w:r>
          </w:p>
        </w:tc>
      </w:tr>
    </w:tbl>
    <w:p>
      <w:pPr>
        <w:spacing w:before="60" w:after="200"/>
        <w:jc w:val="left"/>
      </w:pPr>
      <w:r>
        <w:rPr>
          <w:i/>
          <w:sz w:val="18"/>
        </w:rPr>
        <w:t>Table 2. The two methods compared. Calorimetry is slower and needs more hardware; it buys accuracy that does not degrade with the DUT's efficiency.</w:t>
      </w:r>
    </w:p>
    <w:p>
      <w:pPr>
        <w:spacing w:after="120"/>
      </w:pPr>
      <w:r>
        <w:t xml:space="preserve">Published, well-built calorimeters report about </w:t>
      </w:r>
      <w:r>
        <w:rPr>
          <w:b/>
        </w:rPr>
        <w:t>±0.4 W absolute, or 0.2–1 % of full scale</w:t>
      </w:r>
      <w:r>
        <w:t xml:space="preserve"> (RD-01, RD-02), essentially flat across the power range. The accuracy target adopted for this rig is </w:t>
      </w:r>
      <w:r>
        <w:rPr>
          <w:b/>
        </w:rPr>
        <w:t>P</w:t>
      </w:r>
      <w:r>
        <w:rPr>
          <w:b/>
          <w:vertAlign w:val="subscript"/>
        </w:rPr>
        <w:t>acc</w:t>
      </w:r>
      <w:r>
        <w:rPr>
          <w:b/>
        </w:rPr>
        <w:t xml:space="preserve"> = ±1 W</w:t>
      </w:r>
      <w:r>
        <w:t>, chosen as a realistic first-build figure with margin against the literature best. At 1.5 kW throughput, ±1 W resolves 0.07 efficiency points — enough to separate 97.0 % from 97.5 % (a 7.5 W step) without ambiguity.</w:t>
      </w:r>
    </w:p>
    <w:p>
      <w:pPr>
        <w:pStyle w:val="Heading2"/>
      </w:pPr>
      <w:r>
        <w:t>Calorimeter families</w:t>
      </w:r>
    </w:p>
    <w:p>
      <w:pPr>
        <w:spacing w:after="120"/>
      </w:pPr>
      <w:r>
        <w:t>Calorimeters built for power-loss measurement are classified into four chamber types (RD-10). Each can be run air- or liquid-cooled.</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685"/>
            <w:shd w:val="clear" w:color="auto" w:fill="DEEAF6"/>
          </w:tcPr>
          <w:p>
            <w:pPr>
              <w:spacing w:after="20" w:before="20"/>
            </w:pPr>
            <w:r/>
            <w:r>
              <w:rPr>
                <w:b/>
                <w:sz w:val="18"/>
              </w:rPr>
              <w:t>Type</w:t>
            </w:r>
          </w:p>
        </w:tc>
        <w:tc>
          <w:tcPr>
            <w:tcW w:type="dxa" w:w="3973"/>
            <w:shd w:val="clear" w:color="auto" w:fill="DEEAF6"/>
          </w:tcPr>
          <w:p>
            <w:pPr>
              <w:spacing w:after="20" w:before="20"/>
            </w:pPr>
            <w:r/>
            <w:r>
              <w:rPr>
                <w:b/>
                <w:sz w:val="18"/>
              </w:rPr>
              <w:t>How it works</w:t>
            </w:r>
          </w:p>
        </w:tc>
        <w:tc>
          <w:tcPr>
            <w:tcW w:type="dxa" w:w="3371"/>
            <w:shd w:val="clear" w:color="auto" w:fill="DEEAF6"/>
          </w:tcPr>
          <w:p>
            <w:pPr>
              <w:spacing w:after="20" w:before="20"/>
            </w:pPr>
            <w:r/>
            <w:r>
              <w:rPr>
                <w:b/>
                <w:sz w:val="18"/>
              </w:rPr>
              <w:t>Trade-off</w:t>
            </w:r>
          </w:p>
        </w:tc>
      </w:tr>
      <w:tr>
        <w:tc>
          <w:tcPr>
            <w:tcW w:type="dxa" w:w="1685"/>
          </w:tcPr>
          <w:p>
            <w:pPr>
              <w:spacing w:after="20" w:before="20"/>
            </w:pPr>
            <w:r/>
            <w:r>
              <w:rPr>
                <w:sz w:val="18"/>
              </w:rPr>
              <w:t>Open</w:t>
            </w:r>
          </w:p>
        </w:tc>
        <w:tc>
          <w:tcPr>
            <w:tcW w:type="dxa" w:w="3973"/>
          </w:tcPr>
          <w:p>
            <w:pPr>
              <w:spacing w:after="20" w:before="20"/>
            </w:pPr>
            <w:r/>
            <w:r>
              <w:rPr>
                <w:sz w:val="18"/>
              </w:rPr>
              <w:t>Single pass of coolant drawn from ambient through the chamber; loss from inlet/outlet ΔT and flow</w:t>
            </w:r>
          </w:p>
        </w:tc>
        <w:tc>
          <w:tcPr>
            <w:tcW w:type="dxa" w:w="3371"/>
          </w:tcPr>
          <w:p>
            <w:pPr>
              <w:spacing w:after="20" w:before="20"/>
            </w:pPr>
            <w:r/>
            <w:r>
              <w:rPr>
                <w:sz w:val="18"/>
              </w:rPr>
              <w:t>Simplest build; accuracy is at the mercy of ambient temperature and flow fluctuations</w:t>
            </w:r>
          </w:p>
        </w:tc>
      </w:tr>
      <w:tr>
        <w:tc>
          <w:tcPr>
            <w:tcW w:type="dxa" w:w="1685"/>
          </w:tcPr>
          <w:p>
            <w:pPr>
              <w:spacing w:after="20" w:before="20"/>
            </w:pPr>
            <w:r/>
            <w:r>
              <w:rPr>
                <w:sz w:val="18"/>
              </w:rPr>
              <w:t>Closed</w:t>
            </w:r>
          </w:p>
        </w:tc>
        <w:tc>
          <w:tcPr>
            <w:tcW w:type="dxa" w:w="3973"/>
          </w:tcPr>
          <w:p>
            <w:pPr>
              <w:spacing w:after="20" w:before="20"/>
            </w:pPr>
            <w:r/>
            <w:r>
              <w:rPr>
                <w:sz w:val="18"/>
              </w:rPr>
              <w:t>DUT sealed in an insulated enclosure with a closed coolant loop that dumps to an external exchanger</w:t>
            </w:r>
          </w:p>
        </w:tc>
        <w:tc>
          <w:tcPr>
            <w:tcW w:type="dxa" w:w="3371"/>
          </w:tcPr>
          <w:p>
            <w:pPr>
              <w:spacing w:after="20" w:before="20"/>
            </w:pPr>
            <w:r/>
            <w:r>
              <w:rPr>
                <w:sz w:val="18"/>
              </w:rPr>
              <w:t>Much better ambient isolation; usually built with a guarded (double-jacket) wall to stop the residual leak</w:t>
            </w:r>
          </w:p>
        </w:tc>
      </w:tr>
      <w:tr>
        <w:tc>
          <w:tcPr>
            <w:tcW w:type="dxa" w:w="1685"/>
          </w:tcPr>
          <w:p>
            <w:pPr>
              <w:spacing w:after="20" w:before="20"/>
            </w:pPr>
            <w:r/>
            <w:r>
              <w:rPr>
                <w:sz w:val="18"/>
              </w:rPr>
              <w:t>Balanced (substitution)</w:t>
            </w:r>
          </w:p>
        </w:tc>
        <w:tc>
          <w:tcPr>
            <w:tcW w:type="dxa" w:w="3973"/>
          </w:tcPr>
          <w:p>
            <w:pPr>
              <w:spacing w:after="20" w:before="20"/>
            </w:pPr>
            <w:r/>
            <w:r>
              <w:rPr>
                <w:sz w:val="18"/>
              </w:rPr>
              <w:t xml:space="preserve">A trim heater holds the chamber at a fixed balance point; loss = the </w:t>
            </w:r>
            <w:r>
              <w:rPr>
                <w:b/>
                <w:sz w:val="18"/>
              </w:rPr>
              <w:t>reduction</w:t>
            </w:r>
            <w:r>
              <w:rPr>
                <w:sz w:val="18"/>
              </w:rPr>
              <w:t xml:space="preserve"> in trim-heater power relative to a DUT-off baseline</w:t>
            </w:r>
          </w:p>
        </w:tc>
        <w:tc>
          <w:tcPr>
            <w:tcW w:type="dxa" w:w="3371"/>
          </w:tcPr>
          <w:p>
            <w:pPr>
              <w:spacing w:after="20" w:before="20"/>
            </w:pPr>
            <w:r/>
            <w:r>
              <w:rPr>
                <w:sz w:val="18"/>
              </w:rPr>
              <w:t>Very accurate and needs no flow measurement, but requires a control loop and a baseline calibration run</w:t>
            </w:r>
          </w:p>
        </w:tc>
      </w:tr>
      <w:tr>
        <w:tc>
          <w:tcPr>
            <w:tcW w:type="dxa" w:w="1685"/>
          </w:tcPr>
          <w:p>
            <w:pPr>
              <w:spacing w:after="20" w:before="20"/>
            </w:pPr>
            <w:r/>
            <w:r>
              <w:rPr>
                <w:sz w:val="18"/>
              </w:rPr>
              <w:t>Series</w:t>
            </w:r>
          </w:p>
        </w:tc>
        <w:tc>
          <w:tcPr>
            <w:tcW w:type="dxa" w:w="3973"/>
          </w:tcPr>
          <w:p>
            <w:pPr>
              <w:spacing w:after="20" w:before="20"/>
            </w:pPr>
            <w:r/>
            <w:r>
              <w:rPr>
                <w:sz w:val="18"/>
              </w:rPr>
              <w:t>Two chambers share one coolant loop — one holds a reference heater of known power, the other the DUT — so the rig self-calibrates continuously</w:t>
            </w:r>
          </w:p>
        </w:tc>
        <w:tc>
          <w:tcPr>
            <w:tcW w:type="dxa" w:w="3371"/>
          </w:tcPr>
          <w:p>
            <w:pPr>
              <w:spacing w:after="20" w:before="20"/>
            </w:pPr>
            <w:r/>
            <w:r>
              <w:rPr>
                <w:sz w:val="18"/>
              </w:rPr>
              <w:t>Best drift immunity, at the cost of a second full chamber</w:t>
            </w:r>
          </w:p>
        </w:tc>
      </w:tr>
    </w:tbl>
    <w:p>
      <w:pPr>
        <w:spacing w:before="60" w:after="200"/>
        <w:jc w:val="left"/>
      </w:pPr>
      <w:r>
        <w:rPr>
          <w:i/>
          <w:sz w:val="18"/>
        </w:rPr>
        <w:t xml:space="preserve">Table 3. The four chamber families. This project builds a </w:t>
      </w:r>
      <w:r>
        <w:rPr>
          <w:b/>
          <w:i/>
          <w:sz w:val="18"/>
        </w:rPr>
        <w:t>closed, guarded, liquid-cooled</w:t>
      </w:r>
      <w:r>
        <w:rPr>
          <w:i/>
          <w:sz w:val="18"/>
        </w:rPr>
        <w:t xml:space="preserve"> chamber with a flow readout, and keeps substitution as the calibration method rather than as the readout.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Two readout philosophies, kept separate</w:t>
            </w:r>
          </w:p>
          <w:p>
            <w:pPr>
              <w:spacing w:after="40"/>
            </w:pPr>
            <w:r>
              <w:rPr>
                <w:sz w:val="19"/>
              </w:rPr>
              <w:t xml:space="preserve">A guarded chamber can report the loss in two different ways, and the project notes use both words. </w:t>
            </w:r>
            <w:r>
              <w:rPr>
                <w:b/>
                <w:sz w:val="19"/>
              </w:rPr>
              <w:t>Flow readout</w:t>
            </w:r>
            <w:r>
              <w:rPr>
                <w:sz w:val="19"/>
              </w:rPr>
              <w:t xml:space="preserve"> (this build): the loss is ṁ·c</w:t>
            </w:r>
            <w:r>
              <w:rPr>
                <w:sz w:val="19"/>
                <w:vertAlign w:val="subscript"/>
              </w:rPr>
              <w:t>p</w:t>
            </w:r>
            <w:r>
              <w:rPr>
                <w:sz w:val="19"/>
              </w:rPr>
              <w:t>·ΔT</w:t>
            </w:r>
            <w:r>
              <w:rPr>
                <w:sz w:val="19"/>
                <w:vertAlign w:val="subscript"/>
              </w:rPr>
              <w:t>w</w:t>
            </w:r>
            <w:r>
              <w:rPr>
                <w:sz w:val="19"/>
              </w:rPr>
              <w:t xml:space="preserve"> through the water loop, and the guard exists only to null the wall so that reading is complete. </w:t>
            </w:r>
            <w:r>
              <w:rPr>
                <w:b/>
                <w:sz w:val="19"/>
              </w:rPr>
              <w:t>Substitution readout</w:t>
            </w:r>
            <w:r>
              <w:rPr>
                <w:sz w:val="19"/>
              </w:rPr>
              <w:t>: the loss is a difference of trim-heater powers, and no flow measurement is needed. This rig uses the flow readout for the measurement and the substitution principle only for commissioning — the inner-chamber resistor injects a known electrical power that the flow readout must reproduce.</w:t>
            </w:r>
          </w:p>
        </w:tc>
      </w:tr>
    </w:tbl>
    <w:p>
      <w:pPr>
        <w:spacing w:after="80"/>
      </w:pPr>
    </w:p>
    <w:p>
      <w:pPr>
        <w:pStyle w:val="Heading2"/>
      </w:pPr>
      <w:r>
        <w:t>Reference builds</w:t>
      </w:r>
    </w:p>
    <w:p>
      <w:pPr>
        <w:spacing w:after="120"/>
      </w:pPr>
      <w:r>
        <w:t>Four published builds set the design envelope and supplied the specific techniques that were copied. Three are used as positive references; the fourth is the counter-example that justifies the guard.</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trPr>
        <w:tc>
          <w:tcPr>
            <w:tcW w:type="dxa" w:w="1354"/>
            <w:shd w:val="clear" w:color="auto" w:fill="DEEAF6"/>
          </w:tcPr>
          <w:p>
            <w:pPr>
              <w:spacing w:after="20" w:before="20"/>
            </w:pPr>
            <w:r/>
            <w:r>
              <w:rPr>
                <w:b/>
                <w:sz w:val="17"/>
              </w:rPr>
              <w:t>Source</w:t>
            </w:r>
          </w:p>
        </w:tc>
        <w:tc>
          <w:tcPr>
            <w:tcW w:type="dxa" w:w="1806"/>
            <w:shd w:val="clear" w:color="auto" w:fill="DEEAF6"/>
          </w:tcPr>
          <w:p>
            <w:pPr>
              <w:spacing w:after="20" w:before="20"/>
            </w:pPr>
            <w:r/>
            <w:r>
              <w:rPr>
                <w:b/>
                <w:sz w:val="17"/>
              </w:rPr>
              <w:t>Topology</w:t>
            </w:r>
          </w:p>
        </w:tc>
        <w:tc>
          <w:tcPr>
            <w:tcW w:type="dxa" w:w="1535"/>
            <w:shd w:val="clear" w:color="auto" w:fill="DEEAF6"/>
          </w:tcPr>
          <w:p>
            <w:pPr>
              <w:spacing w:after="20" w:before="20"/>
            </w:pPr>
            <w:r/>
            <w:r>
              <w:rPr>
                <w:b/>
                <w:sz w:val="17"/>
              </w:rPr>
              <w:t>DUT / loss range</w:t>
            </w:r>
          </w:p>
        </w:tc>
        <w:tc>
          <w:tcPr>
            <w:tcW w:type="dxa" w:w="1445"/>
            <w:shd w:val="clear" w:color="auto" w:fill="DEEAF6"/>
          </w:tcPr>
          <w:p>
            <w:pPr>
              <w:spacing w:after="20" w:before="20"/>
            </w:pPr>
            <w:r/>
            <w:r>
              <w:rPr>
                <w:b/>
                <w:sz w:val="17"/>
              </w:rPr>
              <w:t>Reported accuracy</w:t>
            </w:r>
          </w:p>
        </w:tc>
        <w:tc>
          <w:tcPr>
            <w:tcW w:type="dxa" w:w="2889"/>
            <w:shd w:val="clear" w:color="auto" w:fill="DEEAF6"/>
          </w:tcPr>
          <w:p>
            <w:pPr>
              <w:spacing w:after="20" w:before="20"/>
            </w:pPr>
            <w:r/>
            <w:r>
              <w:rPr>
                <w:b/>
                <w:sz w:val="17"/>
              </w:rPr>
              <w:t>What was taken from it</w:t>
            </w:r>
          </w:p>
        </w:tc>
      </w:tr>
      <w:tr>
        <w:tc>
          <w:tcPr>
            <w:tcW w:type="dxa" w:w="1354"/>
          </w:tcPr>
          <w:p>
            <w:pPr>
              <w:spacing w:after="20" w:before="20"/>
            </w:pPr>
            <w:r/>
            <w:r>
              <w:rPr>
                <w:b/>
                <w:sz w:val="17"/>
              </w:rPr>
              <w:t>ETH Zürich, IPEC 2010</w:t>
            </w:r>
            <w:r>
              <w:rPr>
                <w:sz w:val="17"/>
              </w:rPr>
              <w:t xml:space="preserve"> (RD-01)</w:t>
            </w:r>
          </w:p>
        </w:tc>
        <w:tc>
          <w:tcPr>
            <w:tcW w:type="dxa" w:w="1806"/>
          </w:tcPr>
          <w:p>
            <w:pPr>
              <w:spacing w:after="20" w:before="20"/>
            </w:pPr>
            <w:r/>
            <w:r>
              <w:rPr>
                <w:sz w:val="17"/>
              </w:rPr>
              <w:t>Air-gap double-jacket, actively servoed gap</w:t>
            </w:r>
          </w:p>
        </w:tc>
        <w:tc>
          <w:tcPr>
            <w:tcW w:type="dxa" w:w="1535"/>
          </w:tcPr>
          <w:p>
            <w:pPr>
              <w:spacing w:after="20" w:before="20"/>
            </w:pPr>
            <w:r/>
            <w:r>
              <w:rPr>
                <w:sz w:val="17"/>
              </w:rPr>
              <w:t>5 kW DC-DC at 99.1 % η; also a 1.6 kW PFC at 15 W loss</w:t>
            </w:r>
          </w:p>
        </w:tc>
        <w:tc>
          <w:tcPr>
            <w:tcW w:type="dxa" w:w="1445"/>
          </w:tcPr>
          <w:p>
            <w:pPr>
              <w:spacing w:after="20" w:before="20"/>
            </w:pPr>
            <w:r/>
            <w:r>
              <w:rPr>
                <w:sz w:val="17"/>
              </w:rPr>
              <w:t>±0.4 W or 1 %, roughly flat over 10–100 W</w:t>
            </w:r>
          </w:p>
        </w:tc>
        <w:tc>
          <w:tcPr>
            <w:tcW w:type="dxa" w:w="2889"/>
          </w:tcPr>
          <w:p>
            <w:pPr>
              <w:spacing w:after="20" w:before="20"/>
            </w:pPr>
            <w:r/>
            <w:r>
              <w:rPr>
                <w:sz w:val="17"/>
              </w:rPr>
              <w:t>The architecture itself: nested shells, servoed air gap, closed water loop with its own radiator and fans, in-chamber preheat to shorten settling, digital I²C wall sensors</w:t>
            </w:r>
          </w:p>
        </w:tc>
      </w:tr>
      <w:tr>
        <w:tc>
          <w:tcPr>
            <w:tcW w:type="dxa" w:w="1354"/>
          </w:tcPr>
          <w:p>
            <w:pPr>
              <w:spacing w:after="20" w:before="20"/>
            </w:pPr>
            <w:r/>
            <w:r>
              <w:rPr>
                <w:b/>
                <w:sz w:val="17"/>
              </w:rPr>
              <w:t>Bristol, IEMDC 2017</w:t>
            </w:r>
            <w:r>
              <w:rPr>
                <w:sz w:val="17"/>
              </w:rPr>
              <w:t xml:space="preserve"> (RD-02)</w:t>
            </w:r>
          </w:p>
        </w:tc>
        <w:tc>
          <w:tcPr>
            <w:tcW w:type="dxa" w:w="1806"/>
          </w:tcPr>
          <w:p>
            <w:pPr>
              <w:spacing w:after="20" w:before="20"/>
            </w:pPr>
            <w:r/>
            <w:r>
              <w:rPr>
                <w:sz w:val="17"/>
              </w:rPr>
              <w:t>Closed single box with a PI-controlled copper-tape surface heater — the guard collapsed onto the wall</w:t>
            </w:r>
          </w:p>
        </w:tc>
        <w:tc>
          <w:tcPr>
            <w:tcW w:type="dxa" w:w="1535"/>
          </w:tcPr>
          <w:p>
            <w:pPr>
              <w:spacing w:after="20" w:before="20"/>
            </w:pPr>
            <w:r/>
            <w:r>
              <w:rPr>
                <w:sz w:val="17"/>
              </w:rPr>
              <w:t>20–100 W (predicted ceiling ≈ 250 W)</w:t>
            </w:r>
          </w:p>
        </w:tc>
        <w:tc>
          <w:tcPr>
            <w:tcW w:type="dxa" w:w="1445"/>
          </w:tcPr>
          <w:p>
            <w:pPr>
              <w:spacing w:after="20" w:before="20"/>
            </w:pPr>
            <w:r/>
            <w:r>
              <w:rPr>
                <w:sz w:val="17"/>
              </w:rPr>
              <w:t>&lt; 1 % at all 12 load points; &lt; 0.4 W absolute</w:t>
            </w:r>
          </w:p>
        </w:tc>
        <w:tc>
          <w:tcPr>
            <w:tcW w:type="dxa" w:w="2889"/>
          </w:tcPr>
          <w:p>
            <w:pPr>
              <w:spacing w:after="20" w:before="20"/>
            </w:pPr>
            <w:r/>
            <w:r>
              <w:rPr>
                <w:sz w:val="17"/>
              </w:rPr>
              <w:t>The guard as one software PI loop; in-situ gravimetric flow calibration of a cheap flow sensor; automatic steady-state detection from the temperature slope; commodity PC-watercooling parts; single-point calibration</w:t>
            </w:r>
          </w:p>
        </w:tc>
      </w:tr>
      <w:tr>
        <w:tc>
          <w:tcPr>
            <w:tcW w:type="dxa" w:w="1354"/>
          </w:tcPr>
          <w:p>
            <w:pPr>
              <w:spacing w:after="20" w:before="20"/>
            </w:pPr>
            <w:r/>
            <w:r>
              <w:rPr>
                <w:b/>
                <w:sz w:val="17"/>
              </w:rPr>
              <w:t>Kosonen et al., IET EPA 2013</w:t>
            </w:r>
            <w:r>
              <w:rPr>
                <w:sz w:val="17"/>
              </w:rPr>
              <w:t xml:space="preserve"> (RD-04)</w:t>
            </w:r>
          </w:p>
        </w:tc>
        <w:tc>
          <w:tcPr>
            <w:tcW w:type="dxa" w:w="1806"/>
          </w:tcPr>
          <w:p>
            <w:pPr>
              <w:spacing w:after="20" w:before="20"/>
            </w:pPr>
            <w:r/>
            <w:r>
              <w:rPr>
                <w:sz w:val="17"/>
              </w:rPr>
              <w:t>One rig covering several drive ratings</w:t>
            </w:r>
          </w:p>
        </w:tc>
        <w:tc>
          <w:tcPr>
            <w:tcW w:type="dxa" w:w="1535"/>
          </w:tcPr>
          <w:p>
            <w:pPr>
              <w:spacing w:after="20" w:before="20"/>
            </w:pPr>
            <w:r/>
            <w:r>
              <w:rPr>
                <w:sz w:val="17"/>
              </w:rPr>
              <w:t>Up to 2 kW of loss</w:t>
            </w:r>
          </w:p>
        </w:tc>
        <w:tc>
          <w:tcPr>
            <w:tcW w:type="dxa" w:w="1445"/>
          </w:tcPr>
          <w:p>
            <w:pPr>
              <w:spacing w:after="20" w:before="20"/>
            </w:pPr>
            <w:r/>
            <w:r>
              <w:rPr>
                <w:sz w:val="17"/>
              </w:rPr>
              <w:t>—</w:t>
            </w:r>
          </w:p>
        </w:tc>
        <w:tc>
          <w:tcPr>
            <w:tcW w:type="dxa" w:w="2889"/>
          </w:tcPr>
          <w:p>
            <w:pPr>
              <w:spacing w:after="20" w:before="20"/>
            </w:pPr>
            <w:r/>
            <w:r>
              <w:rPr>
                <w:sz w:val="17"/>
              </w:rPr>
              <w:t>The modularity argument: build one chamber and re-range it per DUT class rather than one rig per product</w:t>
            </w:r>
          </w:p>
        </w:tc>
      </w:tr>
      <w:tr>
        <w:tc>
          <w:tcPr>
            <w:tcW w:type="dxa" w:w="1354"/>
          </w:tcPr>
          <w:p>
            <w:pPr>
              <w:spacing w:after="20" w:before="20"/>
            </w:pPr>
            <w:r/>
            <w:r>
              <w:rPr>
                <w:b/>
                <w:sz w:val="17"/>
              </w:rPr>
              <w:t>Nair, Aalto MSc 2013</w:t>
            </w:r>
            <w:r>
              <w:rPr>
                <w:sz w:val="17"/>
              </w:rPr>
              <w:t xml:space="preserve"> (RD-03)</w:t>
            </w:r>
          </w:p>
        </w:tc>
        <w:tc>
          <w:tcPr>
            <w:tcW w:type="dxa" w:w="1806"/>
          </w:tcPr>
          <w:p>
            <w:pPr>
              <w:spacing w:after="20" w:before="20"/>
            </w:pPr>
            <w:r/>
            <w:r>
              <w:rPr>
                <w:sz w:val="17"/>
              </w:rPr>
              <w:t xml:space="preserve">Closed </w:t>
            </w:r>
            <w:r>
              <w:rPr>
                <w:b/>
                <w:sz w:val="17"/>
              </w:rPr>
              <w:t>single-wall, unguarded</w:t>
            </w:r>
            <w:r>
              <w:rPr>
                <w:sz w:val="17"/>
              </w:rPr>
              <w:t xml:space="preserve"> chamber (a DJC was reviewed, then not built)</w:t>
            </w:r>
          </w:p>
        </w:tc>
        <w:tc>
          <w:tcPr>
            <w:tcW w:type="dxa" w:w="1535"/>
          </w:tcPr>
          <w:p>
            <w:pPr>
              <w:spacing w:after="20" w:before="20"/>
            </w:pPr>
            <w:r/>
            <w:r>
              <w:rPr>
                <w:sz w:val="17"/>
              </w:rPr>
              <w:t>0.75 kW converter at ~97 % η</w:t>
            </w:r>
          </w:p>
        </w:tc>
        <w:tc>
          <w:tcPr>
            <w:tcW w:type="dxa" w:w="1445"/>
          </w:tcPr>
          <w:p>
            <w:pPr>
              <w:spacing w:after="20" w:before="20"/>
            </w:pPr>
            <w:r/>
            <w:r>
              <w:rPr>
                <w:sz w:val="17"/>
              </w:rPr>
              <w:t xml:space="preserve">±1.5 % below 50 W, </w:t>
            </w:r>
            <w:r>
              <w:rPr>
                <w:b/>
                <w:sz w:val="17"/>
              </w:rPr>
              <w:t>degrading with power</w:t>
            </w:r>
          </w:p>
        </w:tc>
        <w:tc>
          <w:tcPr>
            <w:tcW w:type="dxa" w:w="2889"/>
          </w:tcPr>
          <w:p>
            <w:pPr>
              <w:spacing w:after="20" w:before="20"/>
            </w:pPr>
            <w:r/>
            <w:r>
              <w:rPr>
                <w:sz w:val="17"/>
              </w:rPr>
              <w:t>The counter-example. Its own conclusion names wall leakage as the dominant error. Also the source of the DJC schematic and of the guard criterion used in §4.6.3</w:t>
            </w:r>
          </w:p>
        </w:tc>
      </w:tr>
    </w:tbl>
    <w:p>
      <w:pPr>
        <w:spacing w:before="60" w:after="200"/>
        <w:jc w:val="left"/>
      </w:pPr>
      <w:r>
        <w:rPr>
          <w:i/>
          <w:sz w:val="18"/>
        </w:rPr>
        <w:t>Table 4. The four reference builds. Nair and ETH differ almost only in whether the wall gradient is actively nulled, and their accuracy figures differ by roughly a factor of four — which is the whole argument for the guard.</w:t>
      </w:r>
    </w:p>
    <w:p>
      <w:pPr>
        <w:spacing w:after="120"/>
      </w:pPr>
      <w:r>
        <w:t>Two of these builds, a decade apart and unrelated, independently converged on the same commodity parts: XPS/EPP foam shells, Aqua Computer PC-watercooling radiators, a peristaltic pump, a cheap flow sensor rescued by gravimetric calibration, and Class-A platinum RTDs. That convergence is why this project's BOM starts from the same categories rather than from laboratory-instrument catalogues.</w:t>
      </w:r>
    </w:p>
    <w:p w14:paraId="7BB00037" w14:textId="4AD02B57" w:rsidR="00716353" w:rsidRDefault="00716353" w:rsidP="00716353">
      <w:pPr>
        <w:pStyle w:val="Heading2"/>
        <w:rPr>
          <w:lang w:val="en-US"/>
        </w:rPr>
      </w:pPr>
      <w:r>
        <w:rPr>
          <w:lang w:val="en-US"/>
        </w:rPr>
        <w:t>Topology evaluation</w:t>
      </w:r>
    </w:p>
    <w:p w14:paraId="1F3546EC" w14:textId="77777777" w:rsidR="00C53DC0" w:rsidRDefault="00C53DC0" w:rsidP="00C53DC0">
      <w:pPr>
        <w:rPr>
          <w:lang w:val="en-US"/>
        </w:rPr>
      </w:pPr>
    </w:p>
    <w:p w14:paraId="3186DEC4" w14:textId="50C08804" w:rsidR="00C53DC0" w:rsidRPr="00C53DC0" w:rsidRDefault="00C53DC0" w:rsidP="00C53DC0">
      <w:pPr>
        <w:jc w:val="both"/>
        <w:rPr>
          <w:lang w:val="en-US"/>
        </w:rPr>
      </w:pPr>
      <w:r>
        <w:rPr>
          <w:lang w:val="en-US"/>
        </w:rPr>
        <w:t xml:space="preserve">At the beginning of the study, 3 topologies were evaluated and compared for the most fitting candidate to be used as a template for this assignment. Those were a single wall layer, a double jacket copper layer and a complete double jacket layer respectively. </w:t>
      </w:r>
    </w:p>
    <w:p>
      <w:pPr>
        <w:spacing w:after="120"/>
      </w:pPr>
      <w:r>
        <w:t>Those three are compared in §4.5.1; the reasoning that led to them, starting from a wider four-way trade study, is in §4.5.2, and the decision in §4.5.3. The remainder of this section describes the selected topology and the design choices made during the study. Sections 5 to 7 then develop the model of that topology in increasing detail: the thermal network (§5), its state-space form and the control design that follows from it (§6), and the Python simulation used to size the actuators and predict the settling schedule (§7).</w:t>
      </w:r>
    </w:p>
    <w:p>
      <w:pPr>
        <w:pStyle w:val="Heading3"/>
      </w:pPr>
      <w:r>
        <w:t>The three candidate topologies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539"/>
            <w:shd w:val="clear" w:color="auto" w:fill="DEEAF6"/>
          </w:tcPr>
          <w:p>
            <w:pPr>
              <w:spacing w:after="20" w:before="20"/>
            </w:pPr>
            <w:r/>
          </w:p>
        </w:tc>
        <w:tc>
          <w:tcPr>
            <w:tcW w:type="dxa" w:w="2360"/>
            <w:shd w:val="clear" w:color="auto" w:fill="DEEAF6"/>
          </w:tcPr>
          <w:p>
            <w:pPr>
              <w:spacing w:after="20" w:before="20"/>
            </w:pPr>
            <w:r/>
            <w:r>
              <w:rPr>
                <w:b/>
                <w:sz w:val="17"/>
              </w:rPr>
              <w:t>1 — Single wall, passive</w:t>
            </w:r>
          </w:p>
        </w:tc>
        <w:tc>
          <w:tcPr>
            <w:tcW w:type="dxa" w:w="2668"/>
            <w:shd w:val="clear" w:color="auto" w:fill="DEEAF6"/>
          </w:tcPr>
          <w:p>
            <w:pPr>
              <w:spacing w:after="20" w:before="20"/>
            </w:pPr>
            <w:r/>
            <w:r>
              <w:rPr>
                <w:b/>
                <w:sz w:val="17"/>
              </w:rPr>
              <w:t>2 — Surface-heated single box</w:t>
            </w:r>
          </w:p>
        </w:tc>
        <w:tc>
          <w:tcPr>
            <w:tcW w:type="dxa" w:w="2462"/>
            <w:shd w:val="clear" w:color="auto" w:fill="DEEAF6"/>
          </w:tcPr>
          <w:p>
            <w:pPr>
              <w:spacing w:after="20" w:before="20"/>
            </w:pPr>
            <w:r/>
            <w:r>
              <w:rPr>
                <w:b/>
                <w:sz w:val="17"/>
              </w:rPr>
              <w:t>3 — Full air-gap double jacket</w:t>
            </w:r>
          </w:p>
        </w:tc>
      </w:tr>
      <w:tr>
        <w:tc>
          <w:tcPr>
            <w:tcW w:type="dxa" w:w="1539"/>
          </w:tcPr>
          <w:p>
            <w:pPr>
              <w:spacing w:after="20" w:before="20"/>
            </w:pPr>
            <w:r/>
            <w:r>
              <w:rPr>
                <w:sz w:val="17"/>
              </w:rPr>
              <w:t>Shells to build</w:t>
            </w:r>
          </w:p>
        </w:tc>
        <w:tc>
          <w:tcPr>
            <w:tcW w:type="dxa" w:w="2360"/>
          </w:tcPr>
          <w:p>
            <w:pPr>
              <w:spacing w:after="20" w:before="20"/>
            </w:pPr>
            <w:r/>
            <w:r>
              <w:rPr>
                <w:sz w:val="17"/>
              </w:rPr>
              <w:t>1</w:t>
            </w:r>
          </w:p>
        </w:tc>
        <w:tc>
          <w:tcPr>
            <w:tcW w:type="dxa" w:w="2668"/>
          </w:tcPr>
          <w:p>
            <w:pPr>
              <w:spacing w:after="20" w:before="20"/>
            </w:pPr>
            <w:r/>
            <w:r>
              <w:rPr>
                <w:sz w:val="17"/>
              </w:rPr>
              <w:t>1</w:t>
            </w:r>
          </w:p>
        </w:tc>
        <w:tc>
          <w:tcPr>
            <w:tcW w:type="dxa" w:w="2462"/>
          </w:tcPr>
          <w:p>
            <w:pPr>
              <w:spacing w:after="20" w:before="20"/>
            </w:pPr>
            <w:r/>
            <w:r>
              <w:rPr>
                <w:sz w:val="17"/>
              </w:rPr>
              <w:t>2, nested</w:t>
            </w:r>
          </w:p>
        </w:tc>
      </w:tr>
      <w:tr>
        <w:tc>
          <w:tcPr>
            <w:tcW w:type="dxa" w:w="1539"/>
          </w:tcPr>
          <w:p>
            <w:pPr>
              <w:spacing w:after="20" w:before="20"/>
            </w:pPr>
            <w:r/>
            <w:r>
              <w:rPr>
                <w:sz w:val="17"/>
              </w:rPr>
              <w:t>Guard actuator</w:t>
            </w:r>
          </w:p>
        </w:tc>
        <w:tc>
          <w:tcPr>
            <w:tcW w:type="dxa" w:w="2360"/>
          </w:tcPr>
          <w:p>
            <w:pPr>
              <w:spacing w:after="20" w:before="20"/>
            </w:pPr>
            <w:r/>
            <w:r>
              <w:rPr>
                <w:sz w:val="17"/>
              </w:rPr>
              <w:t>None — insulation only</w:t>
            </w:r>
          </w:p>
        </w:tc>
        <w:tc>
          <w:tcPr>
            <w:tcW w:type="dxa" w:w="2668"/>
          </w:tcPr>
          <w:p>
            <w:pPr>
              <w:spacing w:after="20" w:before="20"/>
            </w:pPr>
            <w:r/>
            <w:r>
              <w:rPr>
                <w:sz w:val="17"/>
              </w:rPr>
              <w:t>Copper-foil strip heater bonded to the outer surface, PI-controlled</w:t>
            </w:r>
          </w:p>
        </w:tc>
        <w:tc>
          <w:tcPr>
            <w:tcW w:type="dxa" w:w="2462"/>
          </w:tcPr>
          <w:p>
            <w:pPr>
              <w:spacing w:after="20" w:before="20"/>
            </w:pPr>
            <w:r/>
            <w:r>
              <w:rPr>
                <w:sz w:val="17"/>
              </w:rPr>
              <w:t>Heated and fanned air gap between the shells, PI-controlled</w:t>
            </w:r>
          </w:p>
        </w:tc>
      </w:tr>
      <w:tr>
        <w:tc>
          <w:tcPr>
            <w:tcW w:type="dxa" w:w="1539"/>
          </w:tcPr>
          <w:p>
            <w:pPr>
              <w:spacing w:after="20" w:before="20"/>
            </w:pPr>
            <w:r/>
            <w:r>
              <w:rPr>
                <w:sz w:val="17"/>
              </w:rPr>
              <w:t>Guard sensing</w:t>
            </w:r>
          </w:p>
        </w:tc>
        <w:tc>
          <w:tcPr>
            <w:tcW w:type="dxa" w:w="2360"/>
          </w:tcPr>
          <w:p>
            <w:pPr>
              <w:spacing w:after="20" w:before="20"/>
            </w:pPr>
            <w:r/>
            <w:r>
              <w:rPr>
                <w:sz w:val="17"/>
              </w:rPr>
              <w:t>n/a</w:t>
            </w:r>
          </w:p>
        </w:tc>
        <w:tc>
          <w:tcPr>
            <w:tcW w:type="dxa" w:w="2668"/>
          </w:tcPr>
          <w:p>
            <w:pPr>
              <w:spacing w:after="20" w:before="20"/>
            </w:pPr>
            <w:r/>
            <w:r>
              <w:rPr>
                <w:sz w:val="17"/>
              </w:rPr>
              <w:t>Surface RTDs, ~1 mm under the skin</w:t>
            </w:r>
          </w:p>
        </w:tc>
        <w:tc>
          <w:tcPr>
            <w:tcW w:type="dxa" w:w="2462"/>
          </w:tcPr>
          <w:p>
            <w:pPr>
              <w:spacing w:after="20" w:before="20"/>
            </w:pPr>
            <w:r/>
            <w:r>
              <w:rPr>
                <w:sz w:val="17"/>
              </w:rPr>
              <w:t>Gap-air temperature T</w:t>
            </w:r>
            <w:r>
              <w:rPr>
                <w:sz w:val="17"/>
                <w:vertAlign w:val="subscript"/>
              </w:rPr>
              <w:t>e</w:t>
            </w:r>
            <w:r>
              <w:rPr>
                <w:sz w:val="17"/>
              </w:rPr>
              <w:t xml:space="preserve"> vs chamber air T</w:t>
            </w:r>
            <w:r>
              <w:rPr>
                <w:sz w:val="17"/>
                <w:vertAlign w:val="subscript"/>
              </w:rPr>
              <w:t>i</w:t>
            </w:r>
          </w:p>
        </w:tc>
      </w:tr>
      <w:tr>
        <w:tc>
          <w:tcPr>
            <w:tcW w:type="dxa" w:w="1539"/>
          </w:tcPr>
          <w:p>
            <w:pPr>
              <w:spacing w:after="20" w:before="20"/>
            </w:pPr>
            <w:r/>
            <w:r>
              <w:rPr>
                <w:sz w:val="17"/>
              </w:rPr>
              <w:t>Feedthroughs cross</w:t>
            </w:r>
          </w:p>
        </w:tc>
        <w:tc>
          <w:tcPr>
            <w:tcW w:type="dxa" w:w="2360"/>
          </w:tcPr>
          <w:p>
            <w:pPr>
              <w:spacing w:after="20" w:before="20"/>
            </w:pPr>
            <w:r/>
            <w:r>
              <w:rPr>
                <w:sz w:val="17"/>
              </w:rPr>
              <w:t>1 wall</w:t>
            </w:r>
          </w:p>
        </w:tc>
        <w:tc>
          <w:tcPr>
            <w:tcW w:type="dxa" w:w="2668"/>
          </w:tcPr>
          <w:p>
            <w:pPr>
              <w:spacing w:after="20" w:before="20"/>
            </w:pPr>
            <w:r/>
            <w:r>
              <w:rPr>
                <w:sz w:val="17"/>
              </w:rPr>
              <w:t>1 wall</w:t>
            </w:r>
          </w:p>
        </w:tc>
        <w:tc>
          <w:tcPr>
            <w:tcW w:type="dxa" w:w="2462"/>
          </w:tcPr>
          <w:p>
            <w:pPr>
              <w:spacing w:after="20" w:before="20"/>
            </w:pPr>
            <w:r/>
            <w:r>
              <w:rPr>
                <w:sz w:val="17"/>
              </w:rPr>
              <w:t>2 walls</w:t>
            </w:r>
          </w:p>
        </w:tc>
      </w:tr>
      <w:tr>
        <w:tc>
          <w:tcPr>
            <w:tcW w:type="dxa" w:w="1539"/>
          </w:tcPr>
          <w:p>
            <w:pPr>
              <w:spacing w:after="20" w:before="20"/>
            </w:pPr>
            <w:r/>
            <w:r>
              <w:rPr>
                <w:sz w:val="17"/>
              </w:rPr>
              <w:t>Wall leak</w:t>
            </w:r>
          </w:p>
        </w:tc>
        <w:tc>
          <w:tcPr>
            <w:tcW w:type="dxa" w:w="2360"/>
          </w:tcPr>
          <w:p>
            <w:pPr>
              <w:spacing w:after="20" w:before="20"/>
            </w:pPr>
            <w:r/>
            <w:r>
              <w:rPr>
                <w:sz w:val="17"/>
              </w:rPr>
              <w:t>Slowed, never cancelled; drifts with ambient</w:t>
            </w:r>
          </w:p>
        </w:tc>
        <w:tc>
          <w:tcPr>
            <w:tcW w:type="dxa" w:w="2668"/>
          </w:tcPr>
          <w:p>
            <w:pPr>
              <w:spacing w:after="20" w:before="20"/>
            </w:pPr>
            <w:r/>
            <w:r>
              <w:rPr>
                <w:sz w:val="17"/>
              </w:rPr>
              <w:t>Actively nulled at the wall surface</w:t>
            </w:r>
          </w:p>
        </w:tc>
        <w:tc>
          <w:tcPr>
            <w:tcW w:type="dxa" w:w="2462"/>
          </w:tcPr>
          <w:p>
            <w:pPr>
              <w:spacing w:after="20" w:before="20"/>
            </w:pPr>
            <w:r/>
            <w:r>
              <w:rPr>
                <w:sz w:val="17"/>
              </w:rPr>
              <w:t>Actively nulled across the whole inner wall</w:t>
            </w:r>
          </w:p>
        </w:tc>
      </w:tr>
      <w:tr>
        <w:tc>
          <w:tcPr>
            <w:tcW w:type="dxa" w:w="1539"/>
          </w:tcPr>
          <w:p>
            <w:pPr>
              <w:spacing w:after="20" w:before="20"/>
            </w:pPr>
            <w:r/>
            <w:r>
              <w:rPr>
                <w:sz w:val="17"/>
              </w:rPr>
              <w:t>Demonstrated accuracy</w:t>
            </w:r>
          </w:p>
        </w:tc>
        <w:tc>
          <w:tcPr>
            <w:tcW w:type="dxa" w:w="2360"/>
          </w:tcPr>
          <w:p>
            <w:pPr>
              <w:spacing w:after="20" w:before="20"/>
            </w:pPr>
            <w:r/>
            <w:r>
              <w:rPr>
                <w:sz w:val="17"/>
              </w:rPr>
              <w:t>±1.5 %, worsening with power (RD-03)</w:t>
            </w:r>
          </w:p>
        </w:tc>
        <w:tc>
          <w:tcPr>
            <w:tcW w:type="dxa" w:w="2668"/>
          </w:tcPr>
          <w:p>
            <w:pPr>
              <w:spacing w:after="20" w:before="20"/>
            </w:pPr>
            <w:r/>
            <w:r>
              <w:rPr>
                <w:sz w:val="17"/>
              </w:rPr>
              <w:t>&lt; 1 % over 20–100 W (RD-02)</w:t>
            </w:r>
          </w:p>
        </w:tc>
        <w:tc>
          <w:tcPr>
            <w:tcW w:type="dxa" w:w="2462"/>
          </w:tcPr>
          <w:p>
            <w:pPr>
              <w:spacing w:after="20" w:before="20"/>
            </w:pPr>
            <w:r/>
            <w:r>
              <w:rPr>
                <w:sz w:val="17"/>
              </w:rPr>
              <w:t>±0.4 W flat (RD-01)</w:t>
            </w:r>
          </w:p>
        </w:tc>
      </w:tr>
      <w:tr>
        <w:tc>
          <w:tcPr>
            <w:tcW w:type="dxa" w:w="1539"/>
          </w:tcPr>
          <w:p>
            <w:pPr>
              <w:spacing w:after="20" w:before="20"/>
            </w:pPr>
            <w:r/>
            <w:r>
              <w:rPr>
                <w:sz w:val="17"/>
              </w:rPr>
              <w:t>Estimated cost</w:t>
            </w:r>
          </w:p>
        </w:tc>
        <w:tc>
          <w:tcPr>
            <w:tcW w:type="dxa" w:w="2360"/>
          </w:tcPr>
          <w:p>
            <w:pPr>
              <w:spacing w:after="20" w:before="20"/>
            </w:pPr>
            <w:r/>
            <w:r>
              <w:rPr>
                <w:sz w:val="17"/>
              </w:rPr>
              <w:t>Lowest</w:t>
            </w:r>
          </w:p>
        </w:tc>
        <w:tc>
          <w:tcPr>
            <w:tcW w:type="dxa" w:w="2668"/>
          </w:tcPr>
          <w:p>
            <w:pPr>
              <w:spacing w:after="20" w:before="20"/>
            </w:pPr>
            <w:r/>
            <w:r>
              <w:rPr>
                <w:sz w:val="17"/>
              </w:rPr>
              <w:t>≈ €620–1 020</w:t>
            </w:r>
          </w:p>
        </w:tc>
        <w:tc>
          <w:tcPr>
            <w:tcW w:type="dxa" w:w="2462"/>
          </w:tcPr>
          <w:p>
            <w:pPr>
              <w:spacing w:after="20" w:before="20"/>
            </w:pPr>
            <w:r/>
            <w:r>
              <w:rPr>
                <w:sz w:val="17"/>
              </w:rPr>
              <w:t>≈ €710–1 150</w:t>
            </w:r>
          </w:p>
        </w:tc>
      </w:tr>
      <w:tr>
        <w:tc>
          <w:tcPr>
            <w:tcW w:type="dxa" w:w="1539"/>
          </w:tcPr>
          <w:p>
            <w:pPr>
              <w:spacing w:after="20" w:before="20"/>
            </w:pPr>
            <w:r/>
            <w:r>
              <w:rPr>
                <w:sz w:val="17"/>
              </w:rPr>
              <w:t>Main risk</w:t>
            </w:r>
          </w:p>
        </w:tc>
        <w:tc>
          <w:tcPr>
            <w:tcW w:type="dxa" w:w="2360"/>
          </w:tcPr>
          <w:p>
            <w:pPr>
              <w:spacing w:after="20" w:before="20"/>
            </w:pPr>
            <w:r/>
            <w:r>
              <w:rPr>
                <w:sz w:val="17"/>
              </w:rPr>
              <w:t>Accuracy — will not meet ±1 W</w:t>
            </w:r>
          </w:p>
        </w:tc>
        <w:tc>
          <w:tcPr>
            <w:tcW w:type="dxa" w:w="2668"/>
          </w:tcPr>
          <w:p>
            <w:pPr>
              <w:spacing w:after="20" w:before="20"/>
            </w:pPr>
            <w:r/>
            <w:r>
              <w:rPr>
                <w:sz w:val="17"/>
              </w:rPr>
              <w:t>Heater and temperature uniformity over a small box</w:t>
            </w:r>
          </w:p>
        </w:tc>
        <w:tc>
          <w:tcPr>
            <w:tcW w:type="dxa" w:w="2462"/>
          </w:tcPr>
          <w:p>
            <w:pPr>
              <w:spacing w:after="20" w:before="20"/>
            </w:pPr>
            <w:r/>
            <w:r>
              <w:rPr>
                <w:sz w:val="17"/>
              </w:rPr>
              <w:t>Build effort: a second shell to fabricate and seal</w:t>
            </w:r>
          </w:p>
        </w:tc>
      </w:tr>
    </w:tbl>
    <w:p>
      <w:pPr>
        <w:spacing w:before="60" w:after="200"/>
        <w:jc w:val="left"/>
      </w:pPr>
      <w:r>
        <w:rPr>
          <w:i/>
          <w:sz w:val="18"/>
        </w:rPr>
        <w:t>Table 5. The three topologies. The measurement core — water loop, flow meter, ΔT pair, in-chamber radiator and fans — is identical in all three and costs about €490–750; the whole difference is the guard.</w:t>
      </w:r>
    </w:p>
    <w:p>
      <w:pPr>
        <w:pStyle w:val="Heading3"/>
      </w:pPr>
      <w:r>
        <w:t>How the shortlist was reached</w:t>
      </w:r>
    </w:p>
    <w:p>
      <w:pPr>
        <w:spacing w:after="120"/>
      </w:pPr>
      <w:r>
        <w:t>The study did not start with these three. The first pass, before the literature review, compared four configurations against cost, build time, thermal time constant and accuracy:</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trPr>
        <w:tc>
          <w:tcPr>
            <w:tcW w:type="dxa" w:w="1174"/>
            <w:shd w:val="clear" w:color="auto" w:fill="DEEAF6"/>
          </w:tcPr>
          <w:p>
            <w:pPr>
              <w:spacing w:after="20" w:before="20"/>
            </w:pPr>
            <w:r/>
          </w:p>
        </w:tc>
        <w:tc>
          <w:tcPr>
            <w:tcW w:type="dxa" w:w="1715"/>
            <w:shd w:val="clear" w:color="auto" w:fill="DEEAF6"/>
          </w:tcPr>
          <w:p>
            <w:pPr>
              <w:spacing w:after="20" w:before="20"/>
            </w:pPr>
            <w:r/>
            <w:r>
              <w:rPr>
                <w:b/>
                <w:sz w:val="17"/>
              </w:rPr>
              <w:t>A — Open, low-cost</w:t>
            </w:r>
          </w:p>
        </w:tc>
        <w:tc>
          <w:tcPr>
            <w:tcW w:type="dxa" w:w="1986"/>
            <w:shd w:val="clear" w:color="auto" w:fill="DEEAF6"/>
          </w:tcPr>
          <w:p>
            <w:pPr>
              <w:spacing w:after="20" w:before="20"/>
            </w:pPr>
            <w:r/>
            <w:r>
              <w:rPr>
                <w:b/>
                <w:sz w:val="17"/>
              </w:rPr>
              <w:t>B — Closed, passive guard</w:t>
            </w:r>
          </w:p>
        </w:tc>
        <w:tc>
          <w:tcPr>
            <w:tcW w:type="dxa" w:w="2077"/>
            <w:shd w:val="clear" w:color="auto" w:fill="DEEAF6"/>
          </w:tcPr>
          <w:p>
            <w:pPr>
              <w:spacing w:after="20" w:before="20"/>
            </w:pPr>
            <w:r/>
            <w:r>
              <w:rPr>
                <w:b/>
                <w:sz w:val="17"/>
              </w:rPr>
              <w:t>C — Closed, active guard</w:t>
            </w:r>
          </w:p>
        </w:tc>
        <w:tc>
          <w:tcPr>
            <w:tcW w:type="dxa" w:w="2077"/>
            <w:shd w:val="clear" w:color="auto" w:fill="DEEAF6"/>
          </w:tcPr>
          <w:p>
            <w:pPr>
              <w:spacing w:after="20" w:before="20"/>
            </w:pPr>
            <w:r/>
            <w:r>
              <w:rPr>
                <w:b/>
                <w:sz w:val="17"/>
              </w:rPr>
              <w:t>D — Repurposed chamber</w:t>
            </w:r>
          </w:p>
        </w:tc>
      </w:tr>
      <w:tr>
        <w:tc>
          <w:tcPr>
            <w:tcW w:type="dxa" w:w="1174"/>
          </w:tcPr>
          <w:p>
            <w:pPr>
              <w:spacing w:after="20" w:before="20"/>
            </w:pPr>
            <w:r/>
            <w:r>
              <w:rPr>
                <w:sz w:val="17"/>
              </w:rPr>
              <w:t>Readout</w:t>
            </w:r>
          </w:p>
        </w:tc>
        <w:tc>
          <w:tcPr>
            <w:tcW w:type="dxa" w:w="1715"/>
          </w:tcPr>
          <w:p>
            <w:pPr>
              <w:spacing w:after="20" w:before="20"/>
            </w:pPr>
            <w:r/>
            <w:r>
              <w:rPr>
                <w:sz w:val="17"/>
              </w:rPr>
              <w:t>Single-pass air, ṁ·c</w:t>
            </w:r>
            <w:r>
              <w:rPr>
                <w:sz w:val="17"/>
                <w:vertAlign w:val="subscript"/>
              </w:rPr>
              <w:t>p</w:t>
            </w:r>
            <w:r>
              <w:rPr>
                <w:sz w:val="17"/>
              </w:rPr>
              <w:t>·ΔT</w:t>
            </w:r>
          </w:p>
        </w:tc>
        <w:tc>
          <w:tcPr>
            <w:tcW w:type="dxa" w:w="1986"/>
          </w:tcPr>
          <w:p>
            <w:pPr>
              <w:spacing w:after="20" w:before="20"/>
            </w:pPr>
            <w:r/>
            <w:r>
              <w:rPr>
                <w:sz w:val="17"/>
              </w:rPr>
              <w:t>Recirculating air in an insulated box, ṁ·c</w:t>
            </w:r>
            <w:r>
              <w:rPr>
                <w:sz w:val="17"/>
                <w:vertAlign w:val="subscript"/>
              </w:rPr>
              <w:t>p</w:t>
            </w:r>
            <w:r>
              <w:rPr>
                <w:sz w:val="17"/>
              </w:rPr>
              <w:t>·ΔT</w:t>
            </w:r>
          </w:p>
        </w:tc>
        <w:tc>
          <w:tcPr>
            <w:tcW w:type="dxa" w:w="2077"/>
          </w:tcPr>
          <w:p>
            <w:pPr>
              <w:spacing w:after="20" w:before="20"/>
            </w:pPr>
            <w:r/>
            <w:r>
              <w:rPr>
                <w:sz w:val="17"/>
              </w:rPr>
              <w:t>Trim-heater power difference (substitution)</w:t>
            </w:r>
          </w:p>
        </w:tc>
        <w:tc>
          <w:tcPr>
            <w:tcW w:type="dxa" w:w="2077"/>
          </w:tcPr>
          <w:p>
            <w:pPr>
              <w:spacing w:after="20" w:before="20"/>
            </w:pPr>
            <w:r/>
            <w:r>
              <w:rPr>
                <w:sz w:val="17"/>
              </w:rPr>
              <w:t>Same as B, retrofitted into an existing enclosure</w:t>
            </w:r>
          </w:p>
        </w:tc>
      </w:tr>
      <w:tr>
        <w:tc>
          <w:tcPr>
            <w:tcW w:type="dxa" w:w="1174"/>
          </w:tcPr>
          <w:p>
            <w:pPr>
              <w:spacing w:after="20" w:before="20"/>
            </w:pPr>
            <w:r/>
            <w:r>
              <w:rPr>
                <w:sz w:val="17"/>
              </w:rPr>
              <w:t>Parts cost</w:t>
            </w:r>
          </w:p>
        </w:tc>
        <w:tc>
          <w:tcPr>
            <w:tcW w:type="dxa" w:w="1715"/>
          </w:tcPr>
          <w:p>
            <w:pPr>
              <w:spacing w:after="20" w:before="20"/>
            </w:pPr>
            <w:r/>
            <w:r>
              <w:rPr>
                <w:sz w:val="17"/>
              </w:rPr>
              <w:t>~$100–150</w:t>
            </w:r>
          </w:p>
        </w:tc>
        <w:tc>
          <w:tcPr>
            <w:tcW w:type="dxa" w:w="1986"/>
          </w:tcPr>
          <w:p>
            <w:pPr>
              <w:spacing w:after="20" w:before="20"/>
            </w:pPr>
            <w:r/>
            <w:r>
              <w:rPr>
                <w:sz w:val="17"/>
              </w:rPr>
              <w:t>~$500–950</w:t>
            </w:r>
          </w:p>
        </w:tc>
        <w:tc>
          <w:tcPr>
            <w:tcW w:type="dxa" w:w="2077"/>
          </w:tcPr>
          <w:p>
            <w:pPr>
              <w:spacing w:after="20" w:before="20"/>
            </w:pPr>
            <w:r/>
            <w:r>
              <w:rPr>
                <w:sz w:val="17"/>
              </w:rPr>
              <w:t>~$450–800</w:t>
            </w:r>
          </w:p>
        </w:tc>
        <w:tc>
          <w:tcPr>
            <w:tcW w:type="dxa" w:w="2077"/>
          </w:tcPr>
          <w:p>
            <w:pPr>
              <w:spacing w:after="20" w:before="20"/>
            </w:pPr>
            <w:r/>
            <w:r>
              <w:rPr>
                <w:sz w:val="17"/>
              </w:rPr>
              <w:t>~$530–810 if a chamber is on hand; $1 800–3 300 otherwise</w:t>
            </w:r>
          </w:p>
        </w:tc>
      </w:tr>
      <w:tr>
        <w:tc>
          <w:tcPr>
            <w:tcW w:type="dxa" w:w="1174"/>
          </w:tcPr>
          <w:p>
            <w:pPr>
              <w:spacing w:after="20" w:before="20"/>
            </w:pPr>
            <w:r/>
            <w:r>
              <w:rPr>
                <w:sz w:val="17"/>
              </w:rPr>
              <w:t>Accuracy at 150–200 W</w:t>
            </w:r>
          </w:p>
        </w:tc>
        <w:tc>
          <w:tcPr>
            <w:tcW w:type="dxa" w:w="1715"/>
          </w:tcPr>
          <w:p>
            <w:pPr>
              <w:spacing w:after="20" w:before="20"/>
            </w:pPr>
            <w:r/>
            <w:r>
              <w:rPr>
                <w:sz w:val="17"/>
              </w:rPr>
              <w:t>±10–20 %</w:t>
            </w:r>
          </w:p>
        </w:tc>
        <w:tc>
          <w:tcPr>
            <w:tcW w:type="dxa" w:w="1986"/>
          </w:tcPr>
          <w:p>
            <w:pPr>
              <w:spacing w:after="20" w:before="20"/>
            </w:pPr>
            <w:r/>
            <w:r>
              <w:rPr>
                <w:sz w:val="17"/>
              </w:rPr>
              <w:t>±3–5 %</w:t>
            </w:r>
          </w:p>
        </w:tc>
        <w:tc>
          <w:tcPr>
            <w:tcW w:type="dxa" w:w="2077"/>
          </w:tcPr>
          <w:p>
            <w:pPr>
              <w:spacing w:after="20" w:before="20"/>
            </w:pPr>
            <w:r/>
            <w:r>
              <w:rPr>
                <w:sz w:val="17"/>
              </w:rPr>
              <w:t>±1–2 %</w:t>
            </w:r>
          </w:p>
        </w:tc>
        <w:tc>
          <w:tcPr>
            <w:tcW w:type="dxa" w:w="2077"/>
          </w:tcPr>
          <w:p>
            <w:pPr>
              <w:spacing w:after="20" w:before="20"/>
            </w:pPr>
            <w:r/>
            <w:r>
              <w:rPr>
                <w:sz w:val="17"/>
              </w:rPr>
              <w:t>±3–7 %</w:t>
            </w:r>
          </w:p>
        </w:tc>
      </w:tr>
      <w:tr>
        <w:tc>
          <w:tcPr>
            <w:tcW w:type="dxa" w:w="1174"/>
          </w:tcPr>
          <w:p>
            <w:pPr>
              <w:spacing w:after="20" w:before="20"/>
            </w:pPr>
            <w:r/>
            <w:r>
              <w:rPr>
                <w:sz w:val="17"/>
              </w:rPr>
              <w:t>Accuracy at 15–30 W</w:t>
            </w:r>
          </w:p>
        </w:tc>
        <w:tc>
          <w:tcPr>
            <w:tcW w:type="dxa" w:w="1715"/>
          </w:tcPr>
          <w:p>
            <w:pPr>
              <w:spacing w:after="20" w:before="20"/>
            </w:pPr>
            <w:r/>
            <w:r>
              <w:rPr>
                <w:sz w:val="17"/>
              </w:rPr>
              <w:t>±10–20 %</w:t>
            </w:r>
          </w:p>
        </w:tc>
        <w:tc>
          <w:tcPr>
            <w:tcW w:type="dxa" w:w="1986"/>
          </w:tcPr>
          <w:p>
            <w:pPr>
              <w:spacing w:after="20" w:before="20"/>
            </w:pPr>
            <w:r/>
            <w:r>
              <w:rPr>
                <w:sz w:val="17"/>
              </w:rPr>
              <w:t>±15–30 %</w:t>
            </w:r>
          </w:p>
        </w:tc>
        <w:tc>
          <w:tcPr>
            <w:tcW w:type="dxa" w:w="2077"/>
          </w:tcPr>
          <w:p>
            <w:pPr>
              <w:spacing w:after="20" w:before="20"/>
            </w:pPr>
            <w:r/>
            <w:r>
              <w:rPr>
                <w:sz w:val="17"/>
              </w:rPr>
              <w:t>±1–2 %</w:t>
            </w:r>
          </w:p>
        </w:tc>
        <w:tc>
          <w:tcPr>
            <w:tcW w:type="dxa" w:w="2077"/>
          </w:tcPr>
          <w:p>
            <w:pPr>
              <w:spacing w:after="20" w:before="20"/>
            </w:pPr>
            <w:r/>
            <w:r>
              <w:rPr>
                <w:sz w:val="17"/>
              </w:rPr>
              <w:t>±10–20 %</w:t>
            </w:r>
          </w:p>
        </w:tc>
      </w:tr>
      <w:tr>
        <w:tc>
          <w:tcPr>
            <w:tcW w:type="dxa" w:w="1174"/>
          </w:tcPr>
          <w:p>
            <w:pPr>
              <w:spacing w:after="20" w:before="20"/>
            </w:pPr>
            <w:r/>
            <w:r>
              <w:rPr>
                <w:sz w:val="17"/>
              </w:rPr>
              <w:t>Build effort</w:t>
            </w:r>
          </w:p>
        </w:tc>
        <w:tc>
          <w:tcPr>
            <w:tcW w:type="dxa" w:w="1715"/>
          </w:tcPr>
          <w:p>
            <w:pPr>
              <w:spacing w:after="20" w:before="20"/>
            </w:pPr>
            <w:r/>
            <w:r>
              <w:rPr>
                <w:sz w:val="17"/>
              </w:rPr>
              <w:t>~1 week</w:t>
            </w:r>
          </w:p>
        </w:tc>
        <w:tc>
          <w:tcPr>
            <w:tcW w:type="dxa" w:w="1986"/>
          </w:tcPr>
          <w:p>
            <w:pPr>
              <w:spacing w:after="20" w:before="20"/>
            </w:pPr>
            <w:r/>
            <w:r>
              <w:rPr>
                <w:sz w:val="17"/>
              </w:rPr>
              <w:t>~2–3 weeks</w:t>
            </w:r>
          </w:p>
        </w:tc>
        <w:tc>
          <w:tcPr>
            <w:tcW w:type="dxa" w:w="2077"/>
          </w:tcPr>
          <w:p>
            <w:pPr>
              <w:spacing w:after="20" w:before="20"/>
            </w:pPr>
            <w:r/>
            <w:r>
              <w:rPr>
                <w:sz w:val="17"/>
              </w:rPr>
              <w:t>~4–6 weeks</w:t>
            </w:r>
          </w:p>
        </w:tc>
        <w:tc>
          <w:tcPr>
            <w:tcW w:type="dxa" w:w="2077"/>
          </w:tcPr>
          <w:p>
            <w:pPr>
              <w:spacing w:after="20" w:before="20"/>
            </w:pPr>
            <w:r/>
            <w:r>
              <w:rPr>
                <w:sz w:val="17"/>
              </w:rPr>
              <w:t>~1–2 weeks if a chamber exists</w:t>
            </w:r>
          </w:p>
        </w:tc>
      </w:tr>
      <w:tr>
        <w:tc>
          <w:tcPr>
            <w:tcW w:type="dxa" w:w="1174"/>
          </w:tcPr>
          <w:p>
            <w:pPr>
              <w:spacing w:after="20" w:before="20"/>
            </w:pPr>
            <w:r/>
            <w:r>
              <w:rPr>
                <w:sz w:val="17"/>
              </w:rPr>
              <w:t>Outcome</w:t>
            </w:r>
          </w:p>
        </w:tc>
        <w:tc>
          <w:tcPr>
            <w:tcW w:type="dxa" w:w="1715"/>
          </w:tcPr>
          <w:p>
            <w:pPr>
              <w:spacing w:after="20" w:before="20"/>
            </w:pPr>
            <w:r/>
            <w:r>
              <w:rPr>
                <w:sz w:val="17"/>
              </w:rPr>
              <w:t>Kept only as a week-1 shakedown of the sensor and logging chain</w:t>
            </w:r>
          </w:p>
        </w:tc>
        <w:tc>
          <w:tcPr>
            <w:tcW w:type="dxa" w:w="1986"/>
          </w:tcPr>
          <w:p>
            <w:pPr>
              <w:spacing w:after="20" w:before="20"/>
            </w:pPr>
            <w:r/>
            <w:r>
              <w:rPr>
                <w:sz w:val="17"/>
              </w:rPr>
              <w:t>Fallback if schedule ran out</w:t>
            </w:r>
          </w:p>
        </w:tc>
        <w:tc>
          <w:tcPr>
            <w:tcW w:type="dxa" w:w="2077"/>
          </w:tcPr>
          <w:p>
            <w:pPr>
              <w:spacing w:after="20" w:before="20"/>
            </w:pPr>
            <w:r/>
            <w:r>
              <w:rPr>
                <w:b/>
                <w:sz w:val="17"/>
              </w:rPr>
              <w:t>Selected</w:t>
            </w:r>
          </w:p>
        </w:tc>
        <w:tc>
          <w:tcPr>
            <w:tcW w:type="dxa" w:w="2077"/>
          </w:tcPr>
          <w:p>
            <w:pPr>
              <w:spacing w:after="20" w:before="20"/>
            </w:pPr>
            <w:r/>
            <w:r>
              <w:rPr>
                <w:b/>
                <w:sz w:val="17"/>
              </w:rPr>
              <w:t>Ruled out on day 1</w:t>
            </w:r>
            <w:r>
              <w:rPr>
                <w:sz w:val="17"/>
              </w:rPr>
              <w:t xml:space="preserve"> — no chamber exists at Roboteq HQ to repurpose</w:t>
            </w:r>
          </w:p>
        </w:tc>
      </w:tr>
    </w:tbl>
    <w:p>
      <w:pPr>
        <w:spacing w:before="60" w:after="200"/>
        <w:jc w:val="left"/>
      </w:pPr>
      <w:r>
        <w:rPr>
          <w:i/>
          <w:sz w:val="18"/>
        </w:rPr>
        <w:t>Table 6. The original four-way trade study. Cost figures are 2026 order-of-magnitude estimates for individual components, not vendor quotes.</w:t>
      </w:r>
    </w:p>
    <w:p>
      <w:pPr>
        <w:spacing w:after="120"/>
      </w:pPr>
      <w:r>
        <w:t xml:space="preserve">Two findings decided it. First, </w:t>
      </w:r>
      <w:r>
        <w:rPr>
          <w:b/>
        </w:rPr>
        <w:t>B's weakness is at the wrong end of the range</w:t>
      </w:r>
      <w:r>
        <w:t xml:space="preserve">: a flow sensor's and an RTD pair's uncertainties are fixed in absolute terms, so at the 200 W / 10 K design point they are a small fraction of the reading, but at 15 W and 0.75 K of air-side rise the same fixed ±0.15 K is 15–20 % of the signal. Relative accuracy therefore degrades exactly at the high-efficiency operating points calorimetry exists to serve. Second, once the DUT's real loss range was known, </w:t>
      </w:r>
      <w:r>
        <w:rPr>
          <w:b/>
        </w:rPr>
        <w:t>C was no longer the more expensive option</w:t>
      </w:r>
      <w:r>
        <w:t xml:space="preserve"> — it removes the precision flow sensor that dominates B's cost and replaces it with foam, a resistor and a control loop. C dominated B on both cost and accuracy; the only axis where B still won was schedule risk.</w:t>
      </w:r>
    </w:p>
    <w:p>
      <w:pPr>
        <w:spacing w:after="120"/>
      </w:pPr>
      <w:r>
        <w:t xml:space="preserve">The literature review then reshaped what "active guard" means in hardware. The Bristol paper (RD-02) showed the same guard physics implemented as a heater bonded to the outside of a </w:t>
      </w:r>
      <w:r>
        <w:rPr>
          <w:b/>
        </w:rPr>
        <w:t>single</w:t>
      </w:r>
      <w:r>
        <w:t xml:space="preserve"> box, which removes the second shell — the main source of C's schedule risk. That turned the original A/B/C/D question into the three-way comparison of Table 5, all three columns of which come from real, published, measured builds rather than from estimates.</w:t>
      </w:r>
    </w:p>
    <w:p>
      <w:pPr>
        <w:pStyle w:val="Heading3"/>
      </w:pPr>
      <w:r>
        <w:t>Decision</w:t>
      </w:r>
    </w:p>
    <w:p>
      <w:pPr>
        <w:spacing w:after="120"/>
      </w:pPr>
      <w:r>
        <w:rPr>
          <w:b/>
        </w:rPr>
        <w:t>Topology 3 — the full air-gap double-jacket chamber — is the build</w:t>
      </w:r>
      <w:r>
        <w:t>, confirmed 2026-07-10 and reaffirmed 2026-07-13. Topology 2 stays documented as the fallback if the air-gap guard underperforms. The reasoning:</w:t>
      </w:r>
    </w:p>
    <w:p>
      <w:pPr>
        <w:spacing w:after="60" w:before="0"/>
        <w:ind w:left="720" w:hanging="360"/>
      </w:pPr>
      <w:r>
        <w:t>•</w:t>
        <w:tab/>
      </w:r>
      <w:r>
        <w:rPr>
          <w:b/>
        </w:rPr>
        <w:t>A passive wall cannot meet ±1 W.</w:t>
      </w:r>
      <w:r>
        <w:t xml:space="preserve"> Worked for this rig's own geometry: at a chamber 10 K above ambient and R</w:t>
      </w:r>
      <w:r>
        <w:rPr>
          <w:vertAlign w:val="subscript"/>
        </w:rPr>
        <w:t>th(in)</w:t>
      </w:r>
      <w:r>
        <w:t xml:space="preserve"> ≈ 1.8 K/W, an unguarded inner wall leaks about 5.6 W. Even a calibrated leak model leaves a residual from ambient drift, draught-driven film-coefficient variation and seam ageing — realistically ~10 % of the correction, i.e. 0.5–0.6 W, before any other error term is counted. Nair (RD-03) measured exactly this failure mode.</w:t>
      </w:r>
    </w:p>
    <w:p>
      <w:pPr>
        <w:spacing w:after="60" w:before="0"/>
        <w:ind w:left="720" w:hanging="360"/>
      </w:pPr>
      <w:r>
        <w:t>•</w:t>
        <w:tab/>
      </w:r>
      <w:r>
        <w:rPr>
          <w:b/>
        </w:rPr>
        <w:t>The ETH air-gap variant is the best-characterised precedent</w:t>
      </w:r>
      <w:r>
        <w:t xml:space="preserve"> at our accuracy target and is the one whose schematic, criterion and preheat trick the design already follows.</w:t>
      </w:r>
    </w:p>
    <w:p>
      <w:pPr>
        <w:spacing w:after="60" w:before="0"/>
        <w:ind w:left="720" w:hanging="360"/>
      </w:pPr>
      <w:r>
        <w:t>•</w:t>
        <w:tab/>
      </w:r>
      <w:r>
        <w:rPr>
          <w:b/>
        </w:rPr>
        <w:t>Its cost premium over the surface-heated variant is small</w:t>
      </w:r>
      <w:r>
        <w:t xml:space="preserve"> (≈ €90–130) and its main risk — fabricating and sealing a second shell — is largely a purchasing question, since insulated foam boxes are a commodity product that can be ordered close to size rather than built from sheet stock.</w:t>
      </w:r>
    </w:p>
    <w:p>
      <w:pPr>
        <w:spacing w:after="60" w:before="0"/>
        <w:ind w:left="720" w:hanging="360"/>
      </w:pPr>
      <w:r>
        <w:t>•</w:t>
        <w:tab/>
      </w:r>
      <w:r>
        <w:rPr>
          <w:b/>
        </w:rPr>
        <w:t>Uniformity risk favours the air gap on a box this size.</w:t>
      </w:r>
      <w:r>
        <w:t xml:space="preserve"> The Bristol surface heater was validated on a 525 × 305 × 195 mm box with all faces driven in series, and per-face control is listed there as future work. On a smaller chamber, a stirred air gap distributes the guard's heat for us, which a bonded foil heater does not.</w:t>
      </w:r>
    </w:p>
    <w:p>
      <w:pPr>
        <w:pStyle w:val="Heading2"/>
      </w:pPr>
      <w:r>
        <w:t>Selected topology — the double-jacket chamber</w:t>
      </w:r>
    </w:p>
    <w:p>
      <w:pPr>
        <w:pStyle w:val="Heading3"/>
      </w:pPr>
      <w:r>
        <w:t>Architecture</w:t>
      </w:r>
    </w:p>
    <w:p>
      <w:pPr>
        <w:spacing w:after="120"/>
      </w:pPr>
      <w:r>
        <w:t>Two nested insulated shells. The inner chamber holds the DUT, the water-loop pickup radiator, circulation fans, a preheat/calibration resistor and the chamber temperature sensor. The gap between the shells has its own heater and fan and is servoed to track the inner chamber. The water loop crosses both walls and is the only intended exit for the DUT's heat.</w:t>
      </w:r>
    </w:p>
    <w:p>
      <w:pPr>
        <w:spacing w:after="0" w:before="0" w:line="240" w:lineRule="auto"/>
        <w:ind w:left="288"/>
      </w:pPr>
      <w:r>
        <w:rPr>
          <w:rFonts w:ascii="Consolas" w:hAnsi="Consolas"/>
          <w:sz w:val="17"/>
        </w:rPr>
        <w:t xml:space="preserve">        Ta — room / ambient, free to drift</w:t>
      </w:r>
    </w:p>
    <w:p>
      <w:pPr>
        <w:spacing w:after="0" w:before="0" w:line="240" w:lineRule="auto"/>
        <w:ind w:left="288"/>
      </w:pPr>
      <w:r>
        <w:rPr>
          <w:rFonts w:ascii="Consolas" w:hAnsi="Consolas"/>
          <w:sz w:val="17"/>
        </w:rPr>
        <w:t xml:space="preserve">  ┌────────────────────────────────────────────────────────────┐</w:t>
      </w:r>
    </w:p>
    <w:p>
      <w:pPr>
        <w:spacing w:after="0" w:before="0" w:line="240" w:lineRule="auto"/>
        <w:ind w:left="288"/>
      </w:pPr>
      <w:r>
        <w:rPr>
          <w:rFonts w:ascii="Consolas" w:hAnsi="Consolas"/>
          <w:sz w:val="17"/>
        </w:rPr>
        <w:t xml:space="preserve">  │  Outer shell — insulated, heated and fanned                │</w:t>
      </w:r>
    </w:p>
    <w:p>
      <w:pPr>
        <w:spacing w:after="0" w:before="0" w:line="240" w:lineRule="auto"/>
        <w:ind w:left="288"/>
      </w:pPr>
      <w:r>
        <w:rPr>
          <w:rFonts w:ascii="Consolas" w:hAnsi="Consolas"/>
          <w:sz w:val="17"/>
        </w:rPr>
        <w:t xml:space="preserve">  │  air gap servoed to track the inner chamber                │</w:t>
      </w:r>
    </w:p>
    <w:p>
      <w:pPr>
        <w:spacing w:after="0" w:before="0" w:line="240" w:lineRule="auto"/>
        <w:ind w:left="288"/>
      </w:pPr>
      <w:r>
        <w:rPr>
          <w:rFonts w:ascii="Consolas" w:hAnsi="Consolas"/>
          <w:sz w:val="17"/>
        </w:rPr>
        <w:t xml:space="preserve">  │                                                            │</w:t>
      </w:r>
    </w:p>
    <w:p>
      <w:pPr>
        <w:spacing w:after="0" w:before="0" w:line="240" w:lineRule="auto"/>
        <w:ind w:left="288"/>
      </w:pPr>
      <w:r>
        <w:rPr>
          <w:rFonts w:ascii="Consolas" w:hAnsi="Consolas"/>
          <w:sz w:val="17"/>
        </w:rPr>
        <w:t xml:space="preserve">  │        Te — gap air        Pheater(e), Pfan(e)             │</w:t>
      </w:r>
    </w:p>
    <w:p>
      <w:pPr>
        <w:spacing w:after="0" w:before="0" w:line="240" w:lineRule="auto"/>
        <w:ind w:left="288"/>
      </w:pPr>
      <w:r>
        <w:rPr>
          <w:rFonts w:ascii="Consolas" w:hAnsi="Consolas"/>
          <w:sz w:val="17"/>
        </w:rPr>
        <w:t xml:space="preserve">  │   ┌────────────────────────────────────────────────┐       │</w:t>
      </w:r>
    </w:p>
    <w:p>
      <w:pPr>
        <w:spacing w:after="0" w:before="0" w:line="240" w:lineRule="auto"/>
        <w:ind w:left="288"/>
      </w:pPr>
      <w:r>
        <w:rPr>
          <w:rFonts w:ascii="Consolas" w:hAnsi="Consolas"/>
          <w:sz w:val="17"/>
        </w:rPr>
        <w:t xml:space="preserve">  │   │  Inner chamber                    B1           │       │</w:t>
      </w:r>
    </w:p>
    <w:p>
      <w:pPr>
        <w:spacing w:after="0" w:before="0" w:line="240" w:lineRule="auto"/>
        <w:ind w:left="288"/>
      </w:pPr>
      <w:r>
        <w:rPr>
          <w:rFonts w:ascii="Consolas" w:hAnsi="Consolas"/>
          <w:sz w:val="17"/>
        </w:rPr>
        <w:t xml:space="preserve">  │   │                                                │       │</w:t>
      </w:r>
    </w:p>
    <w:p>
      <w:pPr>
        <w:spacing w:after="0" w:before="0" w:line="240" w:lineRule="auto"/>
        <w:ind w:left="288"/>
      </w:pPr>
      <w:r>
        <w:rPr>
          <w:rFonts w:ascii="Consolas" w:hAnsi="Consolas"/>
          <w:sz w:val="17"/>
        </w:rPr>
        <w:t xml:space="preserve">  │   │   water in  ──►[ pickup radiator ]──► water out│       │</w:t>
      </w:r>
    </w:p>
    <w:p>
      <w:pPr>
        <w:spacing w:after="0" w:before="0" w:line="240" w:lineRule="auto"/>
        <w:ind w:left="288"/>
      </w:pPr>
      <w:r>
        <w:rPr>
          <w:rFonts w:ascii="Consolas" w:hAnsi="Consolas"/>
          <w:sz w:val="17"/>
        </w:rPr>
        <w:t xml:space="preserve">  │   │                        ▲                       │       │</w:t>
      </w:r>
    </w:p>
    <w:p>
      <w:pPr>
        <w:spacing w:after="0" w:before="0" w:line="240" w:lineRule="auto"/>
        <w:ind w:left="288"/>
      </w:pPr>
      <w:r>
        <w:rPr>
          <w:rFonts w:ascii="Consolas" w:hAnsi="Consolas"/>
          <w:sz w:val="17"/>
        </w:rPr>
        <w:t xml:space="preserve">  │   │                     [ DUT ] ──► Ploss          │       │</w:t>
      </w:r>
    </w:p>
    <w:p>
      <w:pPr>
        <w:spacing w:after="0" w:before="0" w:line="240" w:lineRule="auto"/>
        <w:ind w:left="288"/>
      </w:pPr>
      <w:r>
        <w:rPr>
          <w:rFonts w:ascii="Consolas" w:hAnsi="Consolas"/>
          <w:sz w:val="17"/>
        </w:rPr>
        <w:t xml:space="preserve">  │   │                                                │       │</w:t>
      </w:r>
    </w:p>
    <w:p>
      <w:pPr>
        <w:spacing w:after="0" w:before="0" w:line="240" w:lineRule="auto"/>
        <w:ind w:left="288"/>
      </w:pPr>
      <w:r>
        <w:rPr>
          <w:rFonts w:ascii="Consolas" w:hAnsi="Consolas"/>
          <w:sz w:val="17"/>
        </w:rPr>
        <w:t xml:space="preserve">  │   │   Ti — chamber air     Pheater(i), Pfan(i)     │       │</w:t>
      </w:r>
    </w:p>
    <w:p>
      <w:pPr>
        <w:spacing w:after="0" w:before="0" w:line="240" w:lineRule="auto"/>
        <w:ind w:left="288"/>
      </w:pPr>
      <w:r>
        <w:rPr>
          <w:rFonts w:ascii="Consolas" w:hAnsi="Consolas"/>
          <w:sz w:val="17"/>
        </w:rPr>
        <w:t xml:space="preserve">  │   └────────────────────────────────────────────────┘       │</w:t>
      </w:r>
    </w:p>
    <w:p>
      <w:pPr>
        <w:spacing w:after="0" w:before="0" w:line="240" w:lineRule="auto"/>
        <w:ind w:left="288"/>
      </w:pPr>
      <w:r>
        <w:rPr>
          <w:rFonts w:ascii="Consolas" w:hAnsi="Consolas"/>
          <w:sz w:val="17"/>
        </w:rPr>
        <w:t xml:space="preserve">  │      inner wall:  Rth(in) = d /(λ·A) ,  Ggap               │</w:t>
      </w:r>
    </w:p>
    <w:p>
      <w:pPr>
        <w:spacing w:after="0" w:before="0" w:line="240" w:lineRule="auto"/>
        <w:ind w:left="288"/>
      </w:pPr>
      <w:r>
        <w:rPr>
          <w:rFonts w:ascii="Consolas" w:hAnsi="Consolas"/>
          <w:sz w:val="17"/>
        </w:rPr>
        <w:t xml:space="preserve">  └────────────────────────────────────────────────────────────┘</w:t>
      </w:r>
    </w:p>
    <w:p>
      <w:pPr>
        <w:spacing w:after="160" w:before="0" w:line="240" w:lineRule="auto"/>
        <w:ind w:left="288"/>
      </w:pPr>
      <w:r>
        <w:rPr>
          <w:rFonts w:ascii="Consolas" w:hAnsi="Consolas"/>
          <w:sz w:val="17"/>
        </w:rPr>
        <w:t xml:space="preserve">         outer wall:  Rth(out) ,  Gout        → to ambient</w:t>
      </w:r>
    </w:p>
    <w:p>
      <w:pPr>
        <w:spacing w:after="120"/>
      </w:pPr>
      <w:r>
        <w:t xml:space="preserve">The labelling follows RD-03 Fig. 3.4 exactly: </w:t>
      </w:r>
      <w:r>
        <w:rPr>
          <w:b/>
        </w:rPr>
        <w:t>T</w:t>
      </w:r>
      <w:r>
        <w:rPr>
          <w:b/>
          <w:vertAlign w:val="subscript"/>
        </w:rPr>
        <w:t>i</w:t>
      </w:r>
      <w:r>
        <w:t xml:space="preserve"> inner chamber, </w:t>
      </w:r>
      <w:r>
        <w:rPr>
          <w:b/>
        </w:rPr>
        <w:t>T</w:t>
      </w:r>
      <w:r>
        <w:rPr>
          <w:b/>
          <w:vertAlign w:val="subscript"/>
        </w:rPr>
        <w:t>e</w:t>
      </w:r>
      <w:r>
        <w:t xml:space="preserve"> gap air, </w:t>
      </w:r>
      <w:r>
        <w:rPr>
          <w:b/>
        </w:rPr>
        <w:t>T</w:t>
      </w:r>
      <w:r>
        <w:rPr>
          <w:b/>
          <w:vertAlign w:val="subscript"/>
        </w:rPr>
        <w:t>a</w:t>
      </w:r>
      <w:r>
        <w:t xml:space="preserve"> ambient, with a heater and a fan on each side of the inner wall. Three boundaries matter, and every equation in §5 is a first-law balance across one of them:</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050"/>
            <w:shd w:val="clear" w:color="auto" w:fill="DEEAF6"/>
          </w:tcPr>
          <w:p>
            <w:pPr>
              <w:spacing w:after="20" w:before="20"/>
            </w:pPr>
            <w:r/>
            <w:r>
              <w:rPr>
                <w:b/>
                <w:sz w:val="18"/>
              </w:rPr>
              <w:t>Boundary</w:t>
            </w:r>
          </w:p>
        </w:tc>
        <w:tc>
          <w:tcPr>
            <w:tcW w:type="dxa" w:w="2730"/>
            <w:shd w:val="clear" w:color="auto" w:fill="DEEAF6"/>
          </w:tcPr>
          <w:p>
            <w:pPr>
              <w:spacing w:after="20" w:before="20"/>
            </w:pPr>
            <w:r/>
            <w:r>
              <w:rPr>
                <w:b/>
                <w:sz w:val="18"/>
              </w:rPr>
              <w:t>Encloses</w:t>
            </w:r>
          </w:p>
        </w:tc>
        <w:tc>
          <w:tcPr>
            <w:tcW w:type="dxa" w:w="5249"/>
            <w:shd w:val="clear" w:color="auto" w:fill="DEEAF6"/>
          </w:tcPr>
          <w:p>
            <w:pPr>
              <w:spacing w:after="20" w:before="20"/>
            </w:pPr>
            <w:r/>
            <w:r>
              <w:rPr>
                <w:b/>
                <w:sz w:val="18"/>
              </w:rPr>
              <w:t>What crosses it</w:t>
            </w:r>
          </w:p>
        </w:tc>
      </w:tr>
      <w:tr>
        <w:tc>
          <w:tcPr>
            <w:tcW w:type="dxa" w:w="1050"/>
          </w:tcPr>
          <w:p>
            <w:pPr>
              <w:spacing w:after="20" w:before="20"/>
            </w:pPr>
            <w:r/>
            <w:r>
              <w:rPr>
                <w:b/>
                <w:sz w:val="18"/>
              </w:rPr>
              <w:t>B1</w:t>
            </w:r>
          </w:p>
        </w:tc>
        <w:tc>
          <w:tcPr>
            <w:tcW w:type="dxa" w:w="2730"/>
          </w:tcPr>
          <w:p>
            <w:pPr>
              <w:spacing w:after="20" w:before="20"/>
            </w:pPr>
            <w:r/>
            <w:r>
              <w:rPr>
                <w:sz w:val="18"/>
              </w:rPr>
              <w:t>The inner-chamber contents — the measurement boundary</w:t>
            </w:r>
          </w:p>
        </w:tc>
        <w:tc>
          <w:tcPr>
            <w:tcW w:type="dxa" w:w="5249"/>
          </w:tcPr>
          <w:p>
            <w:pPr>
              <w:spacing w:after="20" w:before="20"/>
            </w:pPr>
            <w:r/>
            <w:r>
              <w:rPr>
                <w:sz w:val="18"/>
              </w:rPr>
              <w:t>In: the DUT's loss (as electricity) and the metered auxiliaries. Out: the water's enthalpy rise (measured) and the wall leak (the error term the guard deletes).</w:t>
            </w:r>
          </w:p>
        </w:tc>
      </w:tr>
      <w:tr>
        <w:tc>
          <w:tcPr>
            <w:tcW w:type="dxa" w:w="1050"/>
          </w:tcPr>
          <w:p>
            <w:pPr>
              <w:spacing w:after="20" w:before="20"/>
            </w:pPr>
            <w:r/>
            <w:r>
              <w:rPr>
                <w:b/>
                <w:sz w:val="18"/>
              </w:rPr>
              <w:t>B2</w:t>
            </w:r>
          </w:p>
        </w:tc>
        <w:tc>
          <w:tcPr>
            <w:tcW w:type="dxa" w:w="2730"/>
          </w:tcPr>
          <w:p>
            <w:pPr>
              <w:spacing w:after="20" w:before="20"/>
            </w:pPr>
            <w:r/>
            <w:r>
              <w:rPr>
                <w:sz w:val="18"/>
              </w:rPr>
              <w:t>The air gap — the guard's boundary</w:t>
            </w:r>
          </w:p>
        </w:tc>
        <w:tc>
          <w:tcPr>
            <w:tcW w:type="dxa" w:w="5249"/>
          </w:tcPr>
          <w:p>
            <w:pPr>
              <w:spacing w:after="20" w:before="20"/>
            </w:pPr>
            <w:r/>
            <w:r>
              <w:rPr>
                <w:sz w:val="18"/>
              </w:rPr>
              <w:t>In: gap heater and gap fan power, plus whatever leaks in from B1 (ideally zero). Out: loss to ambient through the outer wall — unmetered, and harmless, because it is not on the measured path.</w:t>
            </w:r>
          </w:p>
        </w:tc>
      </w:tr>
      <w:tr>
        <w:tc>
          <w:tcPr>
            <w:tcW w:type="dxa" w:w="1050"/>
          </w:tcPr>
          <w:p>
            <w:pPr>
              <w:spacing w:after="20" w:before="20"/>
            </w:pPr>
            <w:r/>
            <w:r>
              <w:rPr>
                <w:b/>
                <w:sz w:val="18"/>
              </w:rPr>
              <w:t>B3</w:t>
            </w:r>
          </w:p>
        </w:tc>
        <w:tc>
          <w:tcPr>
            <w:tcW w:type="dxa" w:w="2730"/>
          </w:tcPr>
          <w:p>
            <w:pPr>
              <w:spacing w:after="20" w:before="20"/>
            </w:pPr>
            <w:r/>
            <w:r>
              <w:rPr>
                <w:sz w:val="18"/>
              </w:rPr>
              <w:t>Any single lump inside, when its own temperature is needed</w:t>
            </w:r>
          </w:p>
        </w:tc>
        <w:tc>
          <w:tcPr>
            <w:tcW w:type="dxa" w:w="5249"/>
          </w:tcPr>
          <w:p>
            <w:pPr>
              <w:spacing w:after="20" w:before="20"/>
            </w:pPr>
            <w:r/>
            <w:r>
              <w:rPr>
                <w:sz w:val="18"/>
              </w:rPr>
              <w:t>Used for the foam wall and the DUT body only.</w:t>
            </w:r>
          </w:p>
        </w:tc>
      </w:tr>
    </w:tbl>
    <w:p>
      <w:pPr>
        <w:spacing w:before="60" w:after="200"/>
        <w:jc w:val="left"/>
      </w:pPr>
      <w:r>
        <w:rPr>
          <w:i/>
          <w:sz w:val="18"/>
        </w:rPr>
        <w:t>Table 7. The three boundaries.</w:t>
      </w:r>
    </w:p>
    <w:p>
      <w:pPr>
        <w:pStyle w:val="Heading3"/>
      </w:pPr>
      <w:r>
        <w:t>Working principle</w:t>
      </w:r>
    </w:p>
    <w:p>
      <w:pPr>
        <w:spacing w:after="60" w:before="0"/>
        <w:ind w:left="792" w:hanging="432"/>
      </w:pPr>
      <w:r>
        <w:t>1.</w:t>
        <w:tab/>
        <w:t>The DUT is mounted in the inner chamber and run at its operating point. All of its loss becomes heat inside B1.</w:t>
      </w:r>
    </w:p>
    <w:p>
      <w:pPr>
        <w:spacing w:after="60" w:before="0"/>
        <w:ind w:left="792" w:hanging="432"/>
      </w:pPr>
      <w:r>
        <w:t>2.</w:t>
        <w:tab/>
        <w:t>The guard loop drives the gap air to the chamber's own temperature, so the gradient across the inner wall goes to zero.</w:t>
      </w:r>
    </w:p>
    <w:p>
      <w:pPr>
        <w:spacing w:after="60" w:before="0"/>
        <w:ind w:left="792" w:hanging="432"/>
      </w:pPr>
      <w:r>
        <w:t>3.</w:t>
        <w:tab/>
        <w:t>With no gradient, Fourier's law gives no conduction through that wall — the leak is cancelled, not merely slowed. Radiation across the gap is nulled by the same condition.</w:t>
      </w:r>
    </w:p>
    <w:p>
      <w:pPr>
        <w:spacing w:after="60" w:before="0"/>
        <w:ind w:left="792" w:hanging="432"/>
      </w:pPr>
      <w:r>
        <w:t>4.</w:t>
        <w:tab/>
        <w:t>The only remaining exit for the heat is the water loop.</w:t>
      </w:r>
    </w:p>
    <w:p>
      <w:pPr>
        <w:spacing w:after="60" w:before="0"/>
        <w:ind w:left="792" w:hanging="432"/>
      </w:pPr>
      <w:r>
        <w:t>5.</w:t>
        <w:tab/>
        <w:t>The loss is read from the coolant's mass flow and its inlet-to-outlet temperature rise, with the metered in-chamber auxiliaries subtracted.</w:t>
      </w:r>
    </w:p>
    <w:p>
      <w:pPr>
        <w:spacing w:before="160" w:after="160"/>
        <w:jc w:val="center"/>
      </w:pPr>
      <w:r>
        <w:rPr>
          <w:rFonts w:ascii="Cambria Math" w:hAnsi="Cambria Math"/>
          <w:sz w:val="24"/>
        </w:rPr>
        <w:t>P</w:t>
      </w:r>
      <w:r>
        <w:rPr>
          <w:rFonts w:ascii="Cambria Math" w:hAnsi="Cambria Math"/>
          <w:sz w:val="24"/>
          <w:vertAlign w:val="subscript"/>
        </w:rPr>
        <w:t>loss</w:t>
      </w:r>
      <w:r>
        <w:rPr>
          <w:rFonts w:ascii="Cambria Math" w:hAnsi="Cambria Math"/>
          <w:sz w:val="24"/>
        </w:rPr>
        <w:t xml:space="preserve"> = ṁ · c</w:t>
      </w:r>
      <w:r>
        <w:rPr>
          <w:rFonts w:ascii="Cambria Math" w:hAnsi="Cambria Math"/>
          <w:sz w:val="24"/>
          <w:vertAlign w:val="subscript"/>
        </w:rPr>
        <w:t>p,w</w:t>
      </w:r>
      <w:r>
        <w:rPr>
          <w:rFonts w:ascii="Cambria Math" w:hAnsi="Cambria Math"/>
          <w:sz w:val="24"/>
        </w:rPr>
        <w:t xml:space="preserve"> · ΔT</w:t>
      </w:r>
      <w:r>
        <w:rPr>
          <w:rFonts w:ascii="Cambria Math" w:hAnsi="Cambria Math"/>
          <w:sz w:val="24"/>
          <w:vertAlign w:val="subscript"/>
        </w:rPr>
        <w:t>w</w:t>
      </w:r>
      <w:r>
        <w:rPr>
          <w:rFonts w:ascii="Cambria Math" w:hAnsi="Cambria Math"/>
          <w:sz w:val="24"/>
        </w:rPr>
        <w:t xml:space="preserve"> − P</w:t>
      </w:r>
      <w:r>
        <w:rPr>
          <w:rFonts w:ascii="Cambria Math" w:hAnsi="Cambria Math"/>
          <w:sz w:val="24"/>
          <w:vertAlign w:val="subscript"/>
        </w:rPr>
        <w:t>aux(i)</w:t>
      </w:r>
      <w:r>
        <w:rPr>
          <w:sz w:val="20"/>
        </w:rPr>
        <w:tab/>
        <w:tab/>
        <w:t>(1)</w:t>
      </w:r>
    </w:p>
    <w:p>
      <w:pPr>
        <w:spacing w:after="120"/>
      </w:pPr>
      <w:r>
        <w:t>This is the whole instrument. Everything else in this report exists either to justify the two conditions in steps 2 and 3, or to price how imperfectly they are met.</w:t>
      </w:r>
    </w:p>
    <w:p>
      <w:pPr>
        <w:pStyle w:val="Heading3"/>
      </w:pPr>
      <w:r>
        <w:t>The guard criterion and the two gates</w:t>
      </w:r>
    </w:p>
    <w:p>
      <w:pPr>
        <w:spacing w:after="120"/>
      </w:pPr>
      <w:r>
        <w:t>Equation (1) is only valid while two conditions hold. Both are checked in firmware before a point is logged, and both are stated as explicit gates.</w:t>
      </w:r>
    </w:p>
    <w:p>
      <w:pPr>
        <w:spacing w:after="120"/>
      </w:pPr>
      <w:r>
        <w:rPr>
          <w:b/>
        </w:rPr>
        <w:t>Null gate.</w:t>
      </w:r>
      <w:r>
        <w:t xml:space="preserve"> From RD-03 §3.4.2, the residual gradient allowed across the inner wall is fixed by the accuracy budget and the wall's own resistance:</w:t>
      </w:r>
    </w:p>
    <w:p>
      <w:pPr>
        <w:spacing w:before="160" w:after="160"/>
        <w:jc w:val="center"/>
      </w:pPr>
      <w:r>
        <w:rPr>
          <w:rFonts w:ascii="Cambria Math" w:hAnsi="Cambria Math"/>
          <w:sz w:val="24"/>
        </w:rPr>
        <w:t>| T</w:t>
      </w:r>
      <w:r>
        <w:rPr>
          <w:rFonts w:ascii="Cambria Math" w:hAnsi="Cambria Math"/>
          <w:sz w:val="24"/>
          <w:vertAlign w:val="subscript"/>
        </w:rPr>
        <w:t>i</w:t>
      </w:r>
      <w:r>
        <w:rPr>
          <w:rFonts w:ascii="Cambria Math" w:hAnsi="Cambria Math"/>
          <w:sz w:val="24"/>
        </w:rPr>
        <w:t xml:space="preserve"> − T</w:t>
      </w:r>
      <w:r>
        <w:rPr>
          <w:rFonts w:ascii="Cambria Math" w:hAnsi="Cambria Math"/>
          <w:sz w:val="24"/>
          <w:vertAlign w:val="subscript"/>
        </w:rPr>
        <w:t>e</w:t>
      </w:r>
      <w:r>
        <w:rPr>
          <w:rFonts w:ascii="Cambria Math" w:hAnsi="Cambria Math"/>
          <w:sz w:val="24"/>
        </w:rPr>
        <w:t xml:space="preserve"> |  &lt;  P</w:t>
      </w:r>
      <w:r>
        <w:rPr>
          <w:rFonts w:ascii="Cambria Math" w:hAnsi="Cambria Math"/>
          <w:sz w:val="24"/>
          <w:vertAlign w:val="subscript"/>
        </w:rPr>
        <w:t>acc</w:t>
      </w:r>
      <w:r>
        <w:rPr>
          <w:rFonts w:ascii="Cambria Math" w:hAnsi="Cambria Math"/>
          <w:sz w:val="24"/>
        </w:rPr>
        <w:t xml:space="preserve"> · R</w:t>
      </w:r>
      <w:r>
        <w:rPr>
          <w:rFonts w:ascii="Cambria Math" w:hAnsi="Cambria Math"/>
          <w:sz w:val="24"/>
          <w:vertAlign w:val="subscript"/>
        </w:rPr>
        <w:t>th(in)</w:t>
      </w:r>
      <w:r>
        <w:rPr>
          <w:sz w:val="20"/>
        </w:rPr>
        <w:tab/>
        <w:tab/>
        <w:t>(2)</w:t>
      </w:r>
    </w:p>
    <w:p>
      <w:pPr>
        <w:spacing w:after="120"/>
      </w:pPr>
      <w:r>
        <w:t>With P</w:t>
      </w:r>
      <w:r>
        <w:rPr>
          <w:vertAlign w:val="subscript"/>
        </w:rPr>
        <w:t>acc</w:t>
      </w:r>
      <w:r>
        <w:t xml:space="preserve"> = 1 W and the design wall (XPS, 50 mm, λ ≈ 0.035–0.04 W/m·K over ≈ 0.6 m² ⇒ G</w:t>
      </w:r>
      <w:r>
        <w:rPr>
          <w:vertAlign w:val="subscript"/>
        </w:rPr>
        <w:t>gap</w:t>
      </w:r>
      <w:r>
        <w:t xml:space="preserve"> ≈ 0.56 W/K, R</w:t>
      </w:r>
      <w:r>
        <w:rPr>
          <w:vertAlign w:val="subscript"/>
        </w:rPr>
        <w:t>th(in)</w:t>
      </w:r>
      <w:r>
        <w:t xml:space="preserve"> ≈ 1.79 K/W), the gate is </w:t>
      </w:r>
      <w:r>
        <w:rPr>
          <w:b/>
        </w:rPr>
        <w:t>|T</w:t>
      </w:r>
      <w:r>
        <w:rPr>
          <w:b/>
          <w:vertAlign w:val="subscript"/>
        </w:rPr>
        <w:t>i</w:t>
      </w:r>
      <w:r>
        <w:rPr>
          <w:b/>
        </w:rPr>
        <w:t xml:space="preserve"> − T</w:t>
      </w:r>
      <w:r>
        <w:rPr>
          <w:b/>
          <w:vertAlign w:val="subscript"/>
        </w:rPr>
        <w:t>e</w:t>
      </w:r>
      <w:r>
        <w:rPr>
          <w:b/>
        </w:rPr>
        <w:t>| &lt; 1.79 K</w:t>
      </w:r>
      <w:r>
        <w:t>. This is a design spec, not a comparison against the unguarded case: decide how accurate the rig must be, and the wall's resistance converts that directly into how tightly the servo has to hold the null. A realistic servo residual of ±0.3 K costs 0.17 W.</w:t>
      </w:r>
    </w:p>
    <w:p>
      <w:pPr>
        <w:spacing w:after="120"/>
      </w:pPr>
      <w:r>
        <w:rPr>
          <w:b/>
        </w:rPr>
        <w:t>Steady gate.</w:t>
      </w:r>
      <w:r>
        <w:t xml:space="preserve"> The storage term must be dead, or the chamber's thermal mass is silently charging or discharging into the reading:</w:t>
      </w:r>
    </w:p>
    <w:p>
      <w:pPr>
        <w:spacing w:before="160" w:after="160"/>
        <w:jc w:val="center"/>
      </w:pPr>
      <w:r>
        <w:rPr>
          <w:rFonts w:ascii="Cambria Math" w:hAnsi="Cambria Math"/>
          <w:sz w:val="24"/>
        </w:rPr>
        <w:t>| dP̂</w:t>
      </w:r>
      <w:r>
        <w:rPr>
          <w:rFonts w:ascii="Cambria Math" w:hAnsi="Cambria Math"/>
          <w:sz w:val="24"/>
          <w:vertAlign w:val="subscript"/>
        </w:rPr>
        <w:t>meas</w:t>
      </w:r>
      <w:r>
        <w:rPr>
          <w:rFonts w:ascii="Cambria Math" w:hAnsi="Cambria Math"/>
          <w:sz w:val="24"/>
        </w:rPr>
        <w:t>/dt |  &lt;  P</w:t>
      </w:r>
      <w:r>
        <w:rPr>
          <w:rFonts w:ascii="Cambria Math" w:hAnsi="Cambria Math"/>
          <w:sz w:val="24"/>
          <w:vertAlign w:val="subscript"/>
        </w:rPr>
        <w:t>thr</w:t>
      </w:r>
      <w:r>
        <w:rPr>
          <w:rFonts w:ascii="Cambria Math" w:hAnsi="Cambria Math"/>
          <w:sz w:val="24"/>
        </w:rPr>
        <w:t xml:space="preserve"> / τ</w:t>
      </w:r>
      <w:r>
        <w:rPr>
          <w:rFonts w:ascii="Cambria Math" w:hAnsi="Cambria Math"/>
          <w:sz w:val="24"/>
          <w:vertAlign w:val="subscript"/>
        </w:rPr>
        <w:t>dom</w:t>
      </w:r>
      <w:r>
        <w:rPr>
          <w:sz w:val="20"/>
        </w:rPr>
        <w:tab/>
        <w:tab/>
        <w:t>(3)</w:t>
      </w:r>
    </w:p>
    <w:p>
      <w:pPr>
        <w:spacing w:after="120"/>
      </w:pPr>
      <w:r>
        <w:t>The slope threshold is the residual power threshold divided by the slowest time constant the reading actually shows. It is computed per operating point rather than hard-coded, because τ</w:t>
      </w:r>
      <w:r>
        <w:rPr>
          <w:vertAlign w:val="subscript"/>
        </w:rPr>
        <w:t>dom</w:t>
      </w:r>
      <w:r>
        <w:t xml:space="preserve"> moves by a factor of about three across the power range. Equivalently, in temperature terms, holding a 0.2 W storage slice against C</w:t>
      </w:r>
      <w:r>
        <w:rPr>
          <w:vertAlign w:val="subscript"/>
        </w:rPr>
        <w:t>i</w:t>
      </w:r>
      <w:r>
        <w:t xml:space="preserve"> + C</w:t>
      </w:r>
      <w:r>
        <w:rPr>
          <w:vertAlign w:val="subscript"/>
        </w:rPr>
        <w:t>w</w:t>
      </w:r>
      <w:r>
        <w:t xml:space="preserve"> ≈ 2.45 kJ/K means |dT/dt| &lt; 0.29 K/h.</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Gate the reading, not the chamber temperature</w:t>
            </w:r>
          </w:p>
          <w:p>
            <w:pPr>
              <w:spacing w:after="40"/>
            </w:pPr>
            <w:r>
              <w:rPr>
                <w:sz w:val="19"/>
              </w:rPr>
              <w:t>T</w:t>
            </w:r>
            <w:r>
              <w:rPr>
                <w:sz w:val="19"/>
                <w:vertAlign w:val="subscript"/>
              </w:rPr>
              <w:t>i</w:t>
            </w:r>
            <w:r>
              <w:rPr>
                <w:sz w:val="19"/>
              </w:rPr>
              <w:t xml:space="preserve"> is dominated by the fast air/water exchange mode and settles long before the reading does. A steady-state detector that watches T</w:t>
            </w:r>
            <w:r>
              <w:rPr>
                <w:sz w:val="19"/>
                <w:vertAlign w:val="subscript"/>
              </w:rPr>
              <w:t>i</w:t>
            </w:r>
            <w:r>
              <w:rPr>
                <w:sz w:val="19"/>
              </w:rPr>
              <w:t xml:space="preserve"> will go green while the water side is still transient. The gate must watch P̂</w:t>
            </w:r>
            <w:r>
              <w:rPr>
                <w:sz w:val="19"/>
                <w:vertAlign w:val="subscript"/>
              </w:rPr>
              <w:t>meas</w:t>
            </w:r>
            <w:r>
              <w:rPr>
                <w:sz w:val="19"/>
              </w:rPr>
              <w:t xml:space="preserve"> itself.</w:t>
            </w:r>
          </w:p>
        </w:tc>
      </w:tr>
    </w:tbl>
    <w:p>
      <w:pPr>
        <w:spacing w:after="80"/>
      </w:pPr>
    </w:p>
    <w:p>
      <w:pPr>
        <w:spacing w:after="120"/>
      </w:pPr>
      <w:r>
        <w:t xml:space="preserve">A useful property of the architecture: </w:t>
      </w:r>
      <w:r>
        <w:rPr>
          <w:b/>
        </w:rPr>
        <w:t>the outer shell's leak to the room does not need to be controlled at all.</w:t>
      </w:r>
      <w:r>
        <w:t xml:space="preserve"> The servo nulls one boundary only — chamber to gap. Whatever the gap then exchanges with the room never crosses the measured boundary, so those watts are accuracy-free. The room only has to be stable enough for the inner loop to track. This is the same principle as the guard ring in guarded-hot-plate conductivity testing (ASTM C177).</w:t>
      </w:r>
    </w:p>
    <w:p>
      <w:pPr>
        <w:pStyle w:val="Heading2"/>
      </w:pPr>
      <w:r>
        <w:t>Design decisions taken during the study</w:t>
      </w:r>
    </w:p>
    <w:p>
      <w:pPr>
        <w:spacing w:after="120"/>
      </w:pPr>
      <w:r>
        <w:t>The design changed several times over the two months as specifications firmed up and as parts were confirmed. The table records what changed, when, and why, so that the working notes can be read in the right order.</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715"/>
            <w:shd w:val="clear" w:color="auto" w:fill="DEEAF6"/>
          </w:tcPr>
          <w:p>
            <w:pPr>
              <w:spacing w:after="20" w:before="20"/>
            </w:pPr>
            <w:r/>
            <w:r>
              <w:rPr>
                <w:b/>
                <w:sz w:val="17"/>
              </w:rPr>
              <w:t>Decision</w:t>
            </w:r>
          </w:p>
        </w:tc>
        <w:tc>
          <w:tcPr>
            <w:tcW w:type="dxa" w:w="1083"/>
            <w:shd w:val="clear" w:color="auto" w:fill="DEEAF6"/>
          </w:tcPr>
          <w:p>
            <w:pPr>
              <w:spacing w:after="20" w:before="20"/>
            </w:pPr>
            <w:r/>
            <w:r>
              <w:rPr>
                <w:b/>
                <w:sz w:val="17"/>
              </w:rPr>
              <w:t>Date</w:t>
            </w:r>
          </w:p>
        </w:tc>
        <w:tc>
          <w:tcPr>
            <w:tcW w:type="dxa" w:w="1715"/>
            <w:shd w:val="clear" w:color="auto" w:fill="DEEAF6"/>
          </w:tcPr>
          <w:p>
            <w:pPr>
              <w:spacing w:after="20" w:before="20"/>
            </w:pPr>
            <w:r/>
            <w:r>
              <w:rPr>
                <w:b/>
                <w:sz w:val="17"/>
              </w:rPr>
              <w:t>Outcome</w:t>
            </w:r>
          </w:p>
        </w:tc>
        <w:tc>
          <w:tcPr>
            <w:tcW w:type="dxa" w:w="4514"/>
            <w:shd w:val="clear" w:color="auto" w:fill="DEEAF6"/>
          </w:tcPr>
          <w:p>
            <w:pPr>
              <w:spacing w:after="20" w:before="20"/>
            </w:pPr>
            <w:r/>
            <w:r>
              <w:rPr>
                <w:b/>
                <w:sz w:val="17"/>
              </w:rPr>
              <w:t>Reason</w:t>
            </w:r>
          </w:p>
        </w:tc>
      </w:tr>
      <w:tr>
        <w:tc>
          <w:tcPr>
            <w:tcW w:type="dxa" w:w="1715"/>
          </w:tcPr>
          <w:p>
            <w:pPr>
              <w:spacing w:after="20" w:before="20"/>
            </w:pPr>
            <w:r/>
            <w:r>
              <w:rPr>
                <w:sz w:val="17"/>
              </w:rPr>
              <w:t>Repurpose an existing chamber</w:t>
            </w:r>
          </w:p>
        </w:tc>
        <w:tc>
          <w:tcPr>
            <w:tcW w:type="dxa" w:w="1083"/>
          </w:tcPr>
          <w:p>
            <w:pPr>
              <w:spacing w:after="20" w:before="20"/>
            </w:pPr>
            <w:r/>
            <w:r>
              <w:rPr>
                <w:sz w:val="17"/>
              </w:rPr>
              <w:t>Day 1</w:t>
            </w:r>
          </w:p>
        </w:tc>
        <w:tc>
          <w:tcPr>
            <w:tcW w:type="dxa" w:w="1715"/>
          </w:tcPr>
          <w:p>
            <w:pPr>
              <w:spacing w:after="20" w:before="20"/>
            </w:pPr>
            <w:r/>
            <w:r>
              <w:rPr>
                <w:b/>
                <w:sz w:val="17"/>
              </w:rPr>
              <w:t>Ruled out</w:t>
            </w:r>
          </w:p>
        </w:tc>
        <w:tc>
          <w:tcPr>
            <w:tcW w:type="dxa" w:w="4514"/>
          </w:tcPr>
          <w:p>
            <w:pPr>
              <w:spacing w:after="20" w:before="20"/>
            </w:pPr>
            <w:r/>
            <w:r>
              <w:rPr>
                <w:sz w:val="17"/>
              </w:rPr>
              <w:t>No chamber, incubator or environmental enclosure exists at Roboteq HQ. The rig is a ground-up build.</w:t>
            </w:r>
          </w:p>
        </w:tc>
      </w:tr>
      <w:tr>
        <w:tc>
          <w:tcPr>
            <w:tcW w:type="dxa" w:w="1715"/>
          </w:tcPr>
          <w:p>
            <w:pPr>
              <w:spacing w:after="20" w:before="20"/>
            </w:pPr>
            <w:r/>
            <w:r>
              <w:rPr>
                <w:sz w:val="17"/>
              </w:rPr>
              <w:t>Coolant medium</w:t>
            </w:r>
          </w:p>
        </w:tc>
        <w:tc>
          <w:tcPr>
            <w:tcW w:type="dxa" w:w="1083"/>
          </w:tcPr>
          <w:p>
            <w:pPr>
              <w:spacing w:after="20" w:before="20"/>
            </w:pPr>
            <w:r/>
            <w:r>
              <w:rPr>
                <w:sz w:val="17"/>
              </w:rPr>
              <w:t>Early July</w:t>
            </w:r>
          </w:p>
        </w:tc>
        <w:tc>
          <w:tcPr>
            <w:tcW w:type="dxa" w:w="1715"/>
          </w:tcPr>
          <w:p>
            <w:pPr>
              <w:spacing w:after="20" w:before="20"/>
            </w:pPr>
            <w:r/>
            <w:r>
              <w:rPr>
                <w:b/>
                <w:sz w:val="17"/>
              </w:rPr>
              <w:t>Water, closed recirculating loop</w:t>
            </w:r>
          </w:p>
        </w:tc>
        <w:tc>
          <w:tcPr>
            <w:tcW w:type="dxa" w:w="4514"/>
          </w:tcPr>
          <w:p>
            <w:pPr>
              <w:spacing w:after="20" w:before="20"/>
            </w:pPr>
            <w:r/>
            <w:r>
              <w:rPr>
                <w:sz w:val="17"/>
              </w:rPr>
              <w:t>Water's volumetric heat capacity is ~3 000–4 000× air's, so the same heat is carried by a manageable flow with a readable ΔT. Matches RD-01; RD-03's mains-fed open loop is explicitly what its own future-work section recommends moving away from.</w:t>
            </w:r>
          </w:p>
        </w:tc>
      </w:tr>
      <w:tr>
        <w:tc>
          <w:tcPr>
            <w:tcW w:type="dxa" w:w="1715"/>
          </w:tcPr>
          <w:p>
            <w:pPr>
              <w:spacing w:after="20" w:before="20"/>
            </w:pPr>
            <w:r/>
            <w:r>
              <w:rPr>
                <w:sz w:val="17"/>
              </w:rPr>
              <w:t>Chamber topology</w:t>
            </w:r>
          </w:p>
        </w:tc>
        <w:tc>
          <w:tcPr>
            <w:tcW w:type="dxa" w:w="1083"/>
          </w:tcPr>
          <w:p>
            <w:pPr>
              <w:spacing w:after="20" w:before="20"/>
            </w:pPr>
            <w:r/>
            <w:r>
              <w:rPr>
                <w:sz w:val="17"/>
              </w:rPr>
              <w:t>2026-07-10, reaffirmed 07-13</w:t>
            </w:r>
          </w:p>
        </w:tc>
        <w:tc>
          <w:tcPr>
            <w:tcW w:type="dxa" w:w="1715"/>
          </w:tcPr>
          <w:p>
            <w:pPr>
              <w:spacing w:after="20" w:before="20"/>
            </w:pPr>
            <w:r/>
            <w:r>
              <w:rPr>
                <w:b/>
                <w:sz w:val="17"/>
              </w:rPr>
              <w:t>Air-gap DJC (topology 3)</w:t>
            </w:r>
          </w:p>
        </w:tc>
        <w:tc>
          <w:tcPr>
            <w:tcW w:type="dxa" w:w="4514"/>
          </w:tcPr>
          <w:p>
            <w:pPr>
              <w:spacing w:after="20" w:before="20"/>
            </w:pPr>
            <w:r/>
            <w:r>
              <w:rPr>
                <w:sz w:val="17"/>
              </w:rPr>
              <w:t>Accuracy at the low-loss end. The surface-heated variant (topology 2) stays documented as the fallback.</w:t>
            </w:r>
          </w:p>
        </w:tc>
      </w:tr>
      <w:tr>
        <w:tc>
          <w:tcPr>
            <w:tcW w:type="dxa" w:w="1715"/>
          </w:tcPr>
          <w:p>
            <w:pPr>
              <w:spacing w:after="20" w:before="20"/>
            </w:pPr>
            <w:r/>
            <w:r>
              <w:rPr>
                <w:sz w:val="17"/>
              </w:rPr>
              <w:t>Readout method</w:t>
            </w:r>
          </w:p>
        </w:tc>
        <w:tc>
          <w:tcPr>
            <w:tcW w:type="dxa" w:w="1083"/>
          </w:tcPr>
          <w:p>
            <w:pPr>
              <w:spacing w:after="20" w:before="20"/>
            </w:pPr>
            <w:r/>
            <w:r>
              <w:rPr>
                <w:sz w:val="17"/>
              </w:rPr>
              <w:t>Early July</w:t>
            </w:r>
          </w:p>
        </w:tc>
        <w:tc>
          <w:tcPr>
            <w:tcW w:type="dxa" w:w="1715"/>
          </w:tcPr>
          <w:p>
            <w:pPr>
              <w:spacing w:after="20" w:before="20"/>
            </w:pPr>
            <w:r/>
            <w:r>
              <w:rPr>
                <w:b/>
                <w:sz w:val="17"/>
              </w:rPr>
              <w:t>Flow readout, guard used only to null</w:t>
            </w:r>
          </w:p>
        </w:tc>
        <w:tc>
          <w:tcPr>
            <w:tcW w:type="dxa" w:w="4514"/>
          </w:tcPr>
          <w:p>
            <w:pPr>
              <w:spacing w:after="20" w:before="20"/>
            </w:pPr>
            <w:r/>
            <w:r>
              <w:rPr>
                <w:sz w:val="17"/>
              </w:rPr>
              <w:t>Substitution keeps its role as the calibration method, not as the readout.</w:t>
            </w:r>
          </w:p>
        </w:tc>
      </w:tr>
      <w:tr>
        <w:tc>
          <w:tcPr>
            <w:tcW w:type="dxa" w:w="1715"/>
          </w:tcPr>
          <w:p>
            <w:pPr>
              <w:spacing w:after="20" w:before="20"/>
            </w:pPr>
            <w:r/>
            <w:r>
              <w:rPr>
                <w:sz w:val="17"/>
              </w:rPr>
              <w:t>Preheat stage</w:t>
            </w:r>
          </w:p>
        </w:tc>
        <w:tc>
          <w:tcPr>
            <w:tcW w:type="dxa" w:w="1083"/>
          </w:tcPr>
          <w:p>
            <w:pPr>
              <w:spacing w:after="20" w:before="20"/>
            </w:pPr>
            <w:r/>
            <w:r>
              <w:rPr>
                <w:sz w:val="17"/>
              </w:rPr>
              <w:t>Mid July</w:t>
            </w:r>
          </w:p>
        </w:tc>
        <w:tc>
          <w:tcPr>
            <w:tcW w:type="dxa" w:w="1715"/>
          </w:tcPr>
          <w:p>
            <w:pPr>
              <w:spacing w:after="20" w:before="20"/>
            </w:pPr>
            <w:r/>
            <w:r>
              <w:rPr>
                <w:b/>
                <w:sz w:val="17"/>
              </w:rPr>
              <w:t>Adopted</w:t>
            </w:r>
          </w:p>
        </w:tc>
        <w:tc>
          <w:tcPr>
            <w:tcW w:type="dxa" w:w="4514"/>
          </w:tcPr>
          <w:p>
            <w:pPr>
              <w:spacing w:after="20" w:before="20"/>
            </w:pPr>
            <w:r/>
            <w:r>
              <w:rPr>
                <w:sz w:val="17"/>
              </w:rPr>
              <w:t>RD-01's technique: pre-load the chamber to near the expected operating point with a known resistor before the DUT is switched on, which removes most of the first-point warm-up. The same resistor doubles as the calibration reference.</w:t>
            </w:r>
          </w:p>
        </w:tc>
      </w:tr>
      <w:tr>
        <w:tc>
          <w:tcPr>
            <w:tcW w:type="dxa" w:w="1715"/>
          </w:tcPr>
          <w:p>
            <w:pPr>
              <w:spacing w:after="20" w:before="20"/>
            </w:pPr>
            <w:r/>
            <w:r>
              <w:rPr>
                <w:sz w:val="17"/>
              </w:rPr>
              <w:t>Gap skin finish</w:t>
            </w:r>
          </w:p>
        </w:tc>
        <w:tc>
          <w:tcPr>
            <w:tcW w:type="dxa" w:w="1083"/>
          </w:tcPr>
          <w:p>
            <w:pPr>
              <w:spacing w:after="20" w:before="20"/>
            </w:pPr>
            <w:r/>
            <w:r>
              <w:rPr>
                <w:sz w:val="17"/>
              </w:rPr>
              <w:t>Mid July</w:t>
            </w:r>
          </w:p>
        </w:tc>
        <w:tc>
          <w:tcPr>
            <w:tcW w:type="dxa" w:w="1715"/>
          </w:tcPr>
          <w:p>
            <w:pPr>
              <w:spacing w:after="20" w:before="20"/>
            </w:pPr>
            <w:r/>
            <w:r>
              <w:rPr>
                <w:b/>
                <w:sz w:val="17"/>
              </w:rPr>
              <w:t>Aluminium-foil lining, both facing skins</w:t>
            </w:r>
          </w:p>
        </w:tc>
        <w:tc>
          <w:tcPr>
            <w:tcW w:type="dxa" w:w="4514"/>
          </w:tcPr>
          <w:p>
            <w:pPr>
              <w:spacing w:after="20" w:before="20"/>
            </w:pPr>
            <w:r/>
            <w:r>
              <w:rPr>
                <w:sz w:val="17"/>
              </w:rPr>
              <w:t>Radiation across the gap, not conduction, is the dominant leak with bare skins — see §5.4. Foil is a ~30× reduction and is what makes the guard spec affordable.</w:t>
            </w:r>
          </w:p>
        </w:tc>
      </w:tr>
      <w:tr>
        <w:tc>
          <w:tcPr>
            <w:tcW w:type="dxa" w:w="1715"/>
          </w:tcPr>
          <w:p>
            <w:pPr>
              <w:spacing w:after="20" w:before="20"/>
            </w:pPr>
            <w:r/>
            <w:r>
              <w:rPr>
                <w:sz w:val="17"/>
              </w:rPr>
              <w:t>DUT-class modularity — copper cold block</w:t>
            </w:r>
          </w:p>
        </w:tc>
        <w:tc>
          <w:tcPr>
            <w:tcW w:type="dxa" w:w="1083"/>
          </w:tcPr>
          <w:p>
            <w:pPr>
              <w:spacing w:after="20" w:before="20"/>
            </w:pPr>
            <w:r/>
            <w:r>
              <w:rPr>
                <w:sz w:val="17"/>
              </w:rPr>
              <w:t xml:space="preserve">Designed July; </w:t>
            </w:r>
            <w:r>
              <w:rPr>
                <w:b/>
                <w:sz w:val="17"/>
              </w:rPr>
              <w:t>dropped 2026-08-27</w:t>
            </w:r>
          </w:p>
        </w:tc>
        <w:tc>
          <w:tcPr>
            <w:tcW w:type="dxa" w:w="1715"/>
          </w:tcPr>
          <w:p>
            <w:pPr>
              <w:spacing w:after="20" w:before="20"/>
            </w:pPr>
            <w:r/>
            <w:r>
              <w:rPr>
                <w:b/>
                <w:sz w:val="17"/>
              </w:rPr>
              <w:t>Removed from build scope</w:t>
            </w:r>
          </w:p>
        </w:tc>
        <w:tc>
          <w:tcPr>
            <w:tcW w:type="dxa" w:w="4514"/>
          </w:tcPr>
          <w:p>
            <w:pPr>
              <w:spacing w:after="20" w:before="20"/>
            </w:pPr>
            <w:r/>
            <w:r>
              <w:rPr>
                <w:sz w:val="17"/>
              </w:rPr>
              <w:t>An optional water-cooled copper block was designed so a high-TDP DUT could dump heat straight into the water instead of into the chamber air. It was proven accuracy-neutral, but the F-series DUT dissipates about 15 W at its efficient operating points, where the block buys nothing. It was dropped as a time-box call, not a technical failure. See the note below.</w:t>
            </w:r>
          </w:p>
        </w:tc>
      </w:tr>
      <w:tr>
        <w:tc>
          <w:tcPr>
            <w:tcW w:type="dxa" w:w="1715"/>
          </w:tcPr>
          <w:p>
            <w:pPr>
              <w:spacing w:after="20" w:before="20"/>
            </w:pPr>
            <w:r/>
            <w:r>
              <w:rPr>
                <w:sz w:val="17"/>
              </w:rPr>
              <w:t>Chamber temperature target and flow band</w:t>
            </w:r>
          </w:p>
        </w:tc>
        <w:tc>
          <w:tcPr>
            <w:tcW w:type="dxa" w:w="1083"/>
          </w:tcPr>
          <w:p>
            <w:pPr>
              <w:spacing w:after="20" w:before="20"/>
            </w:pPr>
            <w:r/>
            <w:r>
              <w:rPr>
                <w:sz w:val="17"/>
              </w:rPr>
              <w:t>2026-08-27</w:t>
            </w:r>
          </w:p>
        </w:tc>
        <w:tc>
          <w:tcPr>
            <w:tcW w:type="dxa" w:w="1715"/>
          </w:tcPr>
          <w:p>
            <w:pPr>
              <w:spacing w:after="20" w:before="20"/>
            </w:pPr>
            <w:r/>
            <w:r>
              <w:rPr>
                <w:b/>
                <w:sz w:val="17"/>
              </w:rPr>
              <w:t>Chamber T</w:t>
            </w:r>
            <w:r>
              <w:rPr>
                <w:b/>
                <w:sz w:val="17"/>
                <w:vertAlign w:val="subscript"/>
              </w:rPr>
              <w:t>ss</w:t>
            </w:r>
            <w:r>
              <w:rPr>
                <w:b/>
                <w:sz w:val="17"/>
              </w:rPr>
              <w:t xml:space="preserve"> raised to 50–60 °C</w:t>
            </w:r>
          </w:p>
        </w:tc>
        <w:tc>
          <w:tcPr>
            <w:tcW w:type="dxa" w:w="4514"/>
          </w:tcPr>
          <w:p>
            <w:pPr>
              <w:spacing w:after="20" w:before="20"/>
            </w:pPr>
            <w:r/>
            <w:r>
              <w:rPr>
                <w:sz w:val="17"/>
              </w:rPr>
              <w:t>Supervisor-driven. Raises the available ΔT and lowers the required flow. The consequences for the low-power corner are quantified in §7.9.2 and are not entirely benign.</w:t>
            </w:r>
          </w:p>
        </w:tc>
      </w:tr>
      <w:tr>
        <w:tc>
          <w:tcPr>
            <w:tcW w:type="dxa" w:w="1715"/>
          </w:tcPr>
          <w:p>
            <w:pPr>
              <w:spacing w:after="20" w:before="20"/>
            </w:pPr>
            <w:r/>
            <w:r>
              <w:rPr>
                <w:sz w:val="17"/>
              </w:rPr>
              <w:t>Pump</w:t>
            </w:r>
          </w:p>
        </w:tc>
        <w:tc>
          <w:tcPr>
            <w:tcW w:type="dxa" w:w="1083"/>
          </w:tcPr>
          <w:p>
            <w:pPr>
              <w:spacing w:after="20" w:before="20"/>
            </w:pPr>
            <w:r/>
            <w:r>
              <w:rPr>
                <w:sz w:val="17"/>
              </w:rPr>
              <w:t>2026-08-27</w:t>
            </w:r>
          </w:p>
        </w:tc>
        <w:tc>
          <w:tcPr>
            <w:tcW w:type="dxa" w:w="1715"/>
          </w:tcPr>
          <w:p>
            <w:pPr>
              <w:spacing w:after="20" w:before="20"/>
            </w:pPr>
            <w:r/>
            <w:r>
              <w:rPr>
                <w:b/>
                <w:sz w:val="17"/>
              </w:rPr>
              <w:t>JwardTech 304K/BT peristaltic, stepper variant</w:t>
            </w:r>
          </w:p>
        </w:tc>
        <w:tc>
          <w:tcPr>
            <w:tcW w:type="dxa" w:w="4514"/>
          </w:tcPr>
          <w:p>
            <w:pPr>
              <w:spacing w:after="20" w:before="20"/>
            </w:pPr>
            <w:r/>
            <w:r>
              <w:rPr>
                <w:sz w:val="17"/>
              </w:rPr>
              <w:t>Replaces the previously listed Kamoer KPHM600, which at 600–800 mL/min was about 10× too high-flow once the target ΔT rose. The stepper's low end goes cleanly toward zero, unlike a brushless pump's duty-cycle deadband.</w:t>
            </w:r>
          </w:p>
        </w:tc>
      </w:tr>
      <w:tr>
        <w:tc>
          <w:tcPr>
            <w:tcW w:type="dxa" w:w="1715"/>
          </w:tcPr>
          <w:p>
            <w:pPr>
              <w:spacing w:after="20" w:before="20"/>
            </w:pPr>
            <w:r/>
            <w:r>
              <w:rPr>
                <w:sz w:val="17"/>
              </w:rPr>
              <w:t>Flow metering</w:t>
            </w:r>
          </w:p>
        </w:tc>
        <w:tc>
          <w:tcPr>
            <w:tcW w:type="dxa" w:w="1083"/>
          </w:tcPr>
          <w:p>
            <w:pPr>
              <w:spacing w:after="20" w:before="20"/>
            </w:pPr>
            <w:r/>
            <w:r>
              <w:rPr>
                <w:sz w:val="17"/>
              </w:rPr>
              <w:t>2026-08-27</w:t>
            </w:r>
          </w:p>
        </w:tc>
        <w:tc>
          <w:tcPr>
            <w:tcW w:type="dxa" w:w="1715"/>
          </w:tcPr>
          <w:p>
            <w:pPr>
              <w:spacing w:after="20" w:before="20"/>
            </w:pPr>
            <w:r/>
            <w:r>
              <w:rPr>
                <w:b/>
                <w:sz w:val="17"/>
              </w:rPr>
              <w:t>Biotech turbine sensor is the meter</w:t>
            </w:r>
          </w:p>
        </w:tc>
        <w:tc>
          <w:tcPr>
            <w:tcW w:type="dxa" w:w="4514"/>
          </w:tcPr>
          <w:p>
            <w:pPr>
              <w:spacing w:after="20" w:before="20"/>
            </w:pPr>
            <w:r/>
            <w:r>
              <w:rPr>
                <w:sz w:val="17"/>
              </w:rPr>
              <w:t>Pump-as-flow-meter (step count × displacement) is not used for metrology; the pump is purely the flow actuator.</w:t>
            </w:r>
          </w:p>
        </w:tc>
      </w:tr>
      <w:tr>
        <w:tc>
          <w:tcPr>
            <w:tcW w:type="dxa" w:w="1715"/>
          </w:tcPr>
          <w:p>
            <w:pPr>
              <w:spacing w:after="20" w:before="20"/>
            </w:pPr>
            <w:r/>
            <w:r>
              <w:rPr>
                <w:sz w:val="17"/>
              </w:rPr>
              <w:t>Chamber and wall sensing bus</w:t>
            </w:r>
          </w:p>
        </w:tc>
        <w:tc>
          <w:tcPr>
            <w:tcW w:type="dxa" w:w="1083"/>
          </w:tcPr>
          <w:p>
            <w:pPr>
              <w:spacing w:after="20" w:before="20"/>
            </w:pPr>
            <w:r/>
            <w:r>
              <w:rPr>
                <w:sz w:val="17"/>
              </w:rPr>
              <w:t>2026-08-27</w:t>
            </w:r>
          </w:p>
        </w:tc>
        <w:tc>
          <w:tcPr>
            <w:tcW w:type="dxa" w:w="1715"/>
          </w:tcPr>
          <w:p>
            <w:pPr>
              <w:spacing w:after="20" w:before="20"/>
            </w:pPr>
            <w:r/>
            <w:r>
              <w:rPr>
                <w:b/>
                <w:sz w:val="17"/>
              </w:rPr>
              <w:t>TMP117 over I²C for both chamber and guard array</w:t>
            </w:r>
          </w:p>
        </w:tc>
        <w:tc>
          <w:tcPr>
            <w:tcW w:type="dxa" w:w="4514"/>
          </w:tcPr>
          <w:p>
            <w:pPr>
              <w:spacing w:after="20" w:before="20"/>
            </w:pPr>
            <w:r/>
            <w:r>
              <w:rPr>
                <w:sz w:val="17"/>
              </w:rPr>
              <w:t>Resolves an open three-way choice. Confirms I²C as the sensor bus, and therefore the need for an address multiplexer, since the guard array alone needs 8–12 sensors and the part has only four addresses.</w:t>
            </w:r>
          </w:p>
        </w:tc>
      </w:tr>
      <w:tr>
        <w:tc>
          <w:tcPr>
            <w:tcW w:type="dxa" w:w="1715"/>
          </w:tcPr>
          <w:p>
            <w:pPr>
              <w:spacing w:after="20" w:before="20"/>
            </w:pPr>
            <w:r/>
            <w:r>
              <w:rPr>
                <w:sz w:val="17"/>
              </w:rPr>
              <w:t>Water ΔT sensing</w:t>
            </w:r>
          </w:p>
        </w:tc>
        <w:tc>
          <w:tcPr>
            <w:tcW w:type="dxa" w:w="1083"/>
          </w:tcPr>
          <w:p>
            <w:pPr>
              <w:spacing w:after="20" w:before="20"/>
            </w:pPr>
            <w:r/>
            <w:r>
              <w:rPr>
                <w:sz w:val="17"/>
              </w:rPr>
              <w:t>2026-08-27</w:t>
            </w:r>
          </w:p>
        </w:tc>
        <w:tc>
          <w:tcPr>
            <w:tcW w:type="dxa" w:w="1715"/>
          </w:tcPr>
          <w:p>
            <w:pPr>
              <w:spacing w:after="20" w:before="20"/>
            </w:pPr>
            <w:r/>
            <w:r>
              <w:rPr>
                <w:b/>
                <w:sz w:val="17"/>
              </w:rPr>
              <w:t>Jumo VIBROtemp pair, bare RTD</w:t>
            </w:r>
          </w:p>
        </w:tc>
        <w:tc>
          <w:tcPr>
            <w:tcW w:type="dxa" w:w="4514"/>
          </w:tcPr>
          <w:p>
            <w:pPr>
              <w:spacing w:after="20" w:before="20"/>
            </w:pPr>
            <w:r/>
            <w:r>
              <w:rPr>
                <w:sz w:val="17"/>
              </w:rPr>
              <w:t>The ordered variant has no integrated transmitter, so a MAX31865-class front end per probe is required on the carrier board.</w:t>
            </w:r>
          </w:p>
        </w:tc>
      </w:tr>
      <w:tr>
        <w:tc>
          <w:tcPr>
            <w:tcW w:type="dxa" w:w="1715"/>
          </w:tcPr>
          <w:p>
            <w:pPr>
              <w:spacing w:after="20" w:before="20"/>
            </w:pPr>
            <w:r/>
            <w:r>
              <w:rPr>
                <w:sz w:val="17"/>
              </w:rPr>
              <w:t>MCU and RTOS</w:t>
            </w:r>
          </w:p>
        </w:tc>
        <w:tc>
          <w:tcPr>
            <w:tcW w:type="dxa" w:w="1083"/>
          </w:tcPr>
          <w:p>
            <w:pPr>
              <w:spacing w:after="20" w:before="20"/>
            </w:pPr>
            <w:r/>
            <w:r>
              <w:rPr>
                <w:sz w:val="17"/>
              </w:rPr>
              <w:t>August</w:t>
            </w:r>
          </w:p>
        </w:tc>
        <w:tc>
          <w:tcPr>
            <w:tcW w:type="dxa" w:w="1715"/>
          </w:tcPr>
          <w:p>
            <w:pPr>
              <w:spacing w:after="20" w:before="20"/>
            </w:pPr>
            <w:r/>
            <w:r>
              <w:rPr>
                <w:b/>
                <w:sz w:val="17"/>
              </w:rPr>
              <w:t>ESP32-S3 DevKitC running Zephyr</w:t>
            </w:r>
          </w:p>
        </w:tc>
        <w:tc>
          <w:tcPr>
            <w:tcW w:type="dxa" w:w="4514"/>
          </w:tcPr>
          <w:p>
            <w:pPr>
              <w:spacing w:after="20" w:before="20"/>
            </w:pPr>
            <w:r/>
            <w:r>
              <w:rPr>
                <w:sz w:val="17"/>
              </w:rPr>
              <w:t>Native Wi-Fi for live telemetry, existing Zephyr board support, and a module that plugs into a carrier board rather than a bespoke SoC design.</w:t>
            </w:r>
          </w:p>
        </w:tc>
      </w:tr>
      <w:tr>
        <w:tc>
          <w:tcPr>
            <w:tcW w:type="dxa" w:w="1715"/>
          </w:tcPr>
          <w:p>
            <w:pPr>
              <w:spacing w:after="20" w:before="20"/>
            </w:pPr>
            <w:r/>
            <w:r>
              <w:rPr>
                <w:sz w:val="17"/>
              </w:rPr>
              <w:t>Supply rail</w:t>
            </w:r>
          </w:p>
        </w:tc>
        <w:tc>
          <w:tcPr>
            <w:tcW w:type="dxa" w:w="1083"/>
          </w:tcPr>
          <w:p>
            <w:pPr>
              <w:spacing w:after="20" w:before="20"/>
            </w:pPr>
            <w:r/>
            <w:r>
              <w:rPr>
                <w:sz w:val="17"/>
              </w:rPr>
              <w:t>August</w:t>
            </w:r>
          </w:p>
        </w:tc>
        <w:tc>
          <w:tcPr>
            <w:tcW w:type="dxa" w:w="1715"/>
          </w:tcPr>
          <w:p>
            <w:pPr>
              <w:spacing w:after="20" w:before="20"/>
            </w:pPr>
            <w:r/>
            <w:r>
              <w:rPr>
                <w:b/>
                <w:sz w:val="17"/>
              </w:rPr>
              <w:t>Single 12 V rail (LRS-350-12 class)</w:t>
            </w:r>
          </w:p>
        </w:tc>
        <w:tc>
          <w:tcPr>
            <w:tcW w:type="dxa" w:w="4514"/>
          </w:tcPr>
          <w:p>
            <w:pPr>
              <w:spacing w:after="20" w:before="20"/>
            </w:pPr>
            <w:r/>
            <w:r>
              <w:rPr>
                <w:sz w:val="17"/>
              </w:rPr>
              <w:t>Sized bottom-up from the two 100 W heaters, fans and pump — about 22 A against the supply's 29 A.</w:t>
            </w:r>
          </w:p>
        </w:tc>
      </w:tr>
    </w:tbl>
    <w:p>
      <w:pPr>
        <w:spacing w:before="60" w:after="200"/>
        <w:jc w:val="left"/>
      </w:pPr>
      <w:r>
        <w:rPr>
          <w:i/>
          <w:sz w:val="18"/>
        </w:rPr>
        <w:t>Table 8. Design decisions and revisions, in the order they were made.</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On the copper block, and on notes that still mention it</w:t>
            </w:r>
          </w:p>
          <w:p>
            <w:pPr>
              <w:spacing w:after="40"/>
            </w:pPr>
            <w:r>
              <w:rPr>
                <w:sz w:val="19"/>
              </w:rPr>
              <w:t xml:space="preserve">The rig was originally intended to carry an optional copper cold plate bolted to the DUT's baseplate, so that a high-TDP device could send most of its heat straight into the water (a split fraction α ≈ 0.97) rather than into the chamber air (α = 0). The analysis showed the reading is exactly </w:t>
            </w:r>
            <w:r>
              <w:rPr>
                <w:b/>
                <w:sz w:val="19"/>
              </w:rPr>
              <w:t>independent of α</w:t>
            </w:r>
            <w:r>
              <w:rPr>
                <w:sz w:val="19"/>
              </w:rPr>
              <w:t xml:space="preserve"> — see §6.6 — so the block was never an accuracy feature; it was a way to widen the usable DUT range past ~200 W. Since the F-series DUT dissipates roughly 15 W at its efficient operating points and 200 W at worst, the block earns nothing on this DUT, and it was dropped from build scope on 2026-08-27 with the supervisor's agreement. </w:t>
            </w:r>
            <w:r>
              <w:rPr>
                <w:b/>
                <w:sz w:val="19"/>
              </w:rPr>
              <w:t>The built rig is the α = 0, radiator-only case.</w:t>
            </w:r>
            <w:r>
              <w:rPr>
                <w:sz w:val="19"/>
              </w:rPr>
              <w:t xml:space="preserve"> Several working notes, some BOM links and the default </w:t>
            </w:r>
            <w:r>
              <w:rPr>
                <w:rFonts w:ascii="Consolas" w:hAnsi="Consolas"/>
                <w:sz w:val="19"/>
              </w:rPr>
              <w:t>alpha: 0.97</w:t>
            </w:r>
            <w:r>
              <w:rPr>
                <w:sz w:val="19"/>
              </w:rPr>
              <w:t xml:space="preserve"> in </w:t>
            </w:r>
            <w:r>
              <w:rPr>
                <w:rFonts w:ascii="Consolas" w:hAnsi="Consolas"/>
                <w:sz w:val="19"/>
              </w:rPr>
              <w:t>params.yaml</w:t>
            </w:r>
            <w:r>
              <w:rPr>
                <w:sz w:val="19"/>
              </w:rPr>
              <w:t xml:space="preserve"> still refer to the block; they are historical and are not part of the delivered design.</w:t>
            </w:r>
          </w:p>
        </w:tc>
      </w:tr>
    </w:tbl>
    <w:p>
      <w:pPr>
        <w:spacing w:after="80"/>
      </w:pPr>
    </w:p>
    <w:p>
      <w:pPr>
        <w:pStyle w:val="Heading1"/>
      </w:pPr>
      <w:r>
        <w:t>Thermal Model</w:t>
      </w:r>
    </w:p>
    <w:p>
      <w:pPr>
        <w:pStyle w:val="Heading2"/>
      </w:pPr>
      <w:r>
        <w:t>Modelling approach</w:t>
      </w:r>
    </w:p>
    <w:p>
      <w:pPr>
        <w:spacing w:after="120"/>
      </w:pPr>
      <w:r>
        <w:t xml:space="preserve">The chamber is modelled as a </w:t>
      </w:r>
      <w:r>
        <w:rPr>
          <w:b/>
        </w:rPr>
        <w:t>lumped thermal network</w:t>
      </w:r>
      <w:r>
        <w:t>: a small number of bodies, each at one temperature, connected by conductances, each storing energy in a capacitance. This is the standard resistor-capacitor network of circuit theory with the labels changed, and the analogy is exact rather than decorative: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4013"/>
            <w:shd w:val="clear" w:color="auto" w:fill="DEEAF6"/>
          </w:tcPr>
          <w:p>
            <w:pPr>
              <w:spacing w:after="20" w:before="20"/>
            </w:pPr>
            <w:r/>
            <w:r>
              <w:rPr>
                <w:b/>
                <w:sz w:val="18"/>
              </w:rPr>
              <w:t>Thermal</w:t>
            </w:r>
          </w:p>
        </w:tc>
        <w:tc>
          <w:tcPr>
            <w:tcW w:type="dxa" w:w="3344"/>
            <w:shd w:val="clear" w:color="auto" w:fill="DEEAF6"/>
          </w:tcPr>
          <w:p>
            <w:pPr>
              <w:spacing w:after="20" w:before="20"/>
            </w:pPr>
            <w:r/>
            <w:r>
              <w:rPr>
                <w:b/>
                <w:sz w:val="18"/>
              </w:rPr>
              <w:t>Electrical</w:t>
            </w:r>
          </w:p>
        </w:tc>
        <w:tc>
          <w:tcPr>
            <w:tcW w:type="dxa" w:w="1672"/>
            <w:shd w:val="clear" w:color="auto" w:fill="DEEAF6"/>
          </w:tcPr>
          <w:p>
            <w:pPr>
              <w:spacing w:after="20" w:before="20"/>
            </w:pPr>
            <w:r/>
            <w:r>
              <w:rPr>
                <w:b/>
                <w:sz w:val="18"/>
              </w:rPr>
              <w:t>Unit</w:t>
            </w:r>
          </w:p>
        </w:tc>
      </w:tr>
      <w:tr>
        <w:tc>
          <w:tcPr>
            <w:tcW w:type="dxa" w:w="4013"/>
          </w:tcPr>
          <w:p>
            <w:pPr>
              <w:spacing w:after="20" w:before="20"/>
            </w:pPr>
            <w:r/>
            <w:r>
              <w:rPr>
                <w:sz w:val="18"/>
              </w:rPr>
              <w:t>Temperature T</w:t>
            </w:r>
          </w:p>
        </w:tc>
        <w:tc>
          <w:tcPr>
            <w:tcW w:type="dxa" w:w="3344"/>
          </w:tcPr>
          <w:p>
            <w:pPr>
              <w:spacing w:after="20" w:before="20"/>
            </w:pPr>
            <w:r/>
            <w:r>
              <w:rPr>
                <w:sz w:val="18"/>
              </w:rPr>
              <w:t>Voltage</w:t>
            </w:r>
          </w:p>
        </w:tc>
        <w:tc>
          <w:tcPr>
            <w:tcW w:type="dxa" w:w="1672"/>
          </w:tcPr>
          <w:p>
            <w:pPr>
              <w:spacing w:after="20" w:before="20"/>
            </w:pPr>
            <w:r/>
            <w:r>
              <w:rPr>
                <w:sz w:val="18"/>
              </w:rPr>
              <w:t>K</w:t>
            </w:r>
          </w:p>
        </w:tc>
      </w:tr>
      <w:tr>
        <w:tc>
          <w:tcPr>
            <w:tcW w:type="dxa" w:w="4013"/>
          </w:tcPr>
          <w:p>
            <w:pPr>
              <w:spacing w:after="20" w:before="20"/>
            </w:pPr>
            <w:r/>
            <w:r>
              <w:rPr>
                <w:sz w:val="18"/>
              </w:rPr>
              <w:t>Heat flow Q̇, power P</w:t>
            </w:r>
          </w:p>
        </w:tc>
        <w:tc>
          <w:tcPr>
            <w:tcW w:type="dxa" w:w="3344"/>
          </w:tcPr>
          <w:p>
            <w:pPr>
              <w:spacing w:after="20" w:before="20"/>
            </w:pPr>
            <w:r/>
            <w:r>
              <w:rPr>
                <w:sz w:val="18"/>
              </w:rPr>
              <w:t>Current</w:t>
            </w:r>
          </w:p>
        </w:tc>
        <w:tc>
          <w:tcPr>
            <w:tcW w:type="dxa" w:w="1672"/>
          </w:tcPr>
          <w:p>
            <w:pPr>
              <w:spacing w:after="20" w:before="20"/>
            </w:pPr>
            <w:r/>
            <w:r>
              <w:rPr>
                <w:sz w:val="18"/>
              </w:rPr>
              <w:t>W</w:t>
            </w:r>
          </w:p>
        </w:tc>
      </w:tr>
      <w:tr>
        <w:tc>
          <w:tcPr>
            <w:tcW w:type="dxa" w:w="4013"/>
          </w:tcPr>
          <w:p>
            <w:pPr>
              <w:spacing w:after="20" w:before="20"/>
            </w:pPr>
            <w:r/>
            <w:r>
              <w:rPr>
                <w:sz w:val="18"/>
              </w:rPr>
              <w:t>Thermal conductance G, UA</w:t>
            </w:r>
          </w:p>
        </w:tc>
        <w:tc>
          <w:tcPr>
            <w:tcW w:type="dxa" w:w="3344"/>
          </w:tcPr>
          <w:p>
            <w:pPr>
              <w:spacing w:after="20" w:before="20"/>
            </w:pPr>
            <w:r/>
            <w:r>
              <w:rPr>
                <w:sz w:val="18"/>
              </w:rPr>
              <w:t>Conductance</w:t>
            </w:r>
          </w:p>
        </w:tc>
        <w:tc>
          <w:tcPr>
            <w:tcW w:type="dxa" w:w="1672"/>
          </w:tcPr>
          <w:p>
            <w:pPr>
              <w:spacing w:after="20" w:before="20"/>
            </w:pPr>
            <w:r/>
            <w:r>
              <w:rPr>
                <w:sz w:val="18"/>
              </w:rPr>
              <w:t>W/K</w:t>
            </w:r>
          </w:p>
        </w:tc>
      </w:tr>
      <w:tr>
        <w:tc>
          <w:tcPr>
            <w:tcW w:type="dxa" w:w="4013"/>
          </w:tcPr>
          <w:p>
            <w:pPr>
              <w:spacing w:after="20" w:before="20"/>
            </w:pPr>
            <w:r/>
            <w:r>
              <w:rPr>
                <w:sz w:val="18"/>
              </w:rPr>
              <w:t>Thermal resistance R</w:t>
            </w:r>
            <w:r>
              <w:rPr>
                <w:sz w:val="18"/>
                <w:vertAlign w:val="subscript"/>
              </w:rPr>
              <w:t>th</w:t>
            </w:r>
            <w:r>
              <w:rPr>
                <w:sz w:val="18"/>
              </w:rPr>
              <w:t xml:space="preserve"> = 1/G</w:t>
            </w:r>
          </w:p>
        </w:tc>
        <w:tc>
          <w:tcPr>
            <w:tcW w:type="dxa" w:w="3344"/>
          </w:tcPr>
          <w:p>
            <w:pPr>
              <w:spacing w:after="20" w:before="20"/>
            </w:pPr>
            <w:r/>
            <w:r>
              <w:rPr>
                <w:sz w:val="18"/>
              </w:rPr>
              <w:t>Resistance</w:t>
            </w:r>
          </w:p>
        </w:tc>
        <w:tc>
          <w:tcPr>
            <w:tcW w:type="dxa" w:w="1672"/>
          </w:tcPr>
          <w:p>
            <w:pPr>
              <w:spacing w:after="20" w:before="20"/>
            </w:pPr>
            <w:r/>
            <w:r>
              <w:rPr>
                <w:sz w:val="18"/>
              </w:rPr>
              <w:t>K/W</w:t>
            </w:r>
          </w:p>
        </w:tc>
      </w:tr>
      <w:tr>
        <w:tc>
          <w:tcPr>
            <w:tcW w:type="dxa" w:w="4013"/>
          </w:tcPr>
          <w:p>
            <w:pPr>
              <w:spacing w:after="20" w:before="20"/>
            </w:pPr>
            <w:r/>
            <w:r>
              <w:rPr>
                <w:sz w:val="18"/>
              </w:rPr>
              <w:t>Thermal capacitance C = m·c</w:t>
            </w:r>
          </w:p>
        </w:tc>
        <w:tc>
          <w:tcPr>
            <w:tcW w:type="dxa" w:w="3344"/>
          </w:tcPr>
          <w:p>
            <w:pPr>
              <w:spacing w:after="20" w:before="20"/>
            </w:pPr>
            <w:r/>
            <w:r>
              <w:rPr>
                <w:sz w:val="18"/>
              </w:rPr>
              <w:t>Capacitance</w:t>
            </w:r>
          </w:p>
        </w:tc>
        <w:tc>
          <w:tcPr>
            <w:tcW w:type="dxa" w:w="1672"/>
          </w:tcPr>
          <w:p>
            <w:pPr>
              <w:spacing w:after="20" w:before="20"/>
            </w:pPr>
            <w:r/>
            <w:r>
              <w:rPr>
                <w:sz w:val="18"/>
              </w:rPr>
              <w:t>J/K</w:t>
            </w:r>
          </w:p>
        </w:tc>
      </w:tr>
      <w:tr>
        <w:tc>
          <w:tcPr>
            <w:tcW w:type="dxa" w:w="4013"/>
          </w:tcPr>
          <w:p>
            <w:pPr>
              <w:spacing w:after="20" w:before="20"/>
            </w:pPr>
            <w:r/>
            <w:r>
              <w:rPr>
                <w:sz w:val="18"/>
              </w:rPr>
              <w:t>First law at a node</w:t>
            </w:r>
          </w:p>
        </w:tc>
        <w:tc>
          <w:tcPr>
            <w:tcW w:type="dxa" w:w="3344"/>
          </w:tcPr>
          <w:p>
            <w:pPr>
              <w:spacing w:after="20" w:before="20"/>
            </w:pPr>
            <w:r/>
            <w:r>
              <w:rPr>
                <w:sz w:val="18"/>
              </w:rPr>
              <w:t>Kirchhoff's current law</w:t>
            </w:r>
          </w:p>
        </w:tc>
        <w:tc>
          <w:tcPr>
            <w:tcW w:type="dxa" w:w="1672"/>
          </w:tcPr>
          <w:p>
            <w:pPr>
              <w:spacing w:after="20" w:before="20"/>
            </w:pPr>
            <w:r/>
            <w:r>
              <w:rPr>
                <w:sz w:val="18"/>
              </w:rPr>
              <w:t>—</w:t>
            </w:r>
          </w:p>
        </w:tc>
      </w:tr>
      <w:tr>
        <w:tc>
          <w:tcPr>
            <w:tcW w:type="dxa" w:w="4013"/>
          </w:tcPr>
          <w:p>
            <w:pPr>
              <w:spacing w:after="20" w:before="20"/>
            </w:pPr>
            <w:r/>
            <w:r>
              <w:rPr>
                <w:sz w:val="18"/>
              </w:rPr>
              <w:t>Time constant τ = C/G</w:t>
            </w:r>
          </w:p>
        </w:tc>
        <w:tc>
          <w:tcPr>
            <w:tcW w:type="dxa" w:w="3344"/>
          </w:tcPr>
          <w:p>
            <w:pPr>
              <w:spacing w:after="20" w:before="20"/>
            </w:pPr>
            <w:r/>
            <w:r>
              <w:rPr>
                <w:sz w:val="18"/>
              </w:rPr>
              <w:t>τ = RC</w:t>
            </w:r>
          </w:p>
        </w:tc>
        <w:tc>
          <w:tcPr>
            <w:tcW w:type="dxa" w:w="1672"/>
          </w:tcPr>
          <w:p>
            <w:pPr>
              <w:spacing w:after="20" w:before="20"/>
            </w:pPr>
            <w:r/>
            <w:r>
              <w:rPr>
                <w:sz w:val="18"/>
              </w:rPr>
              <w:t>s</w:t>
            </w:r>
          </w:p>
        </w:tc>
      </w:tr>
    </w:tbl>
    <w:p>
      <w:pPr>
        <w:spacing w:before="60" w:after="200"/>
        <w:jc w:val="left"/>
      </w:pPr>
      <w:r>
        <w:rPr>
          <w:i/>
          <w:sz w:val="18"/>
        </w:rPr>
        <w:t>Table 9. The thermal-electrical analogy used throughout. The consequence worth stating: the whole model of §5.3 can be simulated unchanged in SPICE, with watts as current sources and kelvin above ambient as node voltages.</w:t>
      </w:r>
    </w:p>
    <w:p>
      <w:pPr>
        <w:spacing w:after="120"/>
      </w:pPr>
      <w:r>
        <w:t>Three composition rules follow from the first law and are used everywhere. Paths that share the same temperature difference are in parallel and their conductances add; stages traversed in sequence are in series and their resistances add; a coolant stream entering at one temperature and leaving at the node's temperature behaves as a conductance to the inlet, G</w:t>
      </w:r>
      <w:r>
        <w:rPr>
          <w:vertAlign w:val="subscript"/>
        </w:rPr>
        <w:t>adv</w:t>
      </w:r>
      <w:r>
        <w:t xml:space="preserve"> = ṁ·c</w:t>
      </w:r>
      <w:r>
        <w:rPr>
          <w:vertAlign w:val="subscript"/>
        </w:rPr>
        <w:t>p</w:t>
      </w:r>
      <w:r>
        <w:t>.</w:t>
      </w:r>
    </w:p>
    <w:p>
      <w:pPr>
        <w:spacing w:after="120"/>
      </w:pPr>
      <w:r>
        <w:t xml:space="preserve">All temperatures are written as </w:t>
      </w:r>
      <w:r>
        <w:rPr>
          <w:b/>
        </w:rPr>
        <w:t>deviations from ambient</w:t>
      </w:r>
      <w:r>
        <w:t>, θ = T − T</w:t>
      </w:r>
      <w:r>
        <w:rPr>
          <w:vertAlign w:val="subscript"/>
        </w:rPr>
        <w:t>a</w:t>
      </w:r>
      <w:r>
        <w:t>, so ambient sits at zero and the ambient-drift disturbance appears explicitly as a −Ṫ</w:t>
      </w:r>
      <w:r>
        <w:rPr>
          <w:vertAlign w:val="subscript"/>
        </w:rPr>
        <w:t>a</w:t>
      </w:r>
      <w:r>
        <w:t xml:space="preserve"> term in every row rather than being scattered through the constants.</w:t>
      </w:r>
    </w:p>
    <w:p>
      <w:pPr>
        <w:pStyle w:val="Heading2"/>
      </w:pPr>
      <w:r>
        <w:t>Is lumping legitimate? — the Biot audit</w:t>
      </w:r>
    </w:p>
    <w:p>
      <w:pPr>
        <w:spacing w:after="120"/>
      </w:pPr>
      <w:r>
        <w:t>A body may be represented by a single temperature when its internal conduction resistance is small compared with its surface film resistance, i.e. when the Biot number is small:</w:t>
      </w:r>
    </w:p>
    <w:p>
      <w:pPr>
        <w:spacing w:before="160" w:after="160"/>
        <w:jc w:val="center"/>
      </w:pPr>
      <w:r>
        <w:rPr>
          <w:rFonts w:ascii="Cambria Math" w:hAnsi="Cambria Math"/>
          <w:sz w:val="24"/>
        </w:rPr>
        <w:t>Bi = h·L</w:t>
      </w:r>
      <w:r>
        <w:rPr>
          <w:rFonts w:ascii="Cambria Math" w:hAnsi="Cambria Math"/>
          <w:sz w:val="24"/>
          <w:vertAlign w:val="subscript"/>
        </w:rPr>
        <w:t>c</w:t>
      </w:r>
      <w:r>
        <w:rPr>
          <w:rFonts w:ascii="Cambria Math" w:hAnsi="Cambria Math"/>
          <w:sz w:val="24"/>
        </w:rPr>
        <w:t xml:space="preserve"> / k = R</w:t>
      </w:r>
      <w:r>
        <w:rPr>
          <w:rFonts w:ascii="Cambria Math" w:hAnsi="Cambria Math"/>
          <w:sz w:val="24"/>
          <w:vertAlign w:val="subscript"/>
        </w:rPr>
        <w:t>internal</w:t>
      </w:r>
      <w:r>
        <w:rPr>
          <w:rFonts w:ascii="Cambria Math" w:hAnsi="Cambria Math"/>
          <w:sz w:val="24"/>
        </w:rPr>
        <w:t xml:space="preserve"> / R</w:t>
      </w:r>
      <w:r>
        <w:rPr>
          <w:rFonts w:ascii="Cambria Math" w:hAnsi="Cambria Math"/>
          <w:sz w:val="24"/>
          <w:vertAlign w:val="subscript"/>
        </w:rPr>
        <w:t>film</w:t>
      </w:r>
      <w:r>
        <w:rPr>
          <w:rFonts w:ascii="Cambria Math" w:hAnsi="Cambria Math"/>
          <w:sz w:val="24"/>
        </w:rPr>
        <w:t xml:space="preserve"> ,   lump valid for Bi &lt; 0.1</w:t>
      </w:r>
      <w:r>
        <w:rPr>
          <w:sz w:val="20"/>
        </w:rPr>
        <w:tab/>
        <w:tab/>
        <w:t>(4)</w:t>
      </w:r>
    </w:p>
    <w:p>
      <w:pPr>
        <w:spacing w:after="120"/>
      </w:pPr>
      <w:r>
        <w:t>Every element inside the boundary was checked against this criterion, with deliberately high film coefficients so the test is conservative (fan-stirred air h = 50 W/m²K, water side 3 000, TIM contact 5 000).</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847"/>
            <w:shd w:val="clear" w:color="auto" w:fill="DEEAF6"/>
          </w:tcPr>
          <w:p>
            <w:pPr>
              <w:spacing w:after="20" w:before="20"/>
            </w:pPr>
            <w:r/>
            <w:r>
              <w:rPr>
                <w:b/>
                <w:sz w:val="17"/>
              </w:rPr>
              <w:t>Element</w:t>
            </w:r>
          </w:p>
        </w:tc>
        <w:tc>
          <w:tcPr>
            <w:tcW w:type="dxa" w:w="1744"/>
            <w:shd w:val="clear" w:color="auto" w:fill="DEEAF6"/>
          </w:tcPr>
          <w:p>
            <w:pPr>
              <w:spacing w:after="20" w:before="20"/>
            </w:pPr>
            <w:r/>
            <w:r>
              <w:rPr>
                <w:b/>
                <w:sz w:val="17"/>
              </w:rPr>
              <w:t>Path checked</w:t>
            </w:r>
          </w:p>
        </w:tc>
        <w:tc>
          <w:tcPr>
            <w:tcW w:type="dxa" w:w="923"/>
            <w:shd w:val="clear" w:color="auto" w:fill="DEEAF6"/>
          </w:tcPr>
          <w:p>
            <w:pPr>
              <w:spacing w:after="20" w:before="20"/>
            </w:pPr>
            <w:r/>
            <w:r>
              <w:rPr>
                <w:b/>
                <w:sz w:val="17"/>
              </w:rPr>
              <w:t>Bi</w:t>
            </w:r>
          </w:p>
        </w:tc>
        <w:tc>
          <w:tcPr>
            <w:tcW w:type="dxa" w:w="4514"/>
            <w:shd w:val="clear" w:color="auto" w:fill="DEEAF6"/>
          </w:tcPr>
          <w:p>
            <w:pPr>
              <w:spacing w:after="20" w:before="20"/>
            </w:pPr>
            <w:r/>
            <w:r>
              <w:rPr>
                <w:b/>
                <w:sz w:val="17"/>
              </w:rPr>
              <w:t>Verdict</w:t>
            </w:r>
          </w:p>
        </w:tc>
      </w:tr>
      <w:tr>
        <w:tc>
          <w:tcPr>
            <w:tcW w:type="dxa" w:w="1847"/>
          </w:tcPr>
          <w:p>
            <w:pPr>
              <w:spacing w:after="20" w:before="20"/>
            </w:pPr>
            <w:r/>
            <w:r>
              <w:rPr>
                <w:sz w:val="17"/>
              </w:rPr>
              <w:t>Trim-heater copper foils</w:t>
            </w:r>
          </w:p>
        </w:tc>
        <w:tc>
          <w:tcPr>
            <w:tcW w:type="dxa" w:w="1744"/>
          </w:tcPr>
          <w:p>
            <w:pPr>
              <w:spacing w:after="20" w:before="20"/>
            </w:pPr>
            <w:r/>
            <w:r>
              <w:rPr>
                <w:sz w:val="17"/>
              </w:rPr>
              <w:t>35 µm Cu</w:t>
            </w:r>
          </w:p>
        </w:tc>
        <w:tc>
          <w:tcPr>
            <w:tcW w:type="dxa" w:w="923"/>
          </w:tcPr>
          <w:p>
            <w:pPr>
              <w:spacing w:after="20" w:before="20"/>
            </w:pPr>
            <w:r/>
            <w:r>
              <w:rPr>
                <w:sz w:val="17"/>
              </w:rPr>
              <w:t>4 × 10⁻⁶</w:t>
            </w:r>
          </w:p>
        </w:tc>
        <w:tc>
          <w:tcPr>
            <w:tcW w:type="dxa" w:w="4514"/>
          </w:tcPr>
          <w:p>
            <w:pPr>
              <w:spacing w:after="20" w:before="20"/>
            </w:pPr>
            <w:r/>
            <w:r>
              <w:rPr>
                <w:sz w:val="17"/>
              </w:rPr>
              <w:t>Lump ✓</w:t>
            </w:r>
          </w:p>
        </w:tc>
      </w:tr>
      <w:tr>
        <w:tc>
          <w:tcPr>
            <w:tcW w:type="dxa" w:w="1847"/>
          </w:tcPr>
          <w:p>
            <w:pPr>
              <w:spacing w:after="20" w:before="20"/>
            </w:pPr>
            <w:r/>
            <w:r>
              <w:rPr>
                <w:sz w:val="17"/>
              </w:rPr>
              <w:t>Barrel resistor, ceramic core</w:t>
            </w:r>
          </w:p>
        </w:tc>
        <w:tc>
          <w:tcPr>
            <w:tcW w:type="dxa" w:w="1744"/>
          </w:tcPr>
          <w:p>
            <w:pPr>
              <w:spacing w:after="20" w:before="20"/>
            </w:pPr>
            <w:r/>
            <w:r>
              <w:rPr>
                <w:sz w:val="17"/>
              </w:rPr>
              <w:t>Ø20 mm cylinder</w:t>
            </w:r>
          </w:p>
        </w:tc>
        <w:tc>
          <w:tcPr>
            <w:tcW w:type="dxa" w:w="923"/>
          </w:tcPr>
          <w:p>
            <w:pPr>
              <w:spacing w:after="20" w:before="20"/>
            </w:pPr>
            <w:r/>
            <w:r>
              <w:rPr>
                <w:sz w:val="17"/>
              </w:rPr>
              <w:t>0.010</w:t>
            </w:r>
          </w:p>
        </w:tc>
        <w:tc>
          <w:tcPr>
            <w:tcW w:type="dxa" w:w="4514"/>
          </w:tcPr>
          <w:p>
            <w:pPr>
              <w:spacing w:after="20" w:before="20"/>
            </w:pPr>
            <w:r/>
            <w:r>
              <w:rPr>
                <w:sz w:val="17"/>
              </w:rPr>
              <w:t>Lump ✓</w:t>
            </w:r>
          </w:p>
        </w:tc>
      </w:tr>
      <w:tr>
        <w:tc>
          <w:tcPr>
            <w:tcW w:type="dxa" w:w="1847"/>
          </w:tcPr>
          <w:p>
            <w:pPr>
              <w:spacing w:after="20" w:before="20"/>
            </w:pPr>
            <w:r/>
            <w:r>
              <w:rPr>
                <w:sz w:val="17"/>
              </w:rPr>
              <w:t>Pickup-radiator fins</w:t>
            </w:r>
          </w:p>
        </w:tc>
        <w:tc>
          <w:tcPr>
            <w:tcW w:type="dxa" w:w="1744"/>
          </w:tcPr>
          <w:p>
            <w:pPr>
              <w:spacing w:after="20" w:before="20"/>
            </w:pPr>
            <w:r/>
            <w:r>
              <w:rPr>
                <w:sz w:val="17"/>
              </w:rPr>
              <w:t>0.1 mm fin</w:t>
            </w:r>
          </w:p>
        </w:tc>
        <w:tc>
          <w:tcPr>
            <w:tcW w:type="dxa" w:w="923"/>
          </w:tcPr>
          <w:p>
            <w:pPr>
              <w:spacing w:after="20" w:before="20"/>
            </w:pPr>
            <w:r/>
            <w:r>
              <w:rPr>
                <w:sz w:val="17"/>
              </w:rPr>
              <w:t>2 × 10⁻⁵</w:t>
            </w:r>
          </w:p>
        </w:tc>
        <w:tc>
          <w:tcPr>
            <w:tcW w:type="dxa" w:w="4514"/>
          </w:tcPr>
          <w:p>
            <w:pPr>
              <w:spacing w:after="20" w:before="20"/>
            </w:pPr>
            <w:r/>
            <w:r>
              <w:rPr>
                <w:sz w:val="17"/>
              </w:rPr>
              <w:t>Lump ✓</w:t>
            </w:r>
          </w:p>
        </w:tc>
      </w:tr>
      <w:tr>
        <w:tc>
          <w:tcPr>
            <w:tcW w:type="dxa" w:w="1847"/>
          </w:tcPr>
          <w:p>
            <w:pPr>
              <w:spacing w:after="20" w:before="20"/>
            </w:pPr>
            <w:r/>
            <w:r>
              <w:rPr>
                <w:sz w:val="17"/>
              </w:rPr>
              <w:t>Radiator tube wall</w:t>
            </w:r>
          </w:p>
        </w:tc>
        <w:tc>
          <w:tcPr>
            <w:tcW w:type="dxa" w:w="1744"/>
          </w:tcPr>
          <w:p>
            <w:pPr>
              <w:spacing w:after="20" w:before="20"/>
            </w:pPr>
            <w:r/>
            <w:r>
              <w:rPr>
                <w:sz w:val="17"/>
              </w:rPr>
              <w:t>0.5 mm brass, water side</w:t>
            </w:r>
          </w:p>
        </w:tc>
        <w:tc>
          <w:tcPr>
            <w:tcW w:type="dxa" w:w="923"/>
          </w:tcPr>
          <w:p>
            <w:pPr>
              <w:spacing w:after="20" w:before="20"/>
            </w:pPr>
            <w:r/>
            <w:r>
              <w:rPr>
                <w:sz w:val="17"/>
              </w:rPr>
              <w:t>0.014</w:t>
            </w:r>
          </w:p>
        </w:tc>
        <w:tc>
          <w:tcPr>
            <w:tcW w:type="dxa" w:w="4514"/>
          </w:tcPr>
          <w:p>
            <w:pPr>
              <w:spacing w:after="20" w:before="20"/>
            </w:pPr>
            <w:r/>
            <w:r>
              <w:rPr>
                <w:sz w:val="17"/>
              </w:rPr>
              <w:t>Lump ✓</w:t>
            </w:r>
          </w:p>
        </w:tc>
      </w:tr>
      <w:tr>
        <w:tc>
          <w:tcPr>
            <w:tcW w:type="dxa" w:w="1847"/>
          </w:tcPr>
          <w:p>
            <w:pPr>
              <w:spacing w:after="20" w:before="20"/>
            </w:pPr>
            <w:r/>
            <w:r>
              <w:rPr>
                <w:sz w:val="17"/>
              </w:rPr>
              <w:t>Wiring, Cu core</w:t>
            </w:r>
          </w:p>
        </w:tc>
        <w:tc>
          <w:tcPr>
            <w:tcW w:type="dxa" w:w="1744"/>
          </w:tcPr>
          <w:p>
            <w:pPr>
              <w:spacing w:after="20" w:before="20"/>
            </w:pPr>
            <w:r/>
            <w:r>
              <w:rPr>
                <w:sz w:val="17"/>
              </w:rPr>
              <w:t>Ø1 mm</w:t>
            </w:r>
          </w:p>
        </w:tc>
        <w:tc>
          <w:tcPr>
            <w:tcW w:type="dxa" w:w="923"/>
          </w:tcPr>
          <w:p>
            <w:pPr>
              <w:spacing w:after="20" w:before="20"/>
            </w:pPr>
            <w:r/>
            <w:r>
              <w:rPr>
                <w:sz w:val="17"/>
              </w:rPr>
              <w:t>3 × 10⁻⁵</w:t>
            </w:r>
          </w:p>
        </w:tc>
        <w:tc>
          <w:tcPr>
            <w:tcW w:type="dxa" w:w="4514"/>
          </w:tcPr>
          <w:p>
            <w:pPr>
              <w:spacing w:after="20" w:before="20"/>
            </w:pPr>
            <w:r/>
            <w:r>
              <w:rPr>
                <w:sz w:val="17"/>
              </w:rPr>
              <w:t>Lump ✓</w:t>
            </w:r>
          </w:p>
        </w:tc>
      </w:tr>
      <w:tr>
        <w:tc>
          <w:tcPr>
            <w:tcW w:type="dxa" w:w="1847"/>
          </w:tcPr>
          <w:p>
            <w:pPr>
              <w:spacing w:after="20" w:before="20"/>
            </w:pPr>
            <w:r/>
            <w:r>
              <w:rPr>
                <w:sz w:val="17"/>
              </w:rPr>
              <w:t>Fans, plastic impeller</w:t>
            </w:r>
          </w:p>
        </w:tc>
        <w:tc>
          <w:tcPr>
            <w:tcW w:type="dxa" w:w="1744"/>
          </w:tcPr>
          <w:p>
            <w:pPr>
              <w:spacing w:after="20" w:before="20"/>
            </w:pPr>
            <w:r/>
            <w:r>
              <w:rPr>
                <w:sz w:val="17"/>
              </w:rPr>
              <w:t>~2 mm PBT</w:t>
            </w:r>
          </w:p>
        </w:tc>
        <w:tc>
          <w:tcPr>
            <w:tcW w:type="dxa" w:w="923"/>
          </w:tcPr>
          <w:p>
            <w:pPr>
              <w:spacing w:after="20" w:before="20"/>
            </w:pPr>
            <w:r/>
            <w:r>
              <w:rPr>
                <w:sz w:val="17"/>
              </w:rPr>
              <w:t>0.20</w:t>
            </w:r>
          </w:p>
        </w:tc>
        <w:tc>
          <w:tcPr>
            <w:tcW w:type="dxa" w:w="4514"/>
          </w:tcPr>
          <w:p>
            <w:pPr>
              <w:spacing w:after="20" w:before="20"/>
            </w:pPr>
            <w:r/>
            <w:r>
              <w:rPr>
                <w:sz w:val="17"/>
              </w:rPr>
              <w:t>Borderline — C ≈ 30–60 J/K, ~1 % of the total, and metered anyway</w:t>
            </w:r>
          </w:p>
        </w:tc>
      </w:tr>
      <w:tr>
        <w:tc>
          <w:tcPr>
            <w:tcW w:type="dxa" w:w="1847"/>
          </w:tcPr>
          <w:p>
            <w:pPr>
              <w:spacing w:after="20" w:before="20"/>
            </w:pPr>
            <w:r/>
            <w:r>
              <w:rPr>
                <w:sz w:val="17"/>
              </w:rPr>
              <w:t>Sensor PCBs</w:t>
            </w:r>
          </w:p>
        </w:tc>
        <w:tc>
          <w:tcPr>
            <w:tcW w:type="dxa" w:w="1744"/>
          </w:tcPr>
          <w:p>
            <w:pPr>
              <w:spacing w:after="20" w:before="20"/>
            </w:pPr>
            <w:r/>
            <w:r>
              <w:rPr>
                <w:sz w:val="17"/>
              </w:rPr>
              <w:t>1.6 mm FR-4</w:t>
            </w:r>
          </w:p>
        </w:tc>
        <w:tc>
          <w:tcPr>
            <w:tcW w:type="dxa" w:w="923"/>
          </w:tcPr>
          <w:p>
            <w:pPr>
              <w:spacing w:after="20" w:before="20"/>
            </w:pPr>
            <w:r/>
            <w:r>
              <w:rPr>
                <w:sz w:val="17"/>
              </w:rPr>
              <w:t>0.13</w:t>
            </w:r>
          </w:p>
        </w:tc>
        <w:tc>
          <w:tcPr>
            <w:tcW w:type="dxa" w:w="4514"/>
          </w:tcPr>
          <w:p>
            <w:pPr>
              <w:spacing w:after="20" w:before="20"/>
            </w:pPr>
            <w:r/>
            <w:r>
              <w:rPr>
                <w:sz w:val="17"/>
              </w:rPr>
              <w:t>Borderline — C ≈ 2–5 J/K, negligible</w:t>
            </w:r>
          </w:p>
        </w:tc>
      </w:tr>
      <w:tr>
        <w:tc>
          <w:tcPr>
            <w:tcW w:type="dxa" w:w="1847"/>
          </w:tcPr>
          <w:p>
            <w:pPr>
              <w:spacing w:after="20" w:before="20"/>
            </w:pPr>
            <w:r/>
            <w:r>
              <w:rPr>
                <w:sz w:val="17"/>
              </w:rPr>
              <w:t>Chamber and gap air</w:t>
            </w:r>
          </w:p>
        </w:tc>
        <w:tc>
          <w:tcPr>
            <w:tcW w:type="dxa" w:w="1744"/>
          </w:tcPr>
          <w:p>
            <w:pPr>
              <w:spacing w:after="20" w:before="20"/>
            </w:pPr>
            <w:r/>
            <w:r>
              <w:rPr>
                <w:sz w:val="17"/>
              </w:rPr>
              <w:t>Fluid — Biot does not apply</w:t>
            </w:r>
          </w:p>
        </w:tc>
        <w:tc>
          <w:tcPr>
            <w:tcW w:type="dxa" w:w="923"/>
          </w:tcPr>
          <w:p>
            <w:pPr>
              <w:spacing w:after="20" w:before="20"/>
            </w:pPr>
            <w:r/>
            <w:r>
              <w:rPr>
                <w:sz w:val="17"/>
              </w:rPr>
              <w:t>—</w:t>
            </w:r>
          </w:p>
        </w:tc>
        <w:tc>
          <w:tcPr>
            <w:tcW w:type="dxa" w:w="4514"/>
          </w:tcPr>
          <w:p>
            <w:pPr>
              <w:spacing w:after="20" w:before="20"/>
            </w:pPr>
            <w:r/>
            <w:r>
              <w:rPr>
                <w:sz w:val="17"/>
              </w:rPr>
              <w:t xml:space="preserve">Lumped </w:t>
            </w:r>
            <w:r>
              <w:rPr>
                <w:b/>
                <w:sz w:val="17"/>
              </w:rPr>
              <w:t>by stirring</w:t>
            </w:r>
            <w:r>
              <w:rPr>
                <w:sz w:val="17"/>
              </w:rPr>
              <w:t>: the fans' turnover time is seconds against minutes of system τ. This, not heat transfer, is the fans' real job — it is what makes T</w:t>
            </w:r>
            <w:r>
              <w:rPr>
                <w:sz w:val="17"/>
                <w:vertAlign w:val="subscript"/>
              </w:rPr>
              <w:t>i</w:t>
            </w:r>
            <w:r>
              <w:rPr>
                <w:sz w:val="17"/>
              </w:rPr>
              <w:t xml:space="preserve"> and T</w:t>
            </w:r>
            <w:r>
              <w:rPr>
                <w:sz w:val="17"/>
                <w:vertAlign w:val="subscript"/>
              </w:rPr>
              <w:t>e</w:t>
            </w:r>
            <w:r>
              <w:rPr>
                <w:sz w:val="17"/>
              </w:rPr>
              <w:t xml:space="preserve"> mean something</w:t>
            </w:r>
          </w:p>
        </w:tc>
      </w:tr>
      <w:tr>
        <w:tc>
          <w:tcPr>
            <w:tcW w:type="dxa" w:w="1847"/>
          </w:tcPr>
          <w:p>
            <w:pPr>
              <w:spacing w:after="20" w:before="20"/>
            </w:pPr>
            <w:r/>
            <w:r>
              <w:rPr>
                <w:sz w:val="17"/>
              </w:rPr>
              <w:t>RTD / TMP117 probes</w:t>
            </w:r>
          </w:p>
        </w:tc>
        <w:tc>
          <w:tcPr>
            <w:tcW w:type="dxa" w:w="1744"/>
          </w:tcPr>
          <w:p>
            <w:pPr>
              <w:spacing w:after="20" w:before="20"/>
            </w:pPr>
            <w:r/>
            <w:r>
              <w:rPr>
                <w:sz w:val="17"/>
              </w:rPr>
              <w:t>Sheath, package</w:t>
            </w:r>
          </w:p>
        </w:tc>
        <w:tc>
          <w:tcPr>
            <w:tcW w:type="dxa" w:w="923"/>
          </w:tcPr>
          <w:p>
            <w:pPr>
              <w:spacing w:after="20" w:before="20"/>
            </w:pPr>
            <w:r/>
            <w:r>
              <w:rPr>
                <w:sz w:val="17"/>
              </w:rPr>
              <w:t>0.15–0.17</w:t>
            </w:r>
          </w:p>
        </w:tc>
        <w:tc>
          <w:tcPr>
            <w:tcW w:type="dxa" w:w="4514"/>
          </w:tcPr>
          <w:p>
            <w:pPr>
              <w:spacing w:after="20" w:before="20"/>
            </w:pPr>
            <w:r/>
            <w:r>
              <w:rPr>
                <w:sz w:val="17"/>
              </w:rPr>
              <w:t>Not lumps — modelled as first-order sensor lags 1/(τ</w:t>
            </w:r>
            <w:r>
              <w:rPr>
                <w:sz w:val="17"/>
                <w:vertAlign w:val="subscript"/>
              </w:rPr>
              <w:t>s</w:t>
            </w:r>
            <w:r>
              <w:rPr>
                <w:sz w:val="17"/>
              </w:rPr>
              <w:t>·s + 1)</w:t>
            </w:r>
          </w:p>
        </w:tc>
      </w:tr>
      <w:tr>
        <w:tc>
          <w:tcPr>
            <w:tcW w:type="dxa" w:w="1847"/>
          </w:tcPr>
          <w:p>
            <w:pPr>
              <w:spacing w:after="20" w:before="20"/>
            </w:pPr>
            <w:r/>
            <w:r>
              <w:rPr>
                <w:b/>
                <w:sz w:val="17"/>
              </w:rPr>
              <w:t>XPS shells, 50 mm</w:t>
            </w:r>
          </w:p>
        </w:tc>
        <w:tc>
          <w:tcPr>
            <w:tcW w:type="dxa" w:w="1744"/>
          </w:tcPr>
          <w:p>
            <w:pPr>
              <w:spacing w:after="20" w:before="20"/>
            </w:pPr>
            <w:r/>
            <w:r>
              <w:rPr>
                <w:sz w:val="17"/>
              </w:rPr>
              <w:t>Foam slab</w:t>
            </w:r>
          </w:p>
        </w:tc>
        <w:tc>
          <w:tcPr>
            <w:tcW w:type="dxa" w:w="923"/>
          </w:tcPr>
          <w:p>
            <w:pPr>
              <w:spacing w:after="20" w:before="20"/>
            </w:pPr>
            <w:r/>
            <w:r>
              <w:rPr>
                <w:b/>
                <w:sz w:val="17"/>
              </w:rPr>
              <w:t>≈ 70</w:t>
            </w:r>
          </w:p>
        </w:tc>
        <w:tc>
          <w:tcPr>
            <w:tcW w:type="dxa" w:w="4514"/>
          </w:tcPr>
          <w:p>
            <w:pPr>
              <w:spacing w:after="20" w:before="20"/>
            </w:pPr>
            <w:r/>
            <w:r>
              <w:rPr>
                <w:b/>
                <w:sz w:val="17"/>
              </w:rPr>
              <w:t>Wall, not lump — by design.</w:t>
            </w:r>
            <w:r>
              <w:rPr>
                <w:sz w:val="17"/>
              </w:rPr>
              <w:t xml:space="preserve"> Bi ≫ 1 is the definition of a wall: the temperature drop lives inside the material, so it is modelled as a conductance (G</w:t>
            </w:r>
            <w:r>
              <w:rPr>
                <w:sz w:val="17"/>
                <w:vertAlign w:val="subscript"/>
              </w:rPr>
              <w:t>gap</w:t>
            </w:r>
            <w:r>
              <w:rPr>
                <w:sz w:val="17"/>
              </w:rPr>
              <w:t>, G</w:t>
            </w:r>
            <w:r>
              <w:rPr>
                <w:sz w:val="17"/>
                <w:vertAlign w:val="subscript"/>
              </w:rPr>
              <w:t>out</w:t>
            </w:r>
            <w:r>
              <w:rPr>
                <w:sz w:val="17"/>
              </w:rPr>
              <w:t>)</w:t>
            </w:r>
          </w:p>
        </w:tc>
      </w:tr>
      <w:tr>
        <w:tc>
          <w:tcPr>
            <w:tcW w:type="dxa" w:w="1847"/>
          </w:tcPr>
          <w:p>
            <w:pPr>
              <w:spacing w:after="20" w:before="20"/>
            </w:pPr>
            <w:r/>
            <w:r>
              <w:rPr>
                <w:b/>
                <w:sz w:val="17"/>
              </w:rPr>
              <w:t>DUT board</w:t>
            </w:r>
          </w:p>
        </w:tc>
        <w:tc>
          <w:tcPr>
            <w:tcW w:type="dxa" w:w="1744"/>
          </w:tcPr>
          <w:p>
            <w:pPr>
              <w:spacing w:after="20" w:before="20"/>
            </w:pPr>
            <w:r/>
            <w:r>
              <w:rPr>
                <w:sz w:val="17"/>
              </w:rPr>
              <w:t>1.6 mm FR-4 into air or TIM</w:t>
            </w:r>
          </w:p>
        </w:tc>
        <w:tc>
          <w:tcPr>
            <w:tcW w:type="dxa" w:w="923"/>
          </w:tcPr>
          <w:p>
            <w:pPr>
              <w:spacing w:after="20" w:before="20"/>
            </w:pPr>
            <w:r/>
            <w:r>
              <w:rPr>
                <w:b/>
                <w:sz w:val="17"/>
              </w:rPr>
              <w:t>0.27 … 27</w:t>
            </w:r>
          </w:p>
        </w:tc>
        <w:tc>
          <w:tcPr>
            <w:tcW w:type="dxa" w:w="4514"/>
          </w:tcPr>
          <w:p>
            <w:pPr>
              <w:spacing w:after="20" w:before="20"/>
            </w:pPr>
            <w:r/>
            <w:r>
              <w:rPr>
                <w:b/>
                <w:sz w:val="17"/>
              </w:rPr>
              <w:t>Fails — and that is why the instrument is a calorimeter.</w:t>
            </w:r>
            <w:r>
              <w:rPr>
                <w:sz w:val="17"/>
              </w:rPr>
              <w:t xml:space="preserve"> Junctions run tens of kelvin above the baseplate, so the DUT can never be one temperature. The reading never uses a DUT temperature: at dT/dt = 0 the internal gradients are constant and every dissipated watt must still leave along a metered path, however ugly the inside is</w:t>
            </w:r>
          </w:p>
        </w:tc>
      </w:tr>
    </w:tbl>
    <w:p>
      <w:pPr>
        <w:spacing w:before="60" w:after="200"/>
        <w:jc w:val="left"/>
      </w:pPr>
      <w:r>
        <w:rPr>
          <w:i/>
          <w:sz w:val="18"/>
        </w:rPr>
        <w:t>Table 10. Biot audit. The two failures are structural features, not modelling errors: the foam is supposed to be a wall, and the DUT is supposed to be opaque to the measurement.</w:t>
      </w:r>
    </w:p>
    <w:p>
      <w:pPr>
        <w:pStyle w:val="Heading2"/>
      </w:pPr>
      <w:r>
        <w:t>The node equations</w:t>
      </w:r>
    </w:p>
    <w:p>
      <w:pPr>
        <w:spacing w:after="120"/>
      </w:pPr>
      <w:r>
        <w:t>Three storage nodes survive the audit, plus one algebraic readout. With θ ≡ T − T</w:t>
      </w:r>
      <w:r>
        <w:rPr>
          <w:vertAlign w:val="subscript"/>
        </w:rPr>
        <w:t>a</w:t>
      </w:r>
      <w:r>
        <w:t xml:space="preserve"> throughout:</w:t>
      </w:r>
    </w:p>
    <w:p>
      <w:pPr>
        <w:spacing w:before="160" w:after="160"/>
        <w:jc w:val="center"/>
      </w:pPr>
      <w:r>
        <w:rPr>
          <w:rFonts w:ascii="Cambria Math" w:hAnsi="Cambria Math"/>
          <w:sz w:val="24"/>
        </w:rPr>
        <w:t>C</w:t>
      </w:r>
      <w:r>
        <w:rPr>
          <w:rFonts w:ascii="Cambria Math" w:hAnsi="Cambria Math"/>
          <w:sz w:val="24"/>
          <w:vertAlign w:val="subscript"/>
        </w:rPr>
        <w:t>i</w:t>
      </w:r>
      <w:r>
        <w:rPr>
          <w:rFonts w:ascii="Cambria Math" w:hAnsi="Cambria Math"/>
          <w:sz w:val="24"/>
        </w:rPr>
        <w:t>·dθ</w:t>
      </w:r>
      <w:r>
        <w:rPr>
          <w:rFonts w:ascii="Cambria Math" w:hAnsi="Cambria Math"/>
          <w:sz w:val="24"/>
          <w:vertAlign w:val="subscript"/>
        </w:rPr>
        <w:t>i</w:t>
      </w:r>
      <w:r>
        <w:rPr>
          <w:rFonts w:ascii="Cambria Math" w:hAnsi="Cambria Math"/>
          <w:sz w:val="24"/>
        </w:rPr>
        <w:t>/dt = (1−α)·P</w:t>
      </w:r>
      <w:r>
        <w:rPr>
          <w:rFonts w:ascii="Cambria Math" w:hAnsi="Cambria Math"/>
          <w:sz w:val="24"/>
          <w:vertAlign w:val="subscript"/>
        </w:rPr>
        <w:t>DUT</w:t>
      </w:r>
      <w:r>
        <w:rPr>
          <w:rFonts w:ascii="Cambria Math" w:hAnsi="Cambria Math"/>
          <w:sz w:val="24"/>
        </w:rPr>
        <w:t xml:space="preserve"> + P</w:t>
      </w:r>
      <w:r>
        <w:rPr>
          <w:rFonts w:ascii="Cambria Math" w:hAnsi="Cambria Math"/>
          <w:sz w:val="24"/>
          <w:vertAlign w:val="subscript"/>
        </w:rPr>
        <w:t>aux</w:t>
      </w:r>
      <w:r>
        <w:rPr>
          <w:rFonts w:ascii="Cambria Math" w:hAnsi="Cambria Math"/>
          <w:sz w:val="24"/>
        </w:rPr>
        <w:t xml:space="preserve"> − UA</w:t>
      </w:r>
      <w:r>
        <w:rPr>
          <w:rFonts w:ascii="Cambria Math" w:hAnsi="Cambria Math"/>
          <w:sz w:val="24"/>
          <w:vertAlign w:val="subscript"/>
        </w:rPr>
        <w:t>rad</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w</w:t>
      </w:r>
      <w:r>
        <w:rPr>
          <w:rFonts w:ascii="Cambria Math" w:hAnsi="Cambria Math"/>
          <w:sz w:val="24"/>
        </w:rPr>
        <w:t>) − G</w:t>
      </w:r>
      <w:r>
        <w:rPr>
          <w:rFonts w:ascii="Cambria Math" w:hAnsi="Cambria Math"/>
          <w:sz w:val="24"/>
          <w:vertAlign w:val="subscript"/>
        </w:rPr>
        <w:t>gap</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e</w:t>
      </w:r>
      <w:r>
        <w:rPr>
          <w:rFonts w:ascii="Cambria Math" w:hAnsi="Cambria Math"/>
          <w:sz w:val="24"/>
        </w:rPr>
        <w:t>) − C</w:t>
      </w:r>
      <w:r>
        <w:rPr>
          <w:rFonts w:ascii="Cambria Math" w:hAnsi="Cambria Math"/>
          <w:sz w:val="24"/>
          <w:vertAlign w:val="subscript"/>
        </w:rPr>
        <w:t>i</w:t>
      </w:r>
      <w:r>
        <w:rPr>
          <w:rFonts w:ascii="Cambria Math" w:hAnsi="Cambria Math"/>
          <w:sz w:val="24"/>
        </w:rPr>
        <w:t>·Ṫ</w:t>
      </w:r>
      <w:r>
        <w:rPr>
          <w:rFonts w:ascii="Cambria Math" w:hAnsi="Cambria Math"/>
          <w:sz w:val="24"/>
          <w:vertAlign w:val="subscript"/>
        </w:rPr>
        <w:t>a</w:t>
      </w:r>
      <w:r>
        <w:rPr>
          <w:sz w:val="20"/>
        </w:rPr>
        <w:tab/>
        <w:tab/>
        <w:t>(5a)</w:t>
      </w:r>
    </w:p>
    <w:p>
      <w:pPr>
        <w:spacing w:before="160" w:after="160"/>
        <w:jc w:val="center"/>
      </w:pPr>
      <w:r>
        <w:rPr>
          <w:rFonts w:ascii="Cambria Math" w:hAnsi="Cambria Math"/>
          <w:sz w:val="24"/>
        </w:rPr>
        <w:t>C</w:t>
      </w:r>
      <w:r>
        <w:rPr>
          <w:rFonts w:ascii="Cambria Math" w:hAnsi="Cambria Math"/>
          <w:sz w:val="24"/>
          <w:vertAlign w:val="subscript"/>
        </w:rPr>
        <w:t>w</w:t>
      </w:r>
      <w:r>
        <w:rPr>
          <w:rFonts w:ascii="Cambria Math" w:hAnsi="Cambria Math"/>
          <w:sz w:val="24"/>
        </w:rPr>
        <w:t>·dθ</w:t>
      </w:r>
      <w:r>
        <w:rPr>
          <w:rFonts w:ascii="Cambria Math" w:hAnsi="Cambria Math"/>
          <w:sz w:val="24"/>
          <w:vertAlign w:val="subscript"/>
        </w:rPr>
        <w:t>w</w:t>
      </w:r>
      <w:r>
        <w:rPr>
          <w:rFonts w:ascii="Cambria Math" w:hAnsi="Cambria Math"/>
          <w:sz w:val="24"/>
        </w:rPr>
        <w:t>/dt = α·P</w:t>
      </w:r>
      <w:r>
        <w:rPr>
          <w:rFonts w:ascii="Cambria Math" w:hAnsi="Cambria Math"/>
          <w:sz w:val="24"/>
          <w:vertAlign w:val="subscript"/>
        </w:rPr>
        <w:t>DUT</w:t>
      </w:r>
      <w:r>
        <w:rPr>
          <w:rFonts w:ascii="Cambria Math" w:hAnsi="Cambria Math"/>
          <w:sz w:val="24"/>
        </w:rPr>
        <w:t xml:space="preserve"> + UA</w:t>
      </w:r>
      <w:r>
        <w:rPr>
          <w:rFonts w:ascii="Cambria Math" w:hAnsi="Cambria Math"/>
          <w:sz w:val="24"/>
          <w:vertAlign w:val="subscript"/>
        </w:rPr>
        <w:t>rad</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w</w:t>
      </w:r>
      <w:r>
        <w:rPr>
          <w:rFonts w:ascii="Cambria Math" w:hAnsi="Cambria Math"/>
          <w:sz w:val="24"/>
        </w:rPr>
        <w:t>) − ṁc</w:t>
      </w:r>
      <w:r>
        <w:rPr>
          <w:rFonts w:ascii="Cambria Math" w:hAnsi="Cambria Math"/>
          <w:sz w:val="24"/>
          <w:vertAlign w:val="subscript"/>
        </w:rPr>
        <w:t>p</w:t>
      </w:r>
      <w:r>
        <w:rPr>
          <w:rFonts w:ascii="Cambria Math" w:hAnsi="Cambria Math"/>
          <w:sz w:val="24"/>
        </w:rPr>
        <w:t>·(θ</w:t>
      </w:r>
      <w:r>
        <w:rPr>
          <w:rFonts w:ascii="Cambria Math" w:hAnsi="Cambria Math"/>
          <w:sz w:val="24"/>
          <w:vertAlign w:val="subscript"/>
        </w:rPr>
        <w:t>w</w:t>
      </w:r>
      <w:r>
        <w:rPr>
          <w:rFonts w:ascii="Cambria Math" w:hAnsi="Cambria Math"/>
          <w:sz w:val="24"/>
        </w:rPr>
        <w:t xml:space="preserve"> − θ</w:t>
      </w:r>
      <w:r>
        <w:rPr>
          <w:rFonts w:ascii="Cambria Math" w:hAnsi="Cambria Math"/>
          <w:sz w:val="24"/>
          <w:vertAlign w:val="subscript"/>
        </w:rPr>
        <w:t>in</w:t>
      </w:r>
      <w:r>
        <w:rPr>
          <w:rFonts w:ascii="Cambria Math" w:hAnsi="Cambria Math"/>
          <w:sz w:val="24"/>
        </w:rPr>
        <w:t>) − C</w:t>
      </w:r>
      <w:r>
        <w:rPr>
          <w:rFonts w:ascii="Cambria Math" w:hAnsi="Cambria Math"/>
          <w:sz w:val="24"/>
          <w:vertAlign w:val="subscript"/>
        </w:rPr>
        <w:t>w</w:t>
      </w:r>
      <w:r>
        <w:rPr>
          <w:rFonts w:ascii="Cambria Math" w:hAnsi="Cambria Math"/>
          <w:sz w:val="24"/>
        </w:rPr>
        <w:t>·Ṫ</w:t>
      </w:r>
      <w:r>
        <w:rPr>
          <w:rFonts w:ascii="Cambria Math" w:hAnsi="Cambria Math"/>
          <w:sz w:val="24"/>
          <w:vertAlign w:val="subscript"/>
        </w:rPr>
        <w:t>a</w:t>
      </w:r>
      <w:r>
        <w:rPr>
          <w:sz w:val="20"/>
        </w:rPr>
        <w:tab/>
        <w:tab/>
        <w:t>(5b)</w:t>
      </w:r>
    </w:p>
    <w:p>
      <w:pPr>
        <w:spacing w:before="160" w:after="160"/>
        <w:jc w:val="center"/>
      </w:pPr>
      <w:r>
        <w:rPr>
          <w:rFonts w:ascii="Cambria Math" w:hAnsi="Cambria Math"/>
          <w:sz w:val="24"/>
        </w:rPr>
        <w:t>C</w:t>
      </w:r>
      <w:r>
        <w:rPr>
          <w:rFonts w:ascii="Cambria Math" w:hAnsi="Cambria Math"/>
          <w:sz w:val="24"/>
          <w:vertAlign w:val="subscript"/>
        </w:rPr>
        <w:t>e</w:t>
      </w:r>
      <w:r>
        <w:rPr>
          <w:rFonts w:ascii="Cambria Math" w:hAnsi="Cambria Math"/>
          <w:sz w:val="24"/>
        </w:rPr>
        <w:t>·dθ</w:t>
      </w:r>
      <w:r>
        <w:rPr>
          <w:rFonts w:ascii="Cambria Math" w:hAnsi="Cambria Math"/>
          <w:sz w:val="24"/>
          <w:vertAlign w:val="subscript"/>
        </w:rPr>
        <w:t>e</w:t>
      </w:r>
      <w:r>
        <w:rPr>
          <w:rFonts w:ascii="Cambria Math" w:hAnsi="Cambria Math"/>
          <w:sz w:val="24"/>
        </w:rPr>
        <w:t>/dt = P</w:t>
      </w:r>
      <w:r>
        <w:rPr>
          <w:rFonts w:ascii="Cambria Math" w:hAnsi="Cambria Math"/>
          <w:sz w:val="24"/>
          <w:vertAlign w:val="subscript"/>
        </w:rPr>
        <w:t>e</w:t>
      </w:r>
      <w:r>
        <w:rPr>
          <w:rFonts w:ascii="Cambria Math" w:hAnsi="Cambria Math"/>
          <w:sz w:val="24"/>
        </w:rPr>
        <w:t xml:space="preserve"> + G</w:t>
      </w:r>
      <w:r>
        <w:rPr>
          <w:rFonts w:ascii="Cambria Math" w:hAnsi="Cambria Math"/>
          <w:sz w:val="24"/>
          <w:vertAlign w:val="subscript"/>
        </w:rPr>
        <w:t>gap</w:t>
      </w:r>
      <w:r>
        <w:rPr>
          <w:rFonts w:ascii="Cambria Math" w:hAnsi="Cambria Math"/>
          <w:sz w:val="24"/>
        </w:rPr>
        <w:t>·(θ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e</w:t>
      </w:r>
      <w:r>
        <w:rPr>
          <w:rFonts w:ascii="Cambria Math" w:hAnsi="Cambria Math"/>
          <w:sz w:val="24"/>
        </w:rPr>
        <w:t>) − G</w:t>
      </w:r>
      <w:r>
        <w:rPr>
          <w:rFonts w:ascii="Cambria Math" w:hAnsi="Cambria Math"/>
          <w:sz w:val="24"/>
          <w:vertAlign w:val="subscript"/>
        </w:rPr>
        <w:t>out</w:t>
      </w:r>
      <w:r>
        <w:rPr>
          <w:rFonts w:ascii="Cambria Math" w:hAnsi="Cambria Math"/>
          <w:sz w:val="24"/>
        </w:rPr>
        <w:t>·θ</w:t>
      </w:r>
      <w:r>
        <w:rPr>
          <w:rFonts w:ascii="Cambria Math" w:hAnsi="Cambria Math"/>
          <w:sz w:val="24"/>
          <w:vertAlign w:val="subscript"/>
        </w:rPr>
        <w:t>e</w:t>
      </w:r>
      <w:r>
        <w:rPr>
          <w:rFonts w:ascii="Cambria Math" w:hAnsi="Cambria Math"/>
          <w:sz w:val="24"/>
        </w:rPr>
        <w:t xml:space="preserve"> − C</w:t>
      </w:r>
      <w:r>
        <w:rPr>
          <w:rFonts w:ascii="Cambria Math" w:hAnsi="Cambria Math"/>
          <w:sz w:val="24"/>
          <w:vertAlign w:val="subscript"/>
        </w:rPr>
        <w:t>e</w:t>
      </w:r>
      <w:r>
        <w:rPr>
          <w:rFonts w:ascii="Cambria Math" w:hAnsi="Cambria Math"/>
          <w:sz w:val="24"/>
        </w:rPr>
        <w:t>·Ṫ</w:t>
      </w:r>
      <w:r>
        <w:rPr>
          <w:rFonts w:ascii="Cambria Math" w:hAnsi="Cambria Math"/>
          <w:sz w:val="24"/>
          <w:vertAlign w:val="subscript"/>
        </w:rPr>
        <w:t>a</w:t>
      </w:r>
      <w:r>
        <w:rPr>
          <w:sz w:val="20"/>
        </w:rPr>
        <w:tab/>
        <w:tab/>
        <w:t>(5c)</w:t>
      </w:r>
    </w:p>
    <w:p>
      <w:pPr>
        <w:spacing w:before="160" w:after="160"/>
        <w:jc w:val="center"/>
      </w:pPr>
      <w:r>
        <w:rPr>
          <w:rFonts w:ascii="Cambria Math" w:hAnsi="Cambria Math"/>
          <w:sz w:val="24"/>
        </w:rPr>
        <w:t>P</w:t>
      </w:r>
      <w:r>
        <w:rPr>
          <w:rFonts w:ascii="Cambria Math" w:hAnsi="Cambria Math"/>
          <w:sz w:val="24"/>
          <w:vertAlign w:val="subscript"/>
        </w:rPr>
        <w:t>meas</w:t>
      </w:r>
      <w:r>
        <w:rPr>
          <w:rFonts w:ascii="Cambria Math" w:hAnsi="Cambria Math"/>
          <w:sz w:val="24"/>
        </w:rPr>
        <w:t xml:space="preserve"> = ṁc</w:t>
      </w:r>
      <w:r>
        <w:rPr>
          <w:rFonts w:ascii="Cambria Math" w:hAnsi="Cambria Math"/>
          <w:sz w:val="24"/>
          <w:vertAlign w:val="subscript"/>
        </w:rPr>
        <w:t>p</w:t>
      </w:r>
      <w:r>
        <w:rPr>
          <w:rFonts w:ascii="Cambria Math" w:hAnsi="Cambria Math"/>
          <w:sz w:val="24"/>
        </w:rPr>
        <w:t>·(θ</w:t>
      </w:r>
      <w:r>
        <w:rPr>
          <w:rFonts w:ascii="Cambria Math" w:hAnsi="Cambria Math"/>
          <w:sz w:val="24"/>
          <w:vertAlign w:val="subscript"/>
        </w:rPr>
        <w:t>w</w:t>
      </w:r>
      <w:r>
        <w:rPr>
          <w:rFonts w:ascii="Cambria Math" w:hAnsi="Cambria Math"/>
          <w:sz w:val="24"/>
        </w:rPr>
        <w:t xml:space="preserve"> − θ</w:t>
      </w:r>
      <w:r>
        <w:rPr>
          <w:rFonts w:ascii="Cambria Math" w:hAnsi="Cambria Math"/>
          <w:sz w:val="24"/>
          <w:vertAlign w:val="subscript"/>
        </w:rPr>
        <w:t>in</w:t>
      </w:r>
      <w:r>
        <w:rPr>
          <w:rFonts w:ascii="Cambria Math" w:hAnsi="Cambria Math"/>
          <w:sz w:val="24"/>
        </w:rPr>
        <w:t>) − P</w:t>
      </w:r>
      <w:r>
        <w:rPr>
          <w:rFonts w:ascii="Cambria Math" w:hAnsi="Cambria Math"/>
          <w:sz w:val="24"/>
          <w:vertAlign w:val="subscript"/>
        </w:rPr>
        <w:t>aux</w:t>
      </w:r>
      <w:r>
        <w:rPr>
          <w:sz w:val="20"/>
        </w:rPr>
        <w:tab/>
        <w:tab/>
        <w:t>(5d)</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548"/>
            <w:shd w:val="clear" w:color="auto" w:fill="DEEAF6"/>
          </w:tcPr>
          <w:p>
            <w:pPr>
              <w:spacing w:after="20" w:before="20"/>
            </w:pPr>
            <w:r/>
            <w:r>
              <w:rPr>
                <w:b/>
                <w:sz w:val="18"/>
              </w:rPr>
              <w:t>Symbol</w:t>
            </w:r>
          </w:p>
        </w:tc>
        <w:tc>
          <w:tcPr>
            <w:tcW w:type="dxa" w:w="6449"/>
            <w:shd w:val="clear" w:color="auto" w:fill="DEEAF6"/>
          </w:tcPr>
          <w:p>
            <w:pPr>
              <w:spacing w:after="20" w:before="20"/>
            </w:pPr>
            <w:r/>
            <w:r>
              <w:rPr>
                <w:b/>
                <w:sz w:val="18"/>
              </w:rPr>
              <w:t>Meaning</w:t>
            </w:r>
          </w:p>
        </w:tc>
        <w:tc>
          <w:tcPr>
            <w:tcW w:type="dxa" w:w="1032"/>
            <w:shd w:val="clear" w:color="auto" w:fill="DEEAF6"/>
          </w:tcPr>
          <w:p>
            <w:pPr>
              <w:spacing w:after="20" w:before="20"/>
            </w:pPr>
            <w:r/>
            <w:r>
              <w:rPr>
                <w:b/>
                <w:sz w:val="18"/>
              </w:rPr>
              <w:t>Unit</w:t>
            </w:r>
          </w:p>
        </w:tc>
      </w:tr>
      <w:tr>
        <w:tc>
          <w:tcPr>
            <w:tcW w:type="dxa" w:w="1548"/>
          </w:tcPr>
          <w:p>
            <w:pPr>
              <w:spacing w:after="20" w:before="20"/>
            </w:pPr>
            <w:r/>
            <w:r>
              <w:rPr>
                <w:sz w:val="18"/>
              </w:rPr>
              <w:t>θ</w:t>
            </w:r>
            <w:r>
              <w:rPr>
                <w:sz w:val="18"/>
                <w:vertAlign w:val="subscript"/>
              </w:rPr>
              <w:t>i</w:t>
            </w:r>
          </w:p>
        </w:tc>
        <w:tc>
          <w:tcPr>
            <w:tcW w:type="dxa" w:w="6449"/>
          </w:tcPr>
          <w:p>
            <w:pPr>
              <w:spacing w:after="20" w:before="20"/>
            </w:pPr>
            <w:r/>
            <w:r>
              <w:rPr>
                <w:sz w:val="18"/>
              </w:rPr>
              <w:t>Chamber air, above ambient</w:t>
            </w:r>
          </w:p>
        </w:tc>
        <w:tc>
          <w:tcPr>
            <w:tcW w:type="dxa" w:w="1032"/>
          </w:tcPr>
          <w:p>
            <w:pPr>
              <w:spacing w:after="20" w:before="20"/>
            </w:pPr>
            <w:r/>
            <w:r>
              <w:rPr>
                <w:sz w:val="18"/>
              </w:rPr>
              <w:t>K</w:t>
            </w:r>
          </w:p>
        </w:tc>
      </w:tr>
      <w:tr>
        <w:tc>
          <w:tcPr>
            <w:tcW w:type="dxa" w:w="1548"/>
          </w:tcPr>
          <w:p>
            <w:pPr>
              <w:spacing w:after="20" w:before="20"/>
            </w:pPr>
            <w:r/>
            <w:r>
              <w:rPr>
                <w:sz w:val="18"/>
              </w:rPr>
              <w:t>θ</w:t>
            </w:r>
            <w:r>
              <w:rPr>
                <w:sz w:val="18"/>
                <w:vertAlign w:val="subscript"/>
              </w:rPr>
              <w:t>w</w:t>
            </w:r>
          </w:p>
        </w:tc>
        <w:tc>
          <w:tcPr>
            <w:tcW w:type="dxa" w:w="6449"/>
          </w:tcPr>
          <w:p>
            <w:pPr>
              <w:spacing w:after="20" w:before="20"/>
            </w:pPr>
            <w:r/>
            <w:r>
              <w:rPr>
                <w:sz w:val="18"/>
              </w:rPr>
              <w:t>Water side — resident loop water, radiator core, DUT mass</w:t>
            </w:r>
          </w:p>
        </w:tc>
        <w:tc>
          <w:tcPr>
            <w:tcW w:type="dxa" w:w="1032"/>
          </w:tcPr>
          <w:p>
            <w:pPr>
              <w:spacing w:after="20" w:before="20"/>
            </w:pPr>
            <w:r/>
            <w:r>
              <w:rPr>
                <w:sz w:val="18"/>
              </w:rPr>
              <w:t>K</w:t>
            </w:r>
          </w:p>
        </w:tc>
      </w:tr>
      <w:tr>
        <w:tc>
          <w:tcPr>
            <w:tcW w:type="dxa" w:w="1548"/>
          </w:tcPr>
          <w:p>
            <w:pPr>
              <w:spacing w:after="20" w:before="20"/>
            </w:pPr>
            <w:r/>
            <w:r>
              <w:rPr>
                <w:sz w:val="18"/>
              </w:rPr>
              <w:t>θ</w:t>
            </w:r>
            <w:r>
              <w:rPr>
                <w:sz w:val="18"/>
                <w:vertAlign w:val="subscript"/>
              </w:rPr>
              <w:t>e</w:t>
            </w:r>
          </w:p>
        </w:tc>
        <w:tc>
          <w:tcPr>
            <w:tcW w:type="dxa" w:w="6449"/>
          </w:tcPr>
          <w:p>
            <w:pPr>
              <w:spacing w:after="20" w:before="20"/>
            </w:pPr>
            <w:r/>
            <w:r>
              <w:rPr>
                <w:sz w:val="18"/>
              </w:rPr>
              <w:t>Guard gap air</w:t>
            </w:r>
          </w:p>
        </w:tc>
        <w:tc>
          <w:tcPr>
            <w:tcW w:type="dxa" w:w="1032"/>
          </w:tcPr>
          <w:p>
            <w:pPr>
              <w:spacing w:after="20" w:before="20"/>
            </w:pPr>
            <w:r/>
            <w:r>
              <w:rPr>
                <w:sz w:val="18"/>
              </w:rPr>
              <w:t>K</w:t>
            </w:r>
          </w:p>
        </w:tc>
      </w:tr>
      <w:tr>
        <w:tc>
          <w:tcPr>
            <w:tcW w:type="dxa" w:w="1548"/>
          </w:tcPr>
          <w:p>
            <w:pPr>
              <w:spacing w:after="20" w:before="20"/>
            </w:pPr>
            <w:r/>
            <w:r>
              <w:rPr>
                <w:sz w:val="18"/>
              </w:rPr>
              <w:t>θ</w:t>
            </w:r>
            <w:r>
              <w:rPr>
                <w:sz w:val="18"/>
                <w:vertAlign w:val="subscript"/>
              </w:rPr>
              <w:t>in</w:t>
            </w:r>
          </w:p>
        </w:tc>
        <w:tc>
          <w:tcPr>
            <w:tcW w:type="dxa" w:w="6449"/>
          </w:tcPr>
          <w:p>
            <w:pPr>
              <w:spacing w:after="20" w:before="20"/>
            </w:pPr>
            <w:r/>
            <w:r>
              <w:rPr>
                <w:sz w:val="18"/>
              </w:rPr>
              <w:t>Water inlet temperature from the reject loop</w:t>
            </w:r>
          </w:p>
        </w:tc>
        <w:tc>
          <w:tcPr>
            <w:tcW w:type="dxa" w:w="1032"/>
          </w:tcPr>
          <w:p>
            <w:pPr>
              <w:spacing w:after="20" w:before="20"/>
            </w:pPr>
            <w:r/>
            <w:r>
              <w:rPr>
                <w:sz w:val="18"/>
              </w:rPr>
              <w:t>K</w:t>
            </w:r>
          </w:p>
        </w:tc>
      </w:tr>
      <w:tr>
        <w:tc>
          <w:tcPr>
            <w:tcW w:type="dxa" w:w="1548"/>
          </w:tcPr>
          <w:p>
            <w:pPr>
              <w:spacing w:after="20" w:before="20"/>
            </w:pPr>
            <w:r/>
            <w:r>
              <w:rPr>
                <w:sz w:val="18"/>
              </w:rPr>
              <w:t>P</w:t>
            </w:r>
            <w:r>
              <w:rPr>
                <w:sz w:val="18"/>
                <w:vertAlign w:val="subscript"/>
              </w:rPr>
              <w:t>DUT</w:t>
            </w:r>
          </w:p>
        </w:tc>
        <w:tc>
          <w:tcPr>
            <w:tcW w:type="dxa" w:w="6449"/>
          </w:tcPr>
          <w:p>
            <w:pPr>
              <w:spacing w:after="20" w:before="20"/>
            </w:pPr>
            <w:r/>
            <w:r>
              <w:rPr>
                <w:sz w:val="18"/>
              </w:rPr>
              <w:t>The measurand — the DUT's dissipation</w:t>
            </w:r>
          </w:p>
        </w:tc>
        <w:tc>
          <w:tcPr>
            <w:tcW w:type="dxa" w:w="1032"/>
          </w:tcPr>
          <w:p>
            <w:pPr>
              <w:spacing w:after="20" w:before="20"/>
            </w:pPr>
            <w:r/>
            <w:r>
              <w:rPr>
                <w:sz w:val="18"/>
              </w:rPr>
              <w:t>W</w:t>
            </w:r>
          </w:p>
        </w:tc>
      </w:tr>
      <w:tr>
        <w:tc>
          <w:tcPr>
            <w:tcW w:type="dxa" w:w="1548"/>
          </w:tcPr>
          <w:p>
            <w:pPr>
              <w:spacing w:after="20" w:before="20"/>
            </w:pPr>
            <w:r/>
            <w:r>
              <w:rPr>
                <w:sz w:val="18"/>
              </w:rPr>
              <w:t>P</w:t>
            </w:r>
            <w:r>
              <w:rPr>
                <w:sz w:val="18"/>
                <w:vertAlign w:val="subscript"/>
              </w:rPr>
              <w:t>aux</w:t>
            </w:r>
          </w:p>
        </w:tc>
        <w:tc>
          <w:tcPr>
            <w:tcW w:type="dxa" w:w="6449"/>
          </w:tcPr>
          <w:p>
            <w:pPr>
              <w:spacing w:after="20" w:before="20"/>
            </w:pPr>
            <w:r/>
            <w:r>
              <w:rPr>
                <w:sz w:val="18"/>
              </w:rPr>
              <w:t>Metered auxiliaries inside B1 — chamber fans, preheat resistor</w:t>
            </w:r>
          </w:p>
        </w:tc>
        <w:tc>
          <w:tcPr>
            <w:tcW w:type="dxa" w:w="1032"/>
          </w:tcPr>
          <w:p>
            <w:pPr>
              <w:spacing w:after="20" w:before="20"/>
            </w:pPr>
            <w:r/>
            <w:r>
              <w:rPr>
                <w:sz w:val="18"/>
              </w:rPr>
              <w:t>W</w:t>
            </w:r>
          </w:p>
        </w:tc>
      </w:tr>
      <w:tr>
        <w:tc>
          <w:tcPr>
            <w:tcW w:type="dxa" w:w="1548"/>
          </w:tcPr>
          <w:p>
            <w:pPr>
              <w:spacing w:after="20" w:before="20"/>
            </w:pPr>
            <w:r/>
            <w:r>
              <w:rPr>
                <w:sz w:val="18"/>
              </w:rPr>
              <w:t>P</w:t>
            </w:r>
            <w:r>
              <w:rPr>
                <w:sz w:val="18"/>
                <w:vertAlign w:val="subscript"/>
              </w:rPr>
              <w:t>e</w:t>
            </w:r>
          </w:p>
        </w:tc>
        <w:tc>
          <w:tcPr>
            <w:tcW w:type="dxa" w:w="6449"/>
          </w:tcPr>
          <w:p>
            <w:pPr>
              <w:spacing w:after="20" w:before="20"/>
            </w:pPr>
            <w:r/>
            <w:r>
              <w:rPr>
                <w:sz w:val="18"/>
              </w:rPr>
              <w:t>Guard heater — the null actuator</w:t>
            </w:r>
          </w:p>
        </w:tc>
        <w:tc>
          <w:tcPr>
            <w:tcW w:type="dxa" w:w="1032"/>
          </w:tcPr>
          <w:p>
            <w:pPr>
              <w:spacing w:after="20" w:before="20"/>
            </w:pPr>
            <w:r/>
            <w:r>
              <w:rPr>
                <w:sz w:val="18"/>
              </w:rPr>
              <w:t>W</w:t>
            </w:r>
          </w:p>
        </w:tc>
      </w:tr>
      <w:tr>
        <w:tc>
          <w:tcPr>
            <w:tcW w:type="dxa" w:w="1548"/>
          </w:tcPr>
          <w:p>
            <w:pPr>
              <w:spacing w:after="20" w:before="20"/>
            </w:pPr>
            <w:r/>
            <w:r>
              <w:rPr>
                <w:sz w:val="18"/>
              </w:rPr>
              <w:t>α</w:t>
            </w:r>
          </w:p>
        </w:tc>
        <w:tc>
          <w:tcPr>
            <w:tcW w:type="dxa" w:w="6449"/>
          </w:tcPr>
          <w:p>
            <w:pPr>
              <w:spacing w:after="20" w:before="20"/>
            </w:pPr>
            <w:r/>
            <w:r>
              <w:rPr>
                <w:sz w:val="18"/>
              </w:rPr>
              <w:t xml:space="preserve">Fraction of the DUT's loss reaching the water directly rather than via the chamber air. </w:t>
            </w:r>
            <w:r>
              <w:rPr>
                <w:b/>
                <w:sz w:val="18"/>
              </w:rPr>
              <w:t>α = 0 for the built rig</w:t>
            </w:r>
          </w:p>
        </w:tc>
        <w:tc>
          <w:tcPr>
            <w:tcW w:type="dxa" w:w="1032"/>
          </w:tcPr>
          <w:p>
            <w:pPr>
              <w:spacing w:after="20" w:before="20"/>
            </w:pPr>
            <w:r/>
            <w:r>
              <w:rPr>
                <w:sz w:val="18"/>
              </w:rPr>
              <w:t>—</w:t>
            </w:r>
          </w:p>
        </w:tc>
      </w:tr>
      <w:tr>
        <w:tc>
          <w:tcPr>
            <w:tcW w:type="dxa" w:w="1548"/>
          </w:tcPr>
          <w:p>
            <w:pPr>
              <w:spacing w:after="20" w:before="20"/>
            </w:pPr>
            <w:r/>
            <w:r>
              <w:rPr>
                <w:sz w:val="18"/>
              </w:rPr>
              <w:t>C</w:t>
            </w:r>
            <w:r>
              <w:rPr>
                <w:sz w:val="18"/>
                <w:vertAlign w:val="subscript"/>
              </w:rPr>
              <w:t>i</w:t>
            </w:r>
            <w:r>
              <w:rPr>
                <w:sz w:val="18"/>
              </w:rPr>
              <w:t>, C</w:t>
            </w:r>
            <w:r>
              <w:rPr>
                <w:sz w:val="18"/>
                <w:vertAlign w:val="subscript"/>
              </w:rPr>
              <w:t>w</w:t>
            </w:r>
            <w:r>
              <w:rPr>
                <w:sz w:val="18"/>
              </w:rPr>
              <w:t>, C</w:t>
            </w:r>
            <w:r>
              <w:rPr>
                <w:sz w:val="18"/>
                <w:vertAlign w:val="subscript"/>
              </w:rPr>
              <w:t>e</w:t>
            </w:r>
          </w:p>
        </w:tc>
        <w:tc>
          <w:tcPr>
            <w:tcW w:type="dxa" w:w="6449"/>
          </w:tcPr>
          <w:p>
            <w:pPr>
              <w:spacing w:after="20" w:before="20"/>
            </w:pPr>
            <w:r/>
            <w:r>
              <w:rPr>
                <w:sz w:val="18"/>
              </w:rPr>
              <w:t>Capacitances of the three nodes</w:t>
            </w:r>
          </w:p>
        </w:tc>
        <w:tc>
          <w:tcPr>
            <w:tcW w:type="dxa" w:w="1032"/>
          </w:tcPr>
          <w:p>
            <w:pPr>
              <w:spacing w:after="20" w:before="20"/>
            </w:pPr>
            <w:r/>
            <w:r>
              <w:rPr>
                <w:sz w:val="18"/>
              </w:rPr>
              <w:t>J/K</w:t>
            </w:r>
          </w:p>
        </w:tc>
      </w:tr>
      <w:tr>
        <w:tc>
          <w:tcPr>
            <w:tcW w:type="dxa" w:w="1548"/>
          </w:tcPr>
          <w:p>
            <w:pPr>
              <w:spacing w:after="20" w:before="20"/>
            </w:pPr>
            <w:r/>
            <w:r>
              <w:rPr>
                <w:sz w:val="18"/>
              </w:rPr>
              <w:t>UA</w:t>
            </w:r>
            <w:r>
              <w:rPr>
                <w:sz w:val="18"/>
                <w:vertAlign w:val="subscript"/>
              </w:rPr>
              <w:t>rad</w:t>
            </w:r>
          </w:p>
        </w:tc>
        <w:tc>
          <w:tcPr>
            <w:tcW w:type="dxa" w:w="6449"/>
          </w:tcPr>
          <w:p>
            <w:pPr>
              <w:spacing w:after="20" w:before="20"/>
            </w:pPr>
            <w:r/>
            <w:r>
              <w:rPr>
                <w:sz w:val="18"/>
              </w:rPr>
              <w:t>Chamber air ↔ water bridge through the pickup radiator</w:t>
            </w:r>
          </w:p>
        </w:tc>
        <w:tc>
          <w:tcPr>
            <w:tcW w:type="dxa" w:w="1032"/>
          </w:tcPr>
          <w:p>
            <w:pPr>
              <w:spacing w:after="20" w:before="20"/>
            </w:pPr>
            <w:r/>
            <w:r>
              <w:rPr>
                <w:sz w:val="18"/>
              </w:rPr>
              <w:t>W/K</w:t>
            </w:r>
          </w:p>
        </w:tc>
      </w:tr>
      <w:tr>
        <w:tc>
          <w:tcPr>
            <w:tcW w:type="dxa" w:w="1548"/>
          </w:tcPr>
          <w:p>
            <w:pPr>
              <w:spacing w:after="20" w:before="20"/>
            </w:pPr>
            <w:r/>
            <w:r>
              <w:rPr>
                <w:sz w:val="18"/>
              </w:rPr>
              <w:t>G</w:t>
            </w:r>
            <w:r>
              <w:rPr>
                <w:sz w:val="18"/>
                <w:vertAlign w:val="subscript"/>
              </w:rPr>
              <w:t>gap</w:t>
            </w:r>
          </w:p>
        </w:tc>
        <w:tc>
          <w:tcPr>
            <w:tcW w:type="dxa" w:w="6449"/>
          </w:tcPr>
          <w:p>
            <w:pPr>
              <w:spacing w:after="20" w:before="20"/>
            </w:pPr>
            <w:r/>
            <w:r>
              <w:rPr>
                <w:sz w:val="18"/>
              </w:rPr>
              <w:t xml:space="preserve">Chamber → gap. </w:t>
            </w:r>
            <w:r>
              <w:rPr>
                <w:b/>
                <w:sz w:val="18"/>
              </w:rPr>
              <w:t>The leak</w:t>
            </w:r>
          </w:p>
        </w:tc>
        <w:tc>
          <w:tcPr>
            <w:tcW w:type="dxa" w:w="1032"/>
          </w:tcPr>
          <w:p>
            <w:pPr>
              <w:spacing w:after="20" w:before="20"/>
            </w:pPr>
            <w:r/>
            <w:r>
              <w:rPr>
                <w:sz w:val="18"/>
              </w:rPr>
              <w:t>W/K</w:t>
            </w:r>
          </w:p>
        </w:tc>
      </w:tr>
      <w:tr>
        <w:tc>
          <w:tcPr>
            <w:tcW w:type="dxa" w:w="1548"/>
          </w:tcPr>
          <w:p>
            <w:pPr>
              <w:spacing w:after="20" w:before="20"/>
            </w:pPr>
            <w:r/>
            <w:r>
              <w:rPr>
                <w:sz w:val="18"/>
              </w:rPr>
              <w:t>G</w:t>
            </w:r>
            <w:r>
              <w:rPr>
                <w:sz w:val="18"/>
                <w:vertAlign w:val="subscript"/>
              </w:rPr>
              <w:t>out</w:t>
            </w:r>
          </w:p>
        </w:tc>
        <w:tc>
          <w:tcPr>
            <w:tcW w:type="dxa" w:w="6449"/>
          </w:tcPr>
          <w:p>
            <w:pPr>
              <w:spacing w:after="20" w:before="20"/>
            </w:pPr>
            <w:r/>
            <w:r>
              <w:rPr>
                <w:sz w:val="18"/>
              </w:rPr>
              <w:t>Gap → ambient. Unmetered, and harmless</w:t>
            </w:r>
          </w:p>
        </w:tc>
        <w:tc>
          <w:tcPr>
            <w:tcW w:type="dxa" w:w="1032"/>
          </w:tcPr>
          <w:p>
            <w:pPr>
              <w:spacing w:after="20" w:before="20"/>
            </w:pPr>
            <w:r/>
            <w:r>
              <w:rPr>
                <w:sz w:val="18"/>
              </w:rPr>
              <w:t>W/K</w:t>
            </w:r>
          </w:p>
        </w:tc>
      </w:tr>
      <w:tr>
        <w:tc>
          <w:tcPr>
            <w:tcW w:type="dxa" w:w="1548"/>
          </w:tcPr>
          <w:p>
            <w:pPr>
              <w:spacing w:after="20" w:before="20"/>
            </w:pPr>
            <w:r/>
            <w:r>
              <w:rPr>
                <w:sz w:val="18"/>
              </w:rPr>
              <w:t>ṁc</w:t>
            </w:r>
            <w:r>
              <w:rPr>
                <w:sz w:val="18"/>
                <w:vertAlign w:val="subscript"/>
              </w:rPr>
              <w:t>p</w:t>
            </w:r>
          </w:p>
        </w:tc>
        <w:tc>
          <w:tcPr>
            <w:tcW w:type="dxa" w:w="6449"/>
          </w:tcPr>
          <w:p>
            <w:pPr>
              <w:spacing w:after="20" w:before="20"/>
            </w:pPr>
            <w:r/>
            <w:r>
              <w:rPr>
                <w:sz w:val="18"/>
              </w:rPr>
              <w:t>Advection through the water loop — the meter and the drain</w:t>
            </w:r>
          </w:p>
        </w:tc>
        <w:tc>
          <w:tcPr>
            <w:tcW w:type="dxa" w:w="1032"/>
          </w:tcPr>
          <w:p>
            <w:pPr>
              <w:spacing w:after="20" w:before="20"/>
            </w:pPr>
            <w:r/>
            <w:r>
              <w:rPr>
                <w:sz w:val="18"/>
              </w:rPr>
              <w:t>W/K</w:t>
            </w:r>
          </w:p>
        </w:tc>
      </w:tr>
      <w:tr>
        <w:tc>
          <w:tcPr>
            <w:tcW w:type="dxa" w:w="1548"/>
          </w:tcPr>
          <w:p>
            <w:pPr>
              <w:spacing w:after="20" w:before="20"/>
            </w:pPr>
            <w:r/>
            <w:r>
              <w:rPr>
                <w:sz w:val="18"/>
              </w:rPr>
              <w:t>Ṫ</w:t>
            </w:r>
            <w:r>
              <w:rPr>
                <w:sz w:val="18"/>
                <w:vertAlign w:val="subscript"/>
              </w:rPr>
              <w:t>a</w:t>
            </w:r>
          </w:p>
        </w:tc>
        <w:tc>
          <w:tcPr>
            <w:tcW w:type="dxa" w:w="6449"/>
          </w:tcPr>
          <w:p>
            <w:pPr>
              <w:spacing w:after="20" w:before="20"/>
            </w:pPr>
            <w:r/>
            <w:r>
              <w:rPr>
                <w:sz w:val="18"/>
              </w:rPr>
              <w:t>Ambient drift rate</w:t>
            </w:r>
          </w:p>
        </w:tc>
        <w:tc>
          <w:tcPr>
            <w:tcW w:type="dxa" w:w="1032"/>
          </w:tcPr>
          <w:p>
            <w:pPr>
              <w:spacing w:after="20" w:before="20"/>
            </w:pPr>
            <w:r/>
            <w:r>
              <w:rPr>
                <w:sz w:val="18"/>
              </w:rPr>
              <w:t>K/s</w:t>
            </w:r>
          </w:p>
        </w:tc>
      </w:tr>
    </w:tbl>
    <w:p>
      <w:pPr>
        <w:spacing w:before="60" w:after="200"/>
        <w:jc w:val="left"/>
      </w:pPr>
      <w:r>
        <w:rPr>
          <w:i/>
          <w:sz w:val="18"/>
        </w:rPr>
        <w:t>Table 11. Symbols in the node equations.</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Three derivatives, three states</w:t>
            </w:r>
          </w:p>
          <w:p>
            <w:pPr>
              <w:spacing w:after="40"/>
            </w:pPr>
            <w:r>
              <w:rPr>
                <w:sz w:val="19"/>
              </w:rPr>
              <w:t>Only equations (5a)–(5c) carry a d/dt, so the model has exactly three states. Equation (5d) has none — it is a pure algebraic readout and belongs in the output matrix, never in the dynamics. This distinction is the one most often collapsed by mistake, and getting it wrong makes the reading appear to have dynamics it does not have.</w:t>
            </w:r>
          </w:p>
        </w:tc>
      </w:tr>
    </w:tbl>
    <w:p>
      <w:pPr>
        <w:spacing w:after="80"/>
      </w:pPr>
    </w:p>
    <w:p>
      <w:pPr>
        <w:spacing w:after="120"/>
      </w:pPr>
      <w:r>
        <w:t xml:space="preserve">One identity in (5b) and (5d) is worth pointing at, because it is why the instrument works at all: </w:t>
      </w:r>
      <w:r>
        <w:rPr>
          <w:b/>
        </w:rPr>
        <w:t>the water node's drain term and the meter's output are the same signal.</w:t>
      </w:r>
      <w:r>
        <w:t xml:space="preserve"> ṁc</w:t>
      </w:r>
      <w:r>
        <w:rPr>
          <w:vertAlign w:val="subscript"/>
        </w:rPr>
        <w:t>p</w:t>
      </w:r>
      <w:r>
        <w:t>·(θ</w:t>
      </w:r>
      <w:r>
        <w:rPr>
          <w:vertAlign w:val="subscript"/>
        </w:rPr>
        <w:t>w</w:t>
      </w:r>
      <w:r>
        <w:t xml:space="preserve"> − θ</w:t>
      </w:r>
      <w:r>
        <w:rPr>
          <w:vertAlign w:val="subscript"/>
        </w:rPr>
        <w:t>in</w:t>
      </w:r>
      <w:r>
        <w:t>) is simultaneously the plant's advection loss and the reported reading. That is also why θ</w:t>
      </w:r>
      <w:r>
        <w:rPr>
          <w:vertAlign w:val="subscript"/>
        </w:rPr>
        <w:t>w</w:t>
      </w:r>
      <w:r>
        <w:t xml:space="preserve"> must be a state — the reading is a capacitor voltage being observed, not an unknown being solved for.</w:t>
      </w:r>
    </w:p>
    <w:p>
      <w:pPr>
        <w:pStyle w:val="Heading2"/>
      </w:pPr>
      <w:r>
        <w:t>The conductances</w:t>
      </w:r>
    </w:p>
    <w:p>
      <w:pPr>
        <w:spacing w:after="120"/>
      </w:pPr>
      <w:r>
        <w:t>Each conductance is a series/parallel assembly of the standard mechanisms.</w:t>
      </w:r>
    </w:p>
    <w:p>
      <w:pPr>
        <w:spacing w:before="160" w:after="160"/>
        <w:jc w:val="center"/>
      </w:pPr>
      <w:r>
        <w:rPr>
          <w:rFonts w:ascii="Cambria Math" w:hAnsi="Cambria Math"/>
          <w:sz w:val="24"/>
        </w:rPr>
        <w:t>G</w:t>
      </w:r>
      <w:r>
        <w:rPr>
          <w:rFonts w:ascii="Cambria Math" w:hAnsi="Cambria Math"/>
          <w:sz w:val="24"/>
          <w:vertAlign w:val="subscript"/>
        </w:rPr>
        <w:t>gap</w:t>
      </w:r>
      <w:r>
        <w:rPr>
          <w:rFonts w:ascii="Cambria Math" w:hAnsi="Cambria Math"/>
          <w:sz w:val="24"/>
        </w:rPr>
        <w:t xml:space="preserve"> = [ d</w:t>
      </w:r>
      <w:r>
        <w:rPr>
          <w:rFonts w:ascii="Cambria Math" w:hAnsi="Cambria Math"/>
          <w:sz w:val="24"/>
          <w:vertAlign w:val="subscript"/>
        </w:rPr>
        <w:t>in</w:t>
      </w:r>
      <w:r>
        <w:rPr>
          <w:rFonts w:ascii="Cambria Math" w:hAnsi="Cambria Math"/>
          <w:sz w:val="24"/>
        </w:rPr>
        <w:t>/(λ·A</w:t>
      </w:r>
      <w:r>
        <w:rPr>
          <w:rFonts w:ascii="Cambria Math" w:hAnsi="Cambria Math"/>
          <w:sz w:val="24"/>
          <w:vertAlign w:val="subscript"/>
        </w:rPr>
        <w:t>wall</w:t>
      </w:r>
      <w:r>
        <w:rPr>
          <w:rFonts w:ascii="Cambria Math" w:hAnsi="Cambria Math"/>
          <w:sz w:val="24"/>
        </w:rPr>
        <w:t>) + 1/((h</w:t>
      </w:r>
      <w:r>
        <w:rPr>
          <w:rFonts w:ascii="Cambria Math" w:hAnsi="Cambria Math"/>
          <w:sz w:val="24"/>
          <w:vertAlign w:val="subscript"/>
        </w:rPr>
        <w:t>gap</w:t>
      </w:r>
      <w:r>
        <w:rPr>
          <w:rFonts w:ascii="Cambria Math" w:hAnsi="Cambria Math"/>
          <w:sz w:val="24"/>
        </w:rPr>
        <w:t xml:space="preserve"> + h</w:t>
      </w:r>
      <w:r>
        <w:rPr>
          <w:rFonts w:ascii="Cambria Math" w:hAnsi="Cambria Math"/>
          <w:sz w:val="24"/>
          <w:vertAlign w:val="subscript"/>
        </w:rPr>
        <w:t>r</w:t>
      </w:r>
      <w:r>
        <w:rPr>
          <w:rFonts w:ascii="Cambria Math" w:hAnsi="Cambria Math"/>
          <w:sz w:val="24"/>
        </w:rPr>
        <w:t>)·A</w:t>
      </w:r>
      <w:r>
        <w:rPr>
          <w:rFonts w:ascii="Cambria Math" w:hAnsi="Cambria Math"/>
          <w:sz w:val="24"/>
          <w:vertAlign w:val="subscript"/>
        </w:rPr>
        <w:t>wall</w:t>
      </w:r>
      <w:r>
        <w:rPr>
          <w:rFonts w:ascii="Cambria Math" w:hAnsi="Cambria Math"/>
          <w:sz w:val="24"/>
        </w:rPr>
        <w:t>) ]⁻¹ + G</w:t>
      </w:r>
      <w:r>
        <w:rPr>
          <w:rFonts w:ascii="Cambria Math" w:hAnsi="Cambria Math"/>
          <w:sz w:val="24"/>
          <w:vertAlign w:val="subscript"/>
        </w:rPr>
        <w:t>seam</w:t>
      </w:r>
      <w:r>
        <w:rPr>
          <w:rFonts w:ascii="Cambria Math" w:hAnsi="Cambria Math"/>
          <w:sz w:val="24"/>
        </w:rPr>
        <w:t xml:space="preserve"> + G</w:t>
      </w:r>
      <w:r>
        <w:rPr>
          <w:rFonts w:ascii="Cambria Math" w:hAnsi="Cambria Math"/>
          <w:sz w:val="24"/>
          <w:vertAlign w:val="subscript"/>
        </w:rPr>
        <w:t>ft</w:t>
      </w:r>
      <w:r>
        <w:rPr>
          <w:rFonts w:ascii="Cambria Math" w:hAnsi="Cambria Math"/>
          <w:sz w:val="24"/>
        </w:rPr>
        <w:t xml:space="preserve"> + G</w:t>
      </w:r>
      <w:r>
        <w:rPr>
          <w:rFonts w:ascii="Cambria Math" w:hAnsi="Cambria Math"/>
          <w:sz w:val="24"/>
          <w:vertAlign w:val="subscript"/>
        </w:rPr>
        <w:t>wire</w:t>
      </w:r>
      <w:r>
        <w:rPr>
          <w:sz w:val="20"/>
        </w:rPr>
        <w:tab/>
        <w:tab/>
        <w:t>(6)</w:t>
      </w:r>
    </w:p>
    <w:p>
      <w:pPr>
        <w:spacing w:before="160" w:after="160"/>
        <w:jc w:val="center"/>
      </w:pPr>
      <w:r>
        <w:rPr>
          <w:rFonts w:ascii="Cambria Math" w:hAnsi="Cambria Math"/>
          <w:sz w:val="24"/>
        </w:rPr>
        <w:t>G</w:t>
      </w:r>
      <w:r>
        <w:rPr>
          <w:rFonts w:ascii="Cambria Math" w:hAnsi="Cambria Math"/>
          <w:sz w:val="24"/>
          <w:vertAlign w:val="subscript"/>
        </w:rPr>
        <w:t>out</w:t>
      </w:r>
      <w:r>
        <w:rPr>
          <w:rFonts w:ascii="Cambria Math" w:hAnsi="Cambria Math"/>
          <w:sz w:val="24"/>
        </w:rPr>
        <w:t xml:space="preserve"> = [ d</w:t>
      </w:r>
      <w:r>
        <w:rPr>
          <w:rFonts w:ascii="Cambria Math" w:hAnsi="Cambria Math"/>
          <w:sz w:val="24"/>
          <w:vertAlign w:val="subscript"/>
        </w:rPr>
        <w:t>out</w:t>
      </w:r>
      <w:r>
        <w:rPr>
          <w:rFonts w:ascii="Cambria Math" w:hAnsi="Cambria Math"/>
          <w:sz w:val="24"/>
        </w:rPr>
        <w:t>/(λ·A</w:t>
      </w:r>
      <w:r>
        <w:rPr>
          <w:rFonts w:ascii="Cambria Math" w:hAnsi="Cambria Math"/>
          <w:sz w:val="24"/>
          <w:vertAlign w:val="subscript"/>
        </w:rPr>
        <w:t>out</w:t>
      </w:r>
      <w:r>
        <w:rPr>
          <w:rFonts w:ascii="Cambria Math" w:hAnsi="Cambria Math"/>
          <w:sz w:val="24"/>
        </w:rPr>
        <w:t>) + 1/((h</w:t>
      </w:r>
      <w:r>
        <w:rPr>
          <w:rFonts w:ascii="Cambria Math" w:hAnsi="Cambria Math"/>
          <w:sz w:val="24"/>
          <w:vertAlign w:val="subscript"/>
        </w:rPr>
        <w:t>ext</w:t>
      </w:r>
      <w:r>
        <w:rPr>
          <w:rFonts w:ascii="Cambria Math" w:hAnsi="Cambria Math"/>
          <w:sz w:val="24"/>
        </w:rPr>
        <w:t xml:space="preserve"> + h</w:t>
      </w:r>
      <w:r>
        <w:rPr>
          <w:rFonts w:ascii="Cambria Math" w:hAnsi="Cambria Math"/>
          <w:sz w:val="24"/>
          <w:vertAlign w:val="subscript"/>
        </w:rPr>
        <w:t>r,ext</w:t>
      </w:r>
      <w:r>
        <w:rPr>
          <w:rFonts w:ascii="Cambria Math" w:hAnsi="Cambria Math"/>
          <w:sz w:val="24"/>
        </w:rPr>
        <w:t>)·A</w:t>
      </w:r>
      <w:r>
        <w:rPr>
          <w:rFonts w:ascii="Cambria Math" w:hAnsi="Cambria Math"/>
          <w:sz w:val="24"/>
          <w:vertAlign w:val="subscript"/>
        </w:rPr>
        <w:t>out</w:t>
      </w:r>
      <w:r>
        <w:rPr>
          <w:rFonts w:ascii="Cambria Math" w:hAnsi="Cambria Math"/>
          <w:sz w:val="24"/>
        </w:rPr>
        <w:t>) ]⁻¹</w:t>
      </w:r>
      <w:r>
        <w:rPr>
          <w:sz w:val="20"/>
        </w:rPr>
        <w:tab/>
        <w:tab/>
        <w:t>(7)</w:t>
      </w:r>
    </w:p>
    <w:p>
      <w:pPr>
        <w:spacing w:before="160" w:after="160"/>
        <w:jc w:val="center"/>
      </w:pPr>
      <w:r>
        <w:rPr>
          <w:rFonts w:ascii="Cambria Math" w:hAnsi="Cambria Math"/>
          <w:sz w:val="24"/>
        </w:rPr>
        <w:t>UA</w:t>
      </w:r>
      <w:r>
        <w:rPr>
          <w:rFonts w:ascii="Cambria Math" w:hAnsi="Cambria Math"/>
          <w:sz w:val="24"/>
          <w:vertAlign w:val="subscript"/>
        </w:rPr>
        <w:t>rad</w:t>
      </w:r>
      <w:r>
        <w:rPr>
          <w:rFonts w:ascii="Cambria Math" w:hAnsi="Cambria Math"/>
          <w:sz w:val="24"/>
        </w:rPr>
        <w:t xml:space="preserve"> = [ 1/(η</w:t>
      </w:r>
      <w:r>
        <w:rPr>
          <w:rFonts w:ascii="Cambria Math" w:hAnsi="Cambria Math"/>
          <w:sz w:val="24"/>
          <w:vertAlign w:val="subscript"/>
        </w:rPr>
        <w:t>o</w:t>
      </w:r>
      <w:r>
        <w:rPr>
          <w:rFonts w:ascii="Cambria Math" w:hAnsi="Cambria Math"/>
          <w:sz w:val="24"/>
        </w:rPr>
        <w:t>·h</w:t>
      </w:r>
      <w:r>
        <w:rPr>
          <w:rFonts w:ascii="Cambria Math" w:hAnsi="Cambria Math"/>
          <w:sz w:val="24"/>
          <w:vertAlign w:val="subscript"/>
        </w:rPr>
        <w:t>air</w:t>
      </w:r>
      <w:r>
        <w:rPr>
          <w:rFonts w:ascii="Cambria Math" w:hAnsi="Cambria Math"/>
          <w:sz w:val="24"/>
        </w:rPr>
        <w:t>·A</w:t>
      </w:r>
      <w:r>
        <w:rPr>
          <w:rFonts w:ascii="Cambria Math" w:hAnsi="Cambria Math"/>
          <w:sz w:val="24"/>
          <w:vertAlign w:val="subscript"/>
        </w:rPr>
        <w:t>air</w:t>
      </w:r>
      <w:r>
        <w:rPr>
          <w:rFonts w:ascii="Cambria Math" w:hAnsi="Cambria Math"/>
          <w:sz w:val="24"/>
        </w:rPr>
        <w:t>) + R</w:t>
      </w:r>
      <w:r>
        <w:rPr>
          <w:rFonts w:ascii="Cambria Math" w:hAnsi="Cambria Math"/>
          <w:sz w:val="24"/>
          <w:vertAlign w:val="subscript"/>
        </w:rPr>
        <w:t>wall</w:t>
      </w:r>
      <w:r>
        <w:rPr>
          <w:rFonts w:ascii="Cambria Math" w:hAnsi="Cambria Math"/>
          <w:sz w:val="24"/>
        </w:rPr>
        <w:t xml:space="preserve"> + 1/(h</w:t>
      </w:r>
      <w:r>
        <w:rPr>
          <w:rFonts w:ascii="Cambria Math" w:hAnsi="Cambria Math"/>
          <w:sz w:val="24"/>
          <w:vertAlign w:val="subscript"/>
        </w:rPr>
        <w:t>w</w:t>
      </w:r>
      <w:r>
        <w:rPr>
          <w:rFonts w:ascii="Cambria Math" w:hAnsi="Cambria Math"/>
          <w:sz w:val="24"/>
        </w:rPr>
        <w:t>·A</w:t>
      </w:r>
      <w:r>
        <w:rPr>
          <w:rFonts w:ascii="Cambria Math" w:hAnsi="Cambria Math"/>
          <w:sz w:val="24"/>
          <w:vertAlign w:val="subscript"/>
        </w:rPr>
        <w:t>water</w:t>
      </w:r>
      <w:r>
        <w:rPr>
          <w:rFonts w:ascii="Cambria Math" w:hAnsi="Cambria Math"/>
          <w:sz w:val="24"/>
        </w:rPr>
        <w:t>) ]⁻¹</w:t>
      </w:r>
      <w:r>
        <w:rPr>
          <w:sz w:val="20"/>
        </w:rPr>
        <w:tab/>
        <w:tab/>
        <w:t>(8)</w:t>
      </w:r>
    </w:p>
    <w:p>
      <w:pPr>
        <w:spacing w:before="160" w:after="160"/>
        <w:jc w:val="center"/>
      </w:pPr>
      <w:r>
        <w:rPr>
          <w:rFonts w:ascii="Cambria Math" w:hAnsi="Cambria Math"/>
          <w:sz w:val="24"/>
        </w:rPr>
        <w:t>h</w:t>
      </w:r>
      <w:r>
        <w:rPr>
          <w:rFonts w:ascii="Cambria Math" w:hAnsi="Cambria Math"/>
          <w:sz w:val="24"/>
          <w:vertAlign w:val="subscript"/>
        </w:rPr>
        <w:t>r</w:t>
      </w:r>
      <w:r>
        <w:rPr>
          <w:rFonts w:ascii="Cambria Math" w:hAnsi="Cambria Math"/>
          <w:sz w:val="24"/>
        </w:rPr>
        <w:t xml:space="preserve"> = 4·ε</w:t>
      </w:r>
      <w:r>
        <w:rPr>
          <w:rFonts w:ascii="Cambria Math" w:hAnsi="Cambria Math"/>
          <w:sz w:val="24"/>
          <w:vertAlign w:val="subscript"/>
        </w:rPr>
        <w:t>eff</w:t>
      </w:r>
      <w:r>
        <w:rPr>
          <w:rFonts w:ascii="Cambria Math" w:hAnsi="Cambria Math"/>
          <w:sz w:val="24"/>
        </w:rPr>
        <w:t>·σ·T̄³ ,    ε</w:t>
      </w:r>
      <w:r>
        <w:rPr>
          <w:rFonts w:ascii="Cambria Math" w:hAnsi="Cambria Math"/>
          <w:sz w:val="24"/>
          <w:vertAlign w:val="subscript"/>
        </w:rPr>
        <w:t>eff</w:t>
      </w:r>
      <w:r>
        <w:rPr>
          <w:rFonts w:ascii="Cambria Math" w:hAnsi="Cambria Math"/>
          <w:sz w:val="24"/>
        </w:rPr>
        <w:t xml:space="preserve"> = (1/ε</w:t>
      </w:r>
      <w:r>
        <w:rPr>
          <w:rFonts w:ascii="Cambria Math" w:hAnsi="Cambria Math"/>
          <w:sz w:val="24"/>
          <w:vertAlign w:val="subscript"/>
        </w:rPr>
        <w:t>1</w:t>
      </w:r>
      <w:r>
        <w:rPr>
          <w:rFonts w:ascii="Cambria Math" w:hAnsi="Cambria Math"/>
          <w:sz w:val="24"/>
        </w:rPr>
        <w:t xml:space="preserve"> + 1/ε</w:t>
      </w:r>
      <w:r>
        <w:rPr>
          <w:rFonts w:ascii="Cambria Math" w:hAnsi="Cambria Math"/>
          <w:sz w:val="24"/>
          <w:vertAlign w:val="subscript"/>
        </w:rPr>
        <w:t>2</w:t>
      </w:r>
      <w:r>
        <w:rPr>
          <w:rFonts w:ascii="Cambria Math" w:hAnsi="Cambria Math"/>
          <w:sz w:val="24"/>
        </w:rPr>
        <w:t xml:space="preserve"> − 1)⁻¹</w:t>
      </w:r>
      <w:r>
        <w:rPr>
          <w:sz w:val="20"/>
        </w:rPr>
        <w:tab/>
        <w:tab/>
        <w:t>(9)</w:t>
      </w:r>
    </w:p>
    <w:p>
      <w:pPr>
        <w:spacing w:after="120"/>
      </w:pPr>
      <w:r>
        <w:t>Equation (9) is the linearised radiation term, obtained by factoring T</w:t>
      </w:r>
      <w:r>
        <w:rPr>
          <w:vertAlign w:val="subscript"/>
        </w:rPr>
        <w:t>1</w:t>
      </w:r>
      <w:r>
        <w:t>⁴ − T</w:t>
      </w:r>
      <w:r>
        <w:rPr>
          <w:vertAlign w:val="subscript"/>
        </w:rPr>
        <w:t>2</w:t>
      </w:r>
      <w:r>
        <w:t>⁴ = (T</w:t>
      </w:r>
      <w:r>
        <w:rPr>
          <w:vertAlign w:val="subscript"/>
        </w:rPr>
        <w:t>1</w:t>
      </w:r>
      <w:r>
        <w:t>² + T</w:t>
      </w:r>
      <w:r>
        <w:rPr>
          <w:vertAlign w:val="subscript"/>
        </w:rPr>
        <w:t>2</w:t>
      </w:r>
      <w:r>
        <w:t>²)(T</w:t>
      </w:r>
      <w:r>
        <w:rPr>
          <w:vertAlign w:val="subscript"/>
        </w:rPr>
        <w:t>1</w:t>
      </w:r>
      <w:r>
        <w:t xml:space="preserve"> + T</w:t>
      </w:r>
      <w:r>
        <w:rPr>
          <w:vertAlign w:val="subscript"/>
        </w:rPr>
        <w:t>2</w:t>
      </w:r>
      <w:r>
        <w:t>)(T</w:t>
      </w:r>
      <w:r>
        <w:rPr>
          <w:vertAlign w:val="subscript"/>
        </w:rPr>
        <w:t>1</w:t>
      </w:r>
      <w:r>
        <w:t xml:space="preserve"> − T</w:t>
      </w:r>
      <w:r>
        <w:rPr>
          <w:vertAlign w:val="subscript"/>
        </w:rPr>
        <w:t>2</w:t>
      </w:r>
      <w:r>
        <w:t>) and freezing the bracket at 4T̄³. Over a 20–30 K band the error is a few percent of an already small term, and it is what keeps the whole model linear.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The foil rule — the single most load-bearing material choice</w:t>
            </w:r>
          </w:p>
          <w:p>
            <w:pPr>
              <w:spacing w:after="40"/>
            </w:pPr>
            <w:r>
              <w:rPr>
                <w:sz w:val="19"/>
              </w:rPr>
              <w:t>Radiation across the gap runs skin-to-skin, in parallel with the foam's conduction, and it is the larger of the two if the skins are left bare. At T̄ = 320 K over the ≈0.6 m² gap: matte skins (ε ≈ 0.9 both sides) give ε</w:t>
            </w:r>
            <w:r>
              <w:rPr>
                <w:sz w:val="19"/>
                <w:vertAlign w:val="subscript"/>
              </w:rPr>
              <w:t>eff</w:t>
            </w:r>
            <w:r>
              <w:rPr>
                <w:sz w:val="19"/>
              </w:rPr>
              <w:t xml:space="preserve"> = 0.82, h</w:t>
            </w:r>
            <w:r>
              <w:rPr>
                <w:sz w:val="19"/>
                <w:vertAlign w:val="subscript"/>
              </w:rPr>
              <w:t>r</w:t>
            </w:r>
            <w:r>
              <w:rPr>
                <w:sz w:val="19"/>
              </w:rPr>
              <w:t xml:space="preserve"> ≈ 6.1 W/m²K and </w:t>
            </w:r>
            <w:r>
              <w:rPr>
                <w:b/>
                <w:sz w:val="19"/>
              </w:rPr>
              <w:t>G</w:t>
            </w:r>
            <w:r>
              <w:rPr>
                <w:b/>
                <w:sz w:val="19"/>
                <w:vertAlign w:val="subscript"/>
              </w:rPr>
              <w:t>rad</w:t>
            </w:r>
            <w:r>
              <w:rPr>
                <w:b/>
                <w:sz w:val="19"/>
              </w:rPr>
              <w:t xml:space="preserve"> ≈ 3.7 W/K</w:t>
            </w:r>
            <w:r>
              <w:rPr>
                <w:sz w:val="19"/>
              </w:rPr>
              <w:t xml:space="preserve"> — 6.5× the foam's own 0.56 W/K. Aluminium foil on both facing skins (ε ≈ 0.05) gives ε</w:t>
            </w:r>
            <w:r>
              <w:rPr>
                <w:sz w:val="19"/>
                <w:vertAlign w:val="subscript"/>
              </w:rPr>
              <w:t>eff</w:t>
            </w:r>
            <w:r>
              <w:rPr>
                <w:sz w:val="19"/>
              </w:rPr>
              <w:t xml:space="preserve"> = 0.026 and </w:t>
            </w:r>
            <w:r>
              <w:rPr>
                <w:b/>
                <w:sz w:val="19"/>
              </w:rPr>
              <w:t>G</w:t>
            </w:r>
            <w:r>
              <w:rPr>
                <w:b/>
                <w:sz w:val="19"/>
                <w:vertAlign w:val="subscript"/>
              </w:rPr>
              <w:t>rad</w:t>
            </w:r>
            <w:r>
              <w:rPr>
                <w:b/>
                <w:sz w:val="19"/>
              </w:rPr>
              <w:t xml:space="preserve"> ≈ 0.11 W/K</w:t>
            </w:r>
            <w:r>
              <w:rPr>
                <w:sz w:val="19"/>
              </w:rPr>
              <w:t>, about 30× less. This matters twice over. A perfect null cancels radiation along with everything else, but the null is never perfect, and the leak error is G</w:t>
            </w:r>
            <w:r>
              <w:rPr>
                <w:sz w:val="19"/>
                <w:vertAlign w:val="subscript"/>
              </w:rPr>
              <w:t>gap</w:t>
            </w:r>
            <w:r>
              <w:rPr>
                <w:sz w:val="19"/>
              </w:rPr>
              <w:t>·δT with G</w:t>
            </w:r>
            <w:r>
              <w:rPr>
                <w:sz w:val="19"/>
                <w:vertAlign w:val="subscript"/>
              </w:rPr>
              <w:t>gap</w:t>
            </w:r>
            <w:r>
              <w:rPr>
                <w:sz w:val="19"/>
              </w:rPr>
              <w:t xml:space="preserve"> </w:t>
            </w:r>
            <w:r>
              <w:rPr>
                <w:i/>
                <w:sz w:val="19"/>
              </w:rPr>
              <w:t>including</w:t>
            </w:r>
            <w:r>
              <w:rPr>
                <w:sz w:val="19"/>
              </w:rPr>
              <w:t xml:space="preserve"> G</w:t>
            </w:r>
            <w:r>
              <w:rPr>
                <w:sz w:val="19"/>
                <w:vertAlign w:val="subscript"/>
              </w:rPr>
              <w:t>rad</w:t>
            </w:r>
            <w:r>
              <w:rPr>
                <w:sz w:val="19"/>
              </w:rPr>
              <w:t xml:space="preserve"> — so matte skins make every millikelvin of control error about seven times more expensive. Worse, the servo holds the gap </w:t>
            </w:r>
            <w:r>
              <w:rPr>
                <w:b/>
                <w:sz w:val="19"/>
              </w:rPr>
              <w:t>air</w:t>
            </w:r>
            <w:r>
              <w:rPr>
                <w:sz w:val="19"/>
              </w:rPr>
              <w:t xml:space="preserve"> at T</w:t>
            </w:r>
            <w:r>
              <w:rPr>
                <w:sz w:val="19"/>
                <w:vertAlign w:val="subscript"/>
              </w:rPr>
              <w:t>i</w:t>
            </w:r>
            <w:r>
              <w:rPr>
                <w:sz w:val="19"/>
              </w:rPr>
              <w:t xml:space="preserve"> while radiation runs </w:t>
            </w:r>
            <w:r>
              <w:rPr>
                <w:b/>
                <w:sz w:val="19"/>
              </w:rPr>
              <w:t>skin to skin</w:t>
            </w:r>
            <w:r>
              <w:rPr>
                <w:sz w:val="19"/>
              </w:rPr>
              <w:t>, and the outer skin sits about 1 K below the gap air it feeds; with matte skins that alone leaks 3–4 W with a perfect air-side null, several times the entire budget. With foil, the same imperfection costs ~0.1 W.</w:t>
            </w:r>
          </w:p>
        </w:tc>
      </w:tr>
    </w:tbl>
    <w:p>
      <w:pPr>
        <w:spacing w:after="80"/>
      </w:pP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565"/>
            <w:shd w:val="clear" w:color="auto" w:fill="DEEAF6"/>
          </w:tcPr>
          <w:p>
            <w:pPr>
              <w:spacing w:after="20" w:before="20"/>
            </w:pPr>
            <w:r/>
            <w:r>
              <w:rPr>
                <w:b/>
                <w:sz w:val="18"/>
              </w:rPr>
              <w:t>Quantity</w:t>
            </w:r>
          </w:p>
        </w:tc>
        <w:tc>
          <w:tcPr>
            <w:tcW w:type="dxa" w:w="2648"/>
            <w:shd w:val="clear" w:color="auto" w:fill="DEEAF6"/>
          </w:tcPr>
          <w:p>
            <w:pPr>
              <w:spacing w:after="20" w:before="20"/>
            </w:pPr>
            <w:r/>
            <w:r>
              <w:rPr>
                <w:b/>
                <w:sz w:val="18"/>
              </w:rPr>
              <w:t>Design value</w:t>
            </w:r>
          </w:p>
        </w:tc>
        <w:tc>
          <w:tcPr>
            <w:tcW w:type="dxa" w:w="4815"/>
            <w:shd w:val="clear" w:color="auto" w:fill="DEEAF6"/>
          </w:tcPr>
          <w:p>
            <w:pPr>
              <w:spacing w:after="20" w:before="20"/>
            </w:pPr>
            <w:r/>
            <w:r>
              <w:rPr>
                <w:b/>
                <w:sz w:val="18"/>
              </w:rPr>
              <w:t>Where it comes from</w:t>
            </w:r>
          </w:p>
        </w:tc>
      </w:tr>
      <w:tr>
        <w:tc>
          <w:tcPr>
            <w:tcW w:type="dxa" w:w="1565"/>
          </w:tcPr>
          <w:p>
            <w:pPr>
              <w:spacing w:after="20" w:before="20"/>
            </w:pPr>
            <w:r/>
            <w:r>
              <w:rPr>
                <w:sz w:val="18"/>
              </w:rPr>
              <w:t>G</w:t>
            </w:r>
            <w:r>
              <w:rPr>
                <w:sz w:val="18"/>
                <w:vertAlign w:val="subscript"/>
              </w:rPr>
              <w:t>gap</w:t>
            </w:r>
          </w:p>
        </w:tc>
        <w:tc>
          <w:tcPr>
            <w:tcW w:type="dxa" w:w="2648"/>
          </w:tcPr>
          <w:p>
            <w:pPr>
              <w:spacing w:after="20" w:before="20"/>
            </w:pPr>
            <w:r/>
            <w:r>
              <w:rPr>
                <w:b/>
                <w:sz w:val="18"/>
              </w:rPr>
              <w:t>0.56 W/K</w:t>
            </w:r>
            <w:r>
              <w:rPr>
                <w:sz w:val="18"/>
              </w:rPr>
              <w:t xml:space="preserve"> ⇒ R</w:t>
            </w:r>
            <w:r>
              <w:rPr>
                <w:sz w:val="18"/>
                <w:vertAlign w:val="subscript"/>
              </w:rPr>
              <w:t>th(in)</w:t>
            </w:r>
            <w:r>
              <w:rPr>
                <w:sz w:val="18"/>
              </w:rPr>
              <w:t xml:space="preserve"> = 1.79 K/W</w:t>
            </w:r>
          </w:p>
        </w:tc>
        <w:tc>
          <w:tcPr>
            <w:tcW w:type="dxa" w:w="4815"/>
          </w:tcPr>
          <w:p>
            <w:pPr>
              <w:spacing w:after="20" w:before="20"/>
            </w:pPr>
            <w:r/>
            <w:r>
              <w:rPr>
                <w:sz w:val="18"/>
              </w:rPr>
              <w:t>XPS 50 mm, λ ≈ 0.035–0.04 W/m·K, A ≈ 0.6 m², foil-lined gap</w:t>
            </w:r>
          </w:p>
        </w:tc>
      </w:tr>
      <w:tr>
        <w:tc>
          <w:tcPr>
            <w:tcW w:type="dxa" w:w="1565"/>
          </w:tcPr>
          <w:p>
            <w:pPr>
              <w:spacing w:after="20" w:before="20"/>
            </w:pPr>
            <w:r/>
            <w:r>
              <w:rPr>
                <w:sz w:val="18"/>
              </w:rPr>
              <w:t>G</w:t>
            </w:r>
            <w:r>
              <w:rPr>
                <w:sz w:val="18"/>
                <w:vertAlign w:val="subscript"/>
              </w:rPr>
              <w:t>out</w:t>
            </w:r>
          </w:p>
        </w:tc>
        <w:tc>
          <w:tcPr>
            <w:tcW w:type="dxa" w:w="2648"/>
          </w:tcPr>
          <w:p>
            <w:pPr>
              <w:spacing w:after="20" w:before="20"/>
            </w:pPr>
            <w:r/>
            <w:r>
              <w:rPr>
                <w:b/>
                <w:sz w:val="18"/>
              </w:rPr>
              <w:t>0.45 W/K</w:t>
            </w:r>
          </w:p>
        </w:tc>
        <w:tc>
          <w:tcPr>
            <w:tcW w:type="dxa" w:w="4815"/>
          </w:tcPr>
          <w:p>
            <w:pPr>
              <w:spacing w:after="20" w:before="20"/>
            </w:pPr>
            <w:r/>
            <w:r>
              <w:rPr>
                <w:sz w:val="18"/>
              </w:rPr>
              <w:t>Outer shell, same class of construction</w:t>
            </w:r>
          </w:p>
        </w:tc>
      </w:tr>
      <w:tr>
        <w:tc>
          <w:tcPr>
            <w:tcW w:type="dxa" w:w="1565"/>
          </w:tcPr>
          <w:p>
            <w:pPr>
              <w:spacing w:after="20" w:before="20"/>
            </w:pPr>
            <w:r/>
            <w:r>
              <w:rPr>
                <w:sz w:val="18"/>
              </w:rPr>
              <w:t>UA</w:t>
            </w:r>
            <w:r>
              <w:rPr>
                <w:sz w:val="18"/>
                <w:vertAlign w:val="subscript"/>
              </w:rPr>
              <w:t>rad</w:t>
            </w:r>
          </w:p>
        </w:tc>
        <w:tc>
          <w:tcPr>
            <w:tcW w:type="dxa" w:w="2648"/>
          </w:tcPr>
          <w:p>
            <w:pPr>
              <w:spacing w:after="20" w:before="20"/>
            </w:pPr>
            <w:r/>
            <w:r>
              <w:rPr>
                <w:b/>
                <w:sz w:val="18"/>
              </w:rPr>
              <w:t>30 W/K</w:t>
            </w:r>
          </w:p>
        </w:tc>
        <w:tc>
          <w:tcPr>
            <w:tcW w:type="dxa" w:w="4815"/>
          </w:tcPr>
          <w:p>
            <w:pPr>
              <w:spacing w:after="20" w:before="20"/>
            </w:pPr>
            <w:r/>
            <w:r>
              <w:rPr>
                <w:sz w:val="18"/>
              </w:rPr>
              <w:t>PC-watercooling radiator with fans, air-side limited</w:t>
            </w:r>
          </w:p>
        </w:tc>
      </w:tr>
      <w:tr>
        <w:tc>
          <w:tcPr>
            <w:tcW w:type="dxa" w:w="1565"/>
          </w:tcPr>
          <w:p>
            <w:pPr>
              <w:spacing w:after="20" w:before="20"/>
            </w:pPr>
            <w:r/>
            <w:r>
              <w:rPr>
                <w:sz w:val="18"/>
              </w:rPr>
              <w:t>ṁc</w:t>
            </w:r>
            <w:r>
              <w:rPr>
                <w:sz w:val="18"/>
                <w:vertAlign w:val="subscript"/>
              </w:rPr>
              <w:t>p</w:t>
            </w:r>
          </w:p>
        </w:tc>
        <w:tc>
          <w:tcPr>
            <w:tcW w:type="dxa" w:w="2648"/>
          </w:tcPr>
          <w:p>
            <w:pPr>
              <w:spacing w:after="20" w:before="20"/>
            </w:pPr>
            <w:r/>
            <w:r>
              <w:rPr>
                <w:b/>
                <w:sz w:val="18"/>
              </w:rPr>
              <w:t>3–30 W/K</w:t>
            </w:r>
            <w:r>
              <w:rPr>
                <w:sz w:val="18"/>
              </w:rPr>
              <w:t xml:space="preserve"> design sweep (43–433 mL/min)</w:t>
            </w:r>
          </w:p>
        </w:tc>
        <w:tc>
          <w:tcPr>
            <w:tcW w:type="dxa" w:w="4815"/>
          </w:tcPr>
          <w:p>
            <w:pPr>
              <w:spacing w:after="20" w:before="20"/>
            </w:pPr>
            <w:r/>
            <w:r>
              <w:rPr>
                <w:sz w:val="18"/>
              </w:rPr>
              <w:t>Set per operating point from ṁ = P/(c</w:t>
            </w:r>
            <w:r>
              <w:rPr>
                <w:sz w:val="18"/>
                <w:vertAlign w:val="subscript"/>
              </w:rPr>
              <w:t>p</w:t>
            </w:r>
            <w:r>
              <w:rPr>
                <w:sz w:val="18"/>
              </w:rPr>
              <w:t>·ΔT</w:t>
            </w:r>
            <w:r>
              <w:rPr>
                <w:sz w:val="18"/>
                <w:vertAlign w:val="subscript"/>
              </w:rPr>
              <w:t>set</w:t>
            </w:r>
            <w:r>
              <w:rPr>
                <w:sz w:val="18"/>
              </w:rPr>
              <w:t>)</w:t>
            </w:r>
          </w:p>
        </w:tc>
      </w:tr>
      <w:tr>
        <w:tc>
          <w:tcPr>
            <w:tcW w:type="dxa" w:w="1565"/>
          </w:tcPr>
          <w:p>
            <w:pPr>
              <w:spacing w:after="20" w:before="20"/>
            </w:pPr>
            <w:r/>
            <w:r>
              <w:rPr>
                <w:sz w:val="18"/>
              </w:rPr>
              <w:t>h</w:t>
            </w:r>
            <w:r>
              <w:rPr>
                <w:sz w:val="18"/>
                <w:vertAlign w:val="subscript"/>
              </w:rPr>
              <w:t>gap</w:t>
            </w:r>
            <w:r>
              <w:rPr>
                <w:sz w:val="18"/>
              </w:rPr>
              <w:t>, h</w:t>
            </w:r>
            <w:r>
              <w:rPr>
                <w:sz w:val="18"/>
                <w:vertAlign w:val="subscript"/>
              </w:rPr>
              <w:t>ext</w:t>
            </w:r>
          </w:p>
        </w:tc>
        <w:tc>
          <w:tcPr>
            <w:tcW w:type="dxa" w:w="2648"/>
          </w:tcPr>
          <w:p>
            <w:pPr>
              <w:spacing w:after="20" w:before="20"/>
            </w:pPr>
            <w:r/>
            <w:r>
              <w:rPr>
                <w:sz w:val="18"/>
              </w:rPr>
              <w:t>5–15 W/m²K</w:t>
            </w:r>
          </w:p>
        </w:tc>
        <w:tc>
          <w:tcPr>
            <w:tcW w:type="dxa" w:w="4815"/>
          </w:tcPr>
          <w:p>
            <w:pPr>
              <w:spacing w:after="20" w:before="20"/>
            </w:pPr>
            <w:r/>
            <w:r>
              <w:rPr>
                <w:sz w:val="18"/>
              </w:rPr>
              <w:t>Fan-stirred and free air respectively — the softest numbers in the model, which is why commissioning measures the assembled G instead</w:t>
            </w:r>
          </w:p>
        </w:tc>
      </w:tr>
      <w:tr>
        <w:tc>
          <w:tcPr>
            <w:tcW w:type="dxa" w:w="1565"/>
          </w:tcPr>
          <w:p>
            <w:pPr>
              <w:spacing w:after="20" w:before="20"/>
            </w:pPr>
            <w:r/>
            <w:r>
              <w:rPr>
                <w:sz w:val="18"/>
              </w:rPr>
              <w:t>h</w:t>
            </w:r>
            <w:r>
              <w:rPr>
                <w:sz w:val="18"/>
                <w:vertAlign w:val="subscript"/>
              </w:rPr>
              <w:t>r</w:t>
            </w:r>
            <w:r>
              <w:rPr>
                <w:sz w:val="18"/>
              </w:rPr>
              <w:t>, foil-lined</w:t>
            </w:r>
          </w:p>
        </w:tc>
        <w:tc>
          <w:tcPr>
            <w:tcW w:type="dxa" w:w="2648"/>
          </w:tcPr>
          <w:p>
            <w:pPr>
              <w:spacing w:after="20" w:before="20"/>
            </w:pPr>
            <w:r/>
            <w:r>
              <w:rPr>
                <w:sz w:val="18"/>
              </w:rPr>
              <w:t>≈ 0.16 W/m²K</w:t>
            </w:r>
          </w:p>
        </w:tc>
        <w:tc>
          <w:tcPr>
            <w:tcW w:type="dxa" w:w="4815"/>
          </w:tcPr>
          <w:p>
            <w:pPr>
              <w:spacing w:after="20" w:before="20"/>
            </w:pPr>
            <w:r/>
            <w:r>
              <w:rPr>
                <w:sz w:val="18"/>
              </w:rPr>
              <w:t>Equation (9) with ε</w:t>
            </w:r>
            <w:r>
              <w:rPr>
                <w:sz w:val="18"/>
                <w:vertAlign w:val="subscript"/>
              </w:rPr>
              <w:t>eff</w:t>
            </w:r>
            <w:r>
              <w:rPr>
                <w:sz w:val="18"/>
              </w:rPr>
              <w:t xml:space="preserve"> = 0.026</w:t>
            </w:r>
          </w:p>
        </w:tc>
      </w:tr>
    </w:tbl>
    <w:p>
      <w:pPr>
        <w:spacing w:before="60" w:after="200"/>
        <w:jc w:val="left"/>
      </w:pPr>
      <w:r>
        <w:rPr>
          <w:i/>
          <w:sz w:val="18"/>
        </w:rPr>
        <w:t>Table 12. Conductance design values. Commissioning values override all of these.</w:t>
      </w:r>
    </w:p>
    <w:p>
      <w:pPr>
        <w:spacing w:after="120"/>
      </w:pPr>
      <w:r>
        <w:t xml:space="preserve">The ratio that makes the instrument work is </w:t>
      </w:r>
      <w:r>
        <w:rPr>
          <w:b/>
        </w:rPr>
        <w:t>UA</w:t>
      </w:r>
      <w:r>
        <w:rPr>
          <w:b/>
          <w:vertAlign w:val="subscript"/>
        </w:rPr>
        <w:t>rad</w:t>
      </w:r>
      <w:r>
        <w:rPr>
          <w:b/>
        </w:rPr>
        <w:t>/G</w:t>
      </w:r>
      <w:r>
        <w:rPr>
          <w:b/>
          <w:vertAlign w:val="subscript"/>
        </w:rPr>
        <w:t>gap</w:t>
      </w:r>
      <w:r>
        <w:rPr>
          <w:b/>
        </w:rPr>
        <w:t xml:space="preserve"> ≈ 54</w:t>
      </w:r>
      <w:r>
        <w:t>. The metered path is about fifty times stiffer than the leak path, so the thermal current divider already sends the overwhelming majority of the heat into the water before the guard does anything; the guard then removes what the divider would still have lost. It is also why θ</w:t>
      </w:r>
      <w:r>
        <w:rPr>
          <w:vertAlign w:val="subscript"/>
        </w:rPr>
        <w:t>i</w:t>
      </w:r>
      <w:r>
        <w:t xml:space="preserve"> is pinned close to θ</w:t>
      </w:r>
      <w:r>
        <w:rPr>
          <w:vertAlign w:val="subscript"/>
        </w:rPr>
        <w:t>w</w:t>
      </w:r>
      <w:r>
        <w:t>: a node tied to a rail through 30 W/K with only 0.56 W/K pulling elsewhere follows the rail.</w:t>
      </w:r>
    </w:p>
    <w:p>
      <w:pPr>
        <w:pStyle w:val="Heading2"/>
      </w:pPr>
      <w:r>
        <w:t>The capacitances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158"/>
            <w:shd w:val="clear" w:color="auto" w:fill="DEEAF6"/>
          </w:tcPr>
          <w:p>
            <w:pPr>
              <w:spacing w:after="20" w:before="20"/>
            </w:pPr>
            <w:r/>
            <w:r>
              <w:rPr>
                <w:b/>
                <w:sz w:val="18"/>
              </w:rPr>
              <w:t>Node</w:t>
            </w:r>
          </w:p>
        </w:tc>
        <w:tc>
          <w:tcPr>
            <w:tcW w:type="dxa" w:w="4167"/>
            <w:shd w:val="clear" w:color="auto" w:fill="DEEAF6"/>
          </w:tcPr>
          <w:p>
            <w:pPr>
              <w:spacing w:after="20" w:before="20"/>
            </w:pPr>
            <w:r/>
            <w:r>
              <w:rPr>
                <w:b/>
                <w:sz w:val="18"/>
              </w:rPr>
              <w:t>Contents</w:t>
            </w:r>
          </w:p>
        </w:tc>
        <w:tc>
          <w:tcPr>
            <w:tcW w:type="dxa" w:w="1621"/>
            <w:shd w:val="clear" w:color="auto" w:fill="DEEAF6"/>
          </w:tcPr>
          <w:p>
            <w:pPr>
              <w:spacing w:after="20" w:before="20"/>
            </w:pPr>
            <w:r/>
            <w:r>
              <w:rPr>
                <w:b/>
                <w:sz w:val="18"/>
              </w:rPr>
              <w:t>Design value</w:t>
            </w:r>
          </w:p>
        </w:tc>
        <w:tc>
          <w:tcPr>
            <w:tcW w:type="dxa" w:w="2084"/>
            <w:shd w:val="clear" w:color="auto" w:fill="DEEAF6"/>
          </w:tcPr>
          <w:p>
            <w:pPr>
              <w:spacing w:after="20" w:before="20"/>
            </w:pPr>
            <w:r/>
            <w:r>
              <w:rPr>
                <w:b/>
                <w:sz w:val="18"/>
              </w:rPr>
              <w:t>Expected range</w:t>
            </w:r>
          </w:p>
        </w:tc>
      </w:tr>
      <w:tr>
        <w:tc>
          <w:tcPr>
            <w:tcW w:type="dxa" w:w="1158"/>
          </w:tcPr>
          <w:p>
            <w:pPr>
              <w:spacing w:after="20" w:before="20"/>
            </w:pPr>
            <w:r/>
            <w:r>
              <w:rPr>
                <w:sz w:val="18"/>
              </w:rPr>
              <w:t>C</w:t>
            </w:r>
            <w:r>
              <w:rPr>
                <w:sz w:val="18"/>
                <w:vertAlign w:val="subscript"/>
              </w:rPr>
              <w:t>i</w:t>
            </w:r>
          </w:p>
        </w:tc>
        <w:tc>
          <w:tcPr>
            <w:tcW w:type="dxa" w:w="4167"/>
          </w:tcPr>
          <w:p>
            <w:pPr>
              <w:spacing w:after="20" w:before="20"/>
            </w:pPr>
            <w:r/>
            <w:r>
              <w:rPr>
                <w:sz w:val="18"/>
              </w:rPr>
              <w:t>Chamber air (rigid box ⇒ c</w:t>
            </w:r>
            <w:r>
              <w:rPr>
                <w:sz w:val="18"/>
                <w:vertAlign w:val="subscript"/>
              </w:rPr>
              <w:t>v</w:t>
            </w:r>
            <w:r>
              <w:rPr>
                <w:sz w:val="18"/>
              </w:rPr>
              <w:t>, not c</w:t>
            </w:r>
            <w:r>
              <w:rPr>
                <w:sz w:val="18"/>
                <w:vertAlign w:val="subscript"/>
              </w:rPr>
              <w:t>p</w:t>
            </w:r>
            <w:r>
              <w:rPr>
                <w:sz w:val="18"/>
              </w:rPr>
              <w:t>), participating foam skin, fixtures, looms</w:t>
            </w:r>
          </w:p>
        </w:tc>
        <w:tc>
          <w:tcPr>
            <w:tcW w:type="dxa" w:w="1621"/>
          </w:tcPr>
          <w:p>
            <w:pPr>
              <w:spacing w:after="20" w:before="20"/>
            </w:pPr>
            <w:r/>
            <w:r>
              <w:rPr>
                <w:sz w:val="18"/>
              </w:rPr>
              <w:t>650 J/K</w:t>
            </w:r>
          </w:p>
        </w:tc>
        <w:tc>
          <w:tcPr>
            <w:tcW w:type="dxa" w:w="2084"/>
          </w:tcPr>
          <w:p>
            <w:pPr>
              <w:spacing w:after="20" w:before="20"/>
            </w:pPr>
            <w:r/>
            <w:r>
              <w:rPr>
                <w:sz w:val="18"/>
              </w:rPr>
              <w:t>0.3–1.0 kJ/K</w:t>
            </w:r>
          </w:p>
        </w:tc>
      </w:tr>
      <w:tr>
        <w:tc>
          <w:tcPr>
            <w:tcW w:type="dxa" w:w="1158"/>
          </w:tcPr>
          <w:p>
            <w:pPr>
              <w:spacing w:after="20" w:before="20"/>
            </w:pPr>
            <w:r/>
            <w:r>
              <w:rPr>
                <w:sz w:val="18"/>
              </w:rPr>
              <w:t>C</w:t>
            </w:r>
            <w:r>
              <w:rPr>
                <w:sz w:val="18"/>
                <w:vertAlign w:val="subscript"/>
              </w:rPr>
              <w:t>w</w:t>
            </w:r>
          </w:p>
        </w:tc>
        <w:tc>
          <w:tcPr>
            <w:tcW w:type="dxa" w:w="4167"/>
          </w:tcPr>
          <w:p>
            <w:pPr>
              <w:spacing w:after="20" w:before="20"/>
            </w:pPr>
            <w:r/>
            <w:r>
              <w:rPr>
                <w:sz w:val="18"/>
              </w:rPr>
              <w:t>Resident loop water inside B1, radiator core, DUT mass (coupled through the baseplate)</w:t>
            </w:r>
          </w:p>
        </w:tc>
        <w:tc>
          <w:tcPr>
            <w:tcW w:type="dxa" w:w="1621"/>
          </w:tcPr>
          <w:p>
            <w:pPr>
              <w:spacing w:after="20" w:before="20"/>
            </w:pPr>
            <w:r/>
            <w:r>
              <w:rPr>
                <w:sz w:val="18"/>
              </w:rPr>
              <w:t>1 800 J/K</w:t>
            </w:r>
          </w:p>
        </w:tc>
        <w:tc>
          <w:tcPr>
            <w:tcW w:type="dxa" w:w="2084"/>
          </w:tcPr>
          <w:p>
            <w:pPr>
              <w:spacing w:after="20" w:before="20"/>
            </w:pPr>
            <w:r/>
            <w:r>
              <w:rPr>
                <w:sz w:val="18"/>
              </w:rPr>
              <w:t>1.0–2.7 kJ/K</w:t>
            </w:r>
          </w:p>
        </w:tc>
      </w:tr>
      <w:tr>
        <w:tc>
          <w:tcPr>
            <w:tcW w:type="dxa" w:w="1158"/>
          </w:tcPr>
          <w:p>
            <w:pPr>
              <w:spacing w:after="20" w:before="20"/>
            </w:pPr>
            <w:r/>
            <w:r>
              <w:rPr>
                <w:sz w:val="18"/>
              </w:rPr>
              <w:t>C</w:t>
            </w:r>
            <w:r>
              <w:rPr>
                <w:sz w:val="18"/>
                <w:vertAlign w:val="subscript"/>
              </w:rPr>
              <w:t>e</w:t>
            </w:r>
          </w:p>
        </w:tc>
        <w:tc>
          <w:tcPr>
            <w:tcW w:type="dxa" w:w="4167"/>
          </w:tcPr>
          <w:p>
            <w:pPr>
              <w:spacing w:after="20" w:before="20"/>
            </w:pPr>
            <w:r/>
            <w:r>
              <w:rPr>
                <w:sz w:val="18"/>
              </w:rPr>
              <w:t>Gap air, both facing foam skins, foil, guard heater</w:t>
            </w:r>
          </w:p>
        </w:tc>
        <w:tc>
          <w:tcPr>
            <w:tcW w:type="dxa" w:w="1621"/>
          </w:tcPr>
          <w:p>
            <w:pPr>
              <w:spacing w:after="20" w:before="20"/>
            </w:pPr>
            <w:r/>
            <w:r>
              <w:rPr>
                <w:sz w:val="18"/>
              </w:rPr>
              <w:t>300 J/K</w:t>
            </w:r>
          </w:p>
        </w:tc>
        <w:tc>
          <w:tcPr>
            <w:tcW w:type="dxa" w:w="2084"/>
          </w:tcPr>
          <w:p>
            <w:pPr>
              <w:spacing w:after="20" w:before="20"/>
            </w:pPr>
            <w:r/>
            <w:r>
              <w:rPr>
                <w:sz w:val="18"/>
              </w:rPr>
              <w:t>0.1–0.5 kJ/K</w:t>
            </w:r>
          </w:p>
        </w:tc>
      </w:tr>
      <w:tr>
        <w:tc>
          <w:tcPr>
            <w:tcW w:type="dxa" w:w="1158"/>
          </w:tcPr>
          <w:p>
            <w:pPr>
              <w:spacing w:after="20" w:before="20"/>
            </w:pPr>
            <w:r/>
            <w:r>
              <w:rPr>
                <w:sz w:val="18"/>
              </w:rPr>
              <w:t>C</w:t>
            </w:r>
            <w:r>
              <w:rPr>
                <w:sz w:val="18"/>
                <w:vertAlign w:val="subscript"/>
              </w:rPr>
              <w:t>i</w:t>
            </w:r>
            <w:r>
              <w:rPr>
                <w:sz w:val="18"/>
              </w:rPr>
              <w:t xml:space="preserve"> + C</w:t>
            </w:r>
            <w:r>
              <w:rPr>
                <w:sz w:val="18"/>
                <w:vertAlign w:val="subscript"/>
              </w:rPr>
              <w:t>w</w:t>
            </w:r>
          </w:p>
        </w:tc>
        <w:tc>
          <w:tcPr>
            <w:tcW w:type="dxa" w:w="4167"/>
          </w:tcPr>
          <w:p>
            <w:pPr>
              <w:spacing w:after="20" w:before="20"/>
            </w:pPr>
            <w:r/>
            <w:r>
              <w:rPr>
                <w:b/>
                <w:sz w:val="18"/>
              </w:rPr>
              <w:t>The mass the meter has to sweep out</w:t>
            </w:r>
          </w:p>
        </w:tc>
        <w:tc>
          <w:tcPr>
            <w:tcW w:type="dxa" w:w="1621"/>
          </w:tcPr>
          <w:p>
            <w:pPr>
              <w:spacing w:after="20" w:before="20"/>
            </w:pPr>
            <w:r/>
            <w:r>
              <w:rPr>
                <w:b/>
                <w:sz w:val="18"/>
              </w:rPr>
              <w:t>2 450 J/K</w:t>
            </w:r>
          </w:p>
        </w:tc>
        <w:tc>
          <w:tcPr>
            <w:tcW w:type="dxa" w:w="2084"/>
          </w:tcPr>
          <w:p>
            <w:pPr>
              <w:spacing w:after="20" w:before="20"/>
            </w:pPr>
            <w:r/>
            <w:r>
              <w:rPr>
                <w:sz w:val="18"/>
              </w:rPr>
              <w:t>Sets the settling schedule and the steady gate</w:t>
            </w:r>
          </w:p>
        </w:tc>
      </w:tr>
    </w:tbl>
    <w:p>
      <w:pPr>
        <w:spacing w:before="60" w:after="200"/>
        <w:jc w:val="left"/>
      </w:pPr>
      <w:r>
        <w:rPr>
          <w:i/>
          <w:sz w:val="18"/>
        </w:rPr>
        <w:t>Table 13. Capacitance budget. Only the wall's inner slice participates on the run timescale — the participating depth is δ ≈ 2·√(a·t), saturating at the full thickness once the run is long enough.</w:t>
      </w:r>
    </w:p>
    <w:p>
      <w:pPr>
        <w:spacing w:after="120"/>
      </w:pPr>
      <w:r>
        <w:t>The foam wall's own distributed capacitance is real but is not one of the three states. It appears as an additional slow mode on top of the model, somewhere between 5.6 and 22 minutes depending on whether the slab is charged from one face or both — a factor of four that is still open and is the reason the first measurement point of a session takes hours while later points take minutes.</w:t>
      </w:r>
    </w:p>
    <w:p>
      <w:pPr>
        <w:pStyle w:val="Heading2"/>
      </w:pPr>
      <w:r>
        <w:t>The error budget</w:t>
      </w:r>
    </w:p>
    <w:p>
      <w:pPr>
        <w:spacing w:after="120"/>
      </w:pPr>
      <w:r>
        <w:t>Relaxing both gates and keeping the deviations as first-order terms gives the error ledger. Each term is owned by a different part of the design:</w:t>
      </w:r>
    </w:p>
    <w:p>
      <w:pPr>
        <w:spacing w:before="160" w:after="160"/>
        <w:jc w:val="center"/>
      </w:pPr>
      <w:r>
        <w:rPr>
          <w:rFonts w:ascii="Cambria Math" w:hAnsi="Cambria Math"/>
          <w:sz w:val="24"/>
        </w:rPr>
        <w:t>δP = G</w:t>
      </w:r>
      <w:r>
        <w:rPr>
          <w:rFonts w:ascii="Cambria Math" w:hAnsi="Cambria Math"/>
          <w:sz w:val="24"/>
          <w:vertAlign w:val="subscript"/>
        </w:rPr>
        <w:t>gap</w:t>
      </w:r>
      <w:r>
        <w:rPr>
          <w:rFonts w:ascii="Cambria Math" w:hAnsi="Cambria Math"/>
          <w:sz w:val="24"/>
        </w:rPr>
        <w:t>·δT</w:t>
      </w:r>
      <w:r>
        <w:rPr>
          <w:rFonts w:ascii="Cambria Math" w:hAnsi="Cambria Math"/>
          <w:sz w:val="24"/>
          <w:vertAlign w:val="subscript"/>
        </w:rPr>
        <w:t>null</w:t>
      </w:r>
      <w:r>
        <w:rPr>
          <w:rFonts w:ascii="Cambria Math" w:hAnsi="Cambria Math"/>
          <w:sz w:val="24"/>
        </w:rPr>
        <w:t xml:space="preserve"> + C·|dT</w:t>
      </w:r>
      <w:r>
        <w:rPr>
          <w:rFonts w:ascii="Cambria Math" w:hAnsi="Cambria Math"/>
          <w:sz w:val="24"/>
          <w:vertAlign w:val="subscript"/>
        </w:rPr>
        <w:t>i</w:t>
      </w:r>
      <w:r>
        <w:rPr>
          <w:rFonts w:ascii="Cambria Math" w:hAnsi="Cambria Math"/>
          <w:sz w:val="24"/>
        </w:rPr>
        <w:t>/dt| + c</w:t>
      </w:r>
      <w:r>
        <w:rPr>
          <w:rFonts w:ascii="Cambria Math" w:hAnsi="Cambria Math"/>
          <w:sz w:val="24"/>
          <w:vertAlign w:val="subscript"/>
        </w:rPr>
        <w:t>p,w</w:t>
      </w:r>
      <w:r>
        <w:rPr>
          <w:rFonts w:ascii="Cambria Math" w:hAnsi="Cambria Math"/>
          <w:sz w:val="24"/>
        </w:rPr>
        <w:t>ΔT</w:t>
      </w:r>
      <w:r>
        <w:rPr>
          <w:rFonts w:ascii="Cambria Math" w:hAnsi="Cambria Math"/>
          <w:sz w:val="24"/>
          <w:vertAlign w:val="subscript"/>
        </w:rPr>
        <w:t>w</w:t>
      </w:r>
      <w:r>
        <w:rPr>
          <w:rFonts w:ascii="Cambria Math" w:hAnsi="Cambria Math"/>
          <w:sz w:val="24"/>
        </w:rPr>
        <w:t>·δṁ + ṁc</w:t>
      </w:r>
      <w:r>
        <w:rPr>
          <w:rFonts w:ascii="Cambria Math" w:hAnsi="Cambria Math"/>
          <w:sz w:val="24"/>
          <w:vertAlign w:val="subscript"/>
        </w:rPr>
        <w:t>p,w</w:t>
      </w:r>
      <w:r>
        <w:rPr>
          <w:rFonts w:ascii="Cambria Math" w:hAnsi="Cambria Math"/>
          <w:sz w:val="24"/>
        </w:rPr>
        <w:t>·δ(ΔT</w:t>
      </w:r>
      <w:r>
        <w:rPr>
          <w:rFonts w:ascii="Cambria Math" w:hAnsi="Cambria Math"/>
          <w:sz w:val="24"/>
          <w:vertAlign w:val="subscript"/>
        </w:rPr>
        <w:t>w</w:t>
      </w:r>
      <w:r>
        <w:rPr>
          <w:rFonts w:ascii="Cambria Math" w:hAnsi="Cambria Math"/>
          <w:sz w:val="24"/>
        </w:rPr>
        <w:t>) + δP</w:t>
      </w:r>
      <w:r>
        <w:rPr>
          <w:rFonts w:ascii="Cambria Math" w:hAnsi="Cambria Math"/>
          <w:sz w:val="24"/>
          <w:vertAlign w:val="subscript"/>
        </w:rPr>
        <w:t>aux</w:t>
      </w:r>
      <w:r>
        <w:rPr>
          <w:rFonts w:ascii="Cambria Math" w:hAnsi="Cambria Math"/>
          <w:sz w:val="24"/>
        </w:rPr>
        <w:t xml:space="preserve"> + δP</w:t>
      </w:r>
      <w:r>
        <w:rPr>
          <w:rFonts w:ascii="Cambria Math" w:hAnsi="Cambria Math"/>
          <w:sz w:val="24"/>
          <w:vertAlign w:val="subscript"/>
        </w:rPr>
        <w:t>par</w:t>
      </w:r>
      <w:r>
        <w:rPr>
          <w:sz w:val="20"/>
        </w:rPr>
        <w:tab/>
        <w:tab/>
        <w:t>(10)</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3752"/>
            <w:shd w:val="clear" w:color="auto" w:fill="DEEAF6"/>
          </w:tcPr>
          <w:p>
            <w:pPr>
              <w:spacing w:after="20" w:before="20"/>
            </w:pPr>
            <w:r/>
            <w:r>
              <w:rPr>
                <w:b/>
                <w:sz w:val="18"/>
              </w:rPr>
              <w:t>Term</w:t>
            </w:r>
          </w:p>
        </w:tc>
        <w:tc>
          <w:tcPr>
            <w:tcW w:type="dxa" w:w="1759"/>
            <w:shd w:val="clear" w:color="auto" w:fill="DEEAF6"/>
          </w:tcPr>
          <w:p>
            <w:pPr>
              <w:spacing w:after="20" w:before="20"/>
            </w:pPr>
            <w:r/>
            <w:r>
              <w:rPr>
                <w:b/>
                <w:sz w:val="18"/>
              </w:rPr>
              <w:t>At 15 W, ΔT</w:t>
            </w:r>
            <w:r>
              <w:rPr>
                <w:b/>
                <w:sz w:val="18"/>
                <w:vertAlign w:val="subscript"/>
              </w:rPr>
              <w:t>w</w:t>
            </w:r>
            <w:r>
              <w:rPr>
                <w:b/>
                <w:sz w:val="18"/>
              </w:rPr>
              <w:t xml:space="preserve"> = 5 K</w:t>
            </w:r>
          </w:p>
        </w:tc>
        <w:tc>
          <w:tcPr>
            <w:tcW w:type="dxa" w:w="1759"/>
            <w:shd w:val="clear" w:color="auto" w:fill="DEEAF6"/>
          </w:tcPr>
          <w:p>
            <w:pPr>
              <w:spacing w:after="20" w:before="20"/>
            </w:pPr>
            <w:r/>
            <w:r>
              <w:rPr>
                <w:b/>
                <w:sz w:val="18"/>
              </w:rPr>
              <w:t>At 150 W, ΔT</w:t>
            </w:r>
            <w:r>
              <w:rPr>
                <w:b/>
                <w:sz w:val="18"/>
                <w:vertAlign w:val="subscript"/>
              </w:rPr>
              <w:t>w</w:t>
            </w:r>
            <w:r>
              <w:rPr>
                <w:b/>
                <w:sz w:val="18"/>
              </w:rPr>
              <w:t xml:space="preserve"> = 10 K</w:t>
            </w:r>
          </w:p>
        </w:tc>
        <w:tc>
          <w:tcPr>
            <w:tcW w:type="dxa" w:w="1759"/>
            <w:shd w:val="clear" w:color="auto" w:fill="DEEAF6"/>
          </w:tcPr>
          <w:p>
            <w:pPr>
              <w:spacing w:after="20" w:before="20"/>
            </w:pPr>
            <w:r/>
            <w:r>
              <w:rPr>
                <w:b/>
                <w:sz w:val="18"/>
              </w:rPr>
              <w:t>Owner</w:t>
            </w:r>
          </w:p>
        </w:tc>
      </w:tr>
      <w:tr>
        <w:tc>
          <w:tcPr>
            <w:tcW w:type="dxa" w:w="3752"/>
          </w:tcPr>
          <w:p>
            <w:pPr>
              <w:spacing w:after="20" w:before="20"/>
            </w:pPr>
            <w:r/>
            <w:r>
              <w:rPr>
                <w:sz w:val="18"/>
              </w:rPr>
              <w:t>Flow calibration, 0.5 % gravimetric</w:t>
            </w:r>
          </w:p>
        </w:tc>
        <w:tc>
          <w:tcPr>
            <w:tcW w:type="dxa" w:w="1759"/>
          </w:tcPr>
          <w:p>
            <w:pPr>
              <w:spacing w:after="20" w:before="20"/>
            </w:pPr>
            <w:r/>
            <w:r>
              <w:rPr>
                <w:sz w:val="18"/>
              </w:rPr>
              <w:t>0.08 W</w:t>
            </w:r>
          </w:p>
        </w:tc>
        <w:tc>
          <w:tcPr>
            <w:tcW w:type="dxa" w:w="1759"/>
          </w:tcPr>
          <w:p>
            <w:pPr>
              <w:spacing w:after="20" w:before="20"/>
            </w:pPr>
            <w:r/>
            <w:r>
              <w:rPr>
                <w:sz w:val="18"/>
              </w:rPr>
              <w:t>0.75 W</w:t>
            </w:r>
          </w:p>
        </w:tc>
        <w:tc>
          <w:tcPr>
            <w:tcW w:type="dxa" w:w="1759"/>
          </w:tcPr>
          <w:p>
            <w:pPr>
              <w:spacing w:after="20" w:before="20"/>
            </w:pPr>
            <w:r/>
            <w:r>
              <w:rPr>
                <w:sz w:val="18"/>
              </w:rPr>
              <w:t>Calibration</w:t>
            </w:r>
          </w:p>
        </w:tc>
      </w:tr>
      <w:tr>
        <w:tc>
          <w:tcPr>
            <w:tcW w:type="dxa" w:w="3752"/>
          </w:tcPr>
          <w:p>
            <w:pPr>
              <w:spacing w:after="20" w:before="20"/>
            </w:pPr>
            <w:r/>
            <w:r>
              <w:rPr>
                <w:sz w:val="18"/>
              </w:rPr>
              <w:t>ΔT pair, 20 mK matched after co-calibration</w:t>
            </w:r>
          </w:p>
        </w:tc>
        <w:tc>
          <w:tcPr>
            <w:tcW w:type="dxa" w:w="1759"/>
          </w:tcPr>
          <w:p>
            <w:pPr>
              <w:spacing w:after="20" w:before="20"/>
            </w:pPr>
            <w:r/>
            <w:r>
              <w:rPr>
                <w:sz w:val="18"/>
              </w:rPr>
              <w:t>0.06 W</w:t>
            </w:r>
          </w:p>
        </w:tc>
        <w:tc>
          <w:tcPr>
            <w:tcW w:type="dxa" w:w="1759"/>
          </w:tcPr>
          <w:p>
            <w:pPr>
              <w:spacing w:after="20" w:before="20"/>
            </w:pPr>
            <w:r/>
            <w:r>
              <w:rPr>
                <w:sz w:val="18"/>
              </w:rPr>
              <w:t>0.30 W</w:t>
            </w:r>
          </w:p>
        </w:tc>
        <w:tc>
          <w:tcPr>
            <w:tcW w:type="dxa" w:w="1759"/>
          </w:tcPr>
          <w:p>
            <w:pPr>
              <w:spacing w:after="20" w:before="20"/>
            </w:pPr>
            <w:r/>
            <w:r>
              <w:rPr>
                <w:sz w:val="18"/>
              </w:rPr>
              <w:t>Sensing</w:t>
            </w:r>
          </w:p>
        </w:tc>
      </w:tr>
      <w:tr>
        <w:tc>
          <w:tcPr>
            <w:tcW w:type="dxa" w:w="3752"/>
          </w:tcPr>
          <w:p>
            <w:pPr>
              <w:spacing w:after="20" w:before="20"/>
            </w:pPr>
            <w:r/>
            <w:r>
              <w:rPr>
                <w:sz w:val="18"/>
              </w:rPr>
              <w:t>c</w:t>
            </w:r>
            <w:r>
              <w:rPr>
                <w:sz w:val="18"/>
                <w:vertAlign w:val="subscript"/>
              </w:rPr>
              <w:t>p,w</w:t>
            </w:r>
            <w:r>
              <w:rPr>
                <w:sz w:val="18"/>
              </w:rPr>
              <w:t xml:space="preserve"> property, 0.1 %</w:t>
            </w:r>
          </w:p>
        </w:tc>
        <w:tc>
          <w:tcPr>
            <w:tcW w:type="dxa" w:w="1759"/>
          </w:tcPr>
          <w:p>
            <w:pPr>
              <w:spacing w:after="20" w:before="20"/>
            </w:pPr>
            <w:r/>
            <w:r>
              <w:rPr>
                <w:sz w:val="18"/>
              </w:rPr>
              <w:t>0.02 W</w:t>
            </w:r>
          </w:p>
        </w:tc>
        <w:tc>
          <w:tcPr>
            <w:tcW w:type="dxa" w:w="1759"/>
          </w:tcPr>
          <w:p>
            <w:pPr>
              <w:spacing w:after="20" w:before="20"/>
            </w:pPr>
            <w:r/>
            <w:r>
              <w:rPr>
                <w:sz w:val="18"/>
              </w:rPr>
              <w:t>0.15 W</w:t>
            </w:r>
          </w:p>
        </w:tc>
        <w:tc>
          <w:tcPr>
            <w:tcW w:type="dxa" w:w="1759"/>
          </w:tcPr>
          <w:p>
            <w:pPr>
              <w:spacing w:after="20" w:before="20"/>
            </w:pPr>
            <w:r/>
            <w:r>
              <w:rPr>
                <w:sz w:val="18"/>
              </w:rPr>
              <w:t>Property data</w:t>
            </w:r>
          </w:p>
        </w:tc>
      </w:tr>
      <w:tr>
        <w:tc>
          <w:tcPr>
            <w:tcW w:type="dxa" w:w="3752"/>
          </w:tcPr>
          <w:p>
            <w:pPr>
              <w:spacing w:after="20" w:before="20"/>
            </w:pPr>
            <w:r/>
            <w:r>
              <w:rPr>
                <w:sz w:val="18"/>
              </w:rPr>
              <w:t>Auxiliary V·I metering, 0.5 %</w:t>
            </w:r>
          </w:p>
        </w:tc>
        <w:tc>
          <w:tcPr>
            <w:tcW w:type="dxa" w:w="1759"/>
          </w:tcPr>
          <w:p>
            <w:pPr>
              <w:spacing w:after="20" w:before="20"/>
            </w:pPr>
            <w:r/>
            <w:r>
              <w:rPr>
                <w:sz w:val="18"/>
              </w:rPr>
              <w:t>0.03 W</w:t>
            </w:r>
          </w:p>
        </w:tc>
        <w:tc>
          <w:tcPr>
            <w:tcW w:type="dxa" w:w="1759"/>
          </w:tcPr>
          <w:p>
            <w:pPr>
              <w:spacing w:after="20" w:before="20"/>
            </w:pPr>
            <w:r/>
            <w:r>
              <w:rPr>
                <w:sz w:val="18"/>
              </w:rPr>
              <w:t>0.05 W</w:t>
            </w:r>
          </w:p>
        </w:tc>
        <w:tc>
          <w:tcPr>
            <w:tcW w:type="dxa" w:w="1759"/>
          </w:tcPr>
          <w:p>
            <w:pPr>
              <w:spacing w:after="20" w:before="20"/>
            </w:pPr>
            <w:r/>
            <w:r>
              <w:rPr>
                <w:sz w:val="18"/>
              </w:rPr>
              <w:t>Metering</w:t>
            </w:r>
          </w:p>
        </w:tc>
      </w:tr>
      <w:tr>
        <w:tc>
          <w:tcPr>
            <w:tcW w:type="dxa" w:w="3752"/>
          </w:tcPr>
          <w:p>
            <w:pPr>
              <w:spacing w:after="20" w:before="20"/>
            </w:pPr>
            <w:r/>
            <w:r>
              <w:rPr>
                <w:sz w:val="18"/>
              </w:rPr>
              <w:t>Guard null residual, 0.3 K × G</w:t>
            </w:r>
            <w:r>
              <w:rPr>
                <w:sz w:val="18"/>
                <w:vertAlign w:val="subscript"/>
              </w:rPr>
              <w:t>gap</w:t>
            </w:r>
            <w:r>
              <w:rPr>
                <w:sz w:val="18"/>
              </w:rPr>
              <w:t xml:space="preserve"> (foil-lined)</w:t>
            </w:r>
          </w:p>
        </w:tc>
        <w:tc>
          <w:tcPr>
            <w:tcW w:type="dxa" w:w="1759"/>
          </w:tcPr>
          <w:p>
            <w:pPr>
              <w:spacing w:after="20" w:before="20"/>
            </w:pPr>
            <w:r/>
            <w:r>
              <w:rPr>
                <w:sz w:val="18"/>
              </w:rPr>
              <w:t>0.17 W</w:t>
            </w:r>
          </w:p>
        </w:tc>
        <w:tc>
          <w:tcPr>
            <w:tcW w:type="dxa" w:w="1759"/>
          </w:tcPr>
          <w:p>
            <w:pPr>
              <w:spacing w:after="20" w:before="20"/>
            </w:pPr>
            <w:r/>
            <w:r>
              <w:rPr>
                <w:sz w:val="18"/>
              </w:rPr>
              <w:t>0.17 W</w:t>
            </w:r>
          </w:p>
        </w:tc>
        <w:tc>
          <w:tcPr>
            <w:tcW w:type="dxa" w:w="1759"/>
          </w:tcPr>
          <w:p>
            <w:pPr>
              <w:spacing w:after="20" w:before="20"/>
            </w:pPr>
            <w:r/>
            <w:r>
              <w:rPr>
                <w:b/>
                <w:sz w:val="18"/>
              </w:rPr>
              <w:t>Control loop</w:t>
            </w:r>
          </w:p>
        </w:tc>
      </w:tr>
      <w:tr>
        <w:tc>
          <w:tcPr>
            <w:tcW w:type="dxa" w:w="3752"/>
          </w:tcPr>
          <w:p>
            <w:pPr>
              <w:spacing w:after="20" w:before="20"/>
            </w:pPr>
            <w:r/>
            <w:r>
              <w:rPr>
                <w:sz w:val="18"/>
              </w:rPr>
              <w:t>Storage, 0.2 W slice</w:t>
            </w:r>
          </w:p>
        </w:tc>
        <w:tc>
          <w:tcPr>
            <w:tcW w:type="dxa" w:w="1759"/>
          </w:tcPr>
          <w:p>
            <w:pPr>
              <w:spacing w:after="20" w:before="20"/>
            </w:pPr>
            <w:r/>
            <w:r>
              <w:rPr>
                <w:sz w:val="18"/>
              </w:rPr>
              <w:t>0.20 W</w:t>
            </w:r>
          </w:p>
        </w:tc>
        <w:tc>
          <w:tcPr>
            <w:tcW w:type="dxa" w:w="1759"/>
          </w:tcPr>
          <w:p>
            <w:pPr>
              <w:spacing w:after="20" w:before="20"/>
            </w:pPr>
            <w:r/>
            <w:r>
              <w:rPr>
                <w:sz w:val="18"/>
              </w:rPr>
              <w:t>0.20 W</w:t>
            </w:r>
          </w:p>
        </w:tc>
        <w:tc>
          <w:tcPr>
            <w:tcW w:type="dxa" w:w="1759"/>
          </w:tcPr>
          <w:p>
            <w:pPr>
              <w:spacing w:after="20" w:before="20"/>
            </w:pPr>
            <w:r/>
            <w:r>
              <w:rPr>
                <w:sz w:val="18"/>
              </w:rPr>
              <w:t>Steady-state detector</w:t>
            </w:r>
          </w:p>
        </w:tc>
      </w:tr>
      <w:tr>
        <w:tc>
          <w:tcPr>
            <w:tcW w:type="dxa" w:w="3752"/>
          </w:tcPr>
          <w:p>
            <w:pPr>
              <w:spacing w:after="20" w:before="20"/>
            </w:pPr>
            <w:r/>
            <w:r>
              <w:rPr>
                <w:sz w:val="18"/>
              </w:rPr>
              <w:t>Parasitics — anchored cabling, sealed seams</w:t>
            </w:r>
          </w:p>
        </w:tc>
        <w:tc>
          <w:tcPr>
            <w:tcW w:type="dxa" w:w="1759"/>
          </w:tcPr>
          <w:p>
            <w:pPr>
              <w:spacing w:after="20" w:before="20"/>
            </w:pPr>
            <w:r/>
            <w:r>
              <w:rPr>
                <w:sz w:val="18"/>
              </w:rPr>
              <w:t>0.05 W</w:t>
            </w:r>
          </w:p>
        </w:tc>
        <w:tc>
          <w:tcPr>
            <w:tcW w:type="dxa" w:w="1759"/>
          </w:tcPr>
          <w:p>
            <w:pPr>
              <w:spacing w:after="20" w:before="20"/>
            </w:pPr>
            <w:r/>
            <w:r>
              <w:rPr>
                <w:sz w:val="18"/>
              </w:rPr>
              <w:t>0.10 W</w:t>
            </w:r>
          </w:p>
        </w:tc>
        <w:tc>
          <w:tcPr>
            <w:tcW w:type="dxa" w:w="1759"/>
          </w:tcPr>
          <w:p>
            <w:pPr>
              <w:spacing w:after="20" w:before="20"/>
            </w:pPr>
            <w:r/>
            <w:r>
              <w:rPr>
                <w:sz w:val="18"/>
              </w:rPr>
              <w:t>Build quality</w:t>
            </w:r>
          </w:p>
        </w:tc>
      </w:tr>
      <w:tr>
        <w:tc>
          <w:tcPr>
            <w:tcW w:type="dxa" w:w="3752"/>
          </w:tcPr>
          <w:p>
            <w:pPr>
              <w:spacing w:after="20" w:before="20"/>
            </w:pPr>
            <w:r/>
            <w:r>
              <w:rPr>
                <w:b/>
                <w:sz w:val="18"/>
              </w:rPr>
              <w:t>RSS total against P</w:t>
            </w:r>
            <w:r>
              <w:rPr>
                <w:b/>
                <w:sz w:val="18"/>
                <w:vertAlign w:val="subscript"/>
              </w:rPr>
              <w:t>acc</w:t>
            </w:r>
            <w:r>
              <w:rPr>
                <w:b/>
                <w:sz w:val="18"/>
              </w:rPr>
              <w:t xml:space="preserve"> = ±1 W</w:t>
            </w:r>
          </w:p>
        </w:tc>
        <w:tc>
          <w:tcPr>
            <w:tcW w:type="dxa" w:w="1759"/>
          </w:tcPr>
          <w:p>
            <w:pPr>
              <w:spacing w:after="20" w:before="20"/>
            </w:pPr>
            <w:r/>
            <w:r>
              <w:rPr>
                <w:b/>
                <w:sz w:val="18"/>
              </w:rPr>
              <w:t>≈ 0.29 W ✓</w:t>
            </w:r>
          </w:p>
        </w:tc>
        <w:tc>
          <w:tcPr>
            <w:tcW w:type="dxa" w:w="1759"/>
          </w:tcPr>
          <w:p>
            <w:pPr>
              <w:spacing w:after="20" w:before="20"/>
            </w:pPr>
            <w:r/>
            <w:r>
              <w:rPr>
                <w:b/>
                <w:sz w:val="18"/>
              </w:rPr>
              <w:t>≈ 0.87 W ✓ (tight)</w:t>
            </w:r>
          </w:p>
        </w:tc>
        <w:tc>
          <w:tcPr>
            <w:tcW w:type="dxa" w:w="1759"/>
          </w:tcPr>
          <w:p>
            <w:pPr>
              <w:spacing w:after="20" w:before="20"/>
            </w:pPr>
            <w:r/>
          </w:p>
        </w:tc>
      </w:tr>
    </w:tbl>
    <w:p>
      <w:pPr>
        <w:spacing w:before="60" w:after="200"/>
        <w:jc w:val="left"/>
      </w:pPr>
      <w:r>
        <w:rPr>
          <w:i/>
          <w:sz w:val="18"/>
        </w:rPr>
        <w:t>Table 14. Error budget at the two worst corners. The corners fail for different reasons: the cold corner is a null-plus-storage problem, owned by the control loops; the hot corner is a flow-calibration problem, owned by gravimetric rigour. Matte gap skins would put the null row at 1–4 W and sink both.</w:t>
      </w:r>
    </w:p>
    <w:p>
      <w:pPr>
        <w:spacing w:after="120"/>
      </w:pPr>
      <w:r>
        <w:t xml:space="preserve">Two properties of this budget are worth stating plainly. First, the </w:t>
      </w:r>
      <w:r>
        <w:rPr>
          <w:b/>
        </w:rPr>
        <w:t>common-mode error of the ΔT pair cancels</w:t>
      </w:r>
      <w:r>
        <w:t xml:space="preserve"> — only the pair mismatch after co-calibration survives, so absolute RTD accuracy is far less important than matching. Second, </w:t>
      </w:r>
      <w:r>
        <w:rPr>
          <w:b/>
        </w:rPr>
        <w:t>no control loop can fix a flow-calibration scale error</w:t>
      </w:r>
      <w:r>
        <w:t>: if the firmware computes with a nominal ṁc</w:t>
      </w:r>
      <w:r>
        <w:rPr>
          <w:vertAlign w:val="subscript"/>
        </w:rPr>
        <w:t>p</w:t>
      </w:r>
      <w:r>
        <w:t xml:space="preserve"> while the loop drains at the true one, the reading is biased in proportion, and a 0.5 % flow error is 0.75 W at 150 W regardless of how well the guard is tuned.</w:t>
      </w:r>
    </w:p>
    <w:p>
      <w:pPr>
        <w:pStyle w:val="Heading1"/>
      </w:pPr>
      <w:r>
        <w:t>State-Space Model and Guard Control Design</w:t>
      </w:r>
    </w:p>
    <w:p>
      <w:pPr>
        <w:spacing w:after="120"/>
      </w:pPr>
      <w:r>
        <w:t>The node equations of §5.3 are assembled into one state-space object. This is not a change of physics; it is the form that makes three questions answerable by inspection rather than by simulation: is the meter unbiased, how fast are the modes, and what does each error source cost in watts.</w:t>
      </w:r>
    </w:p>
    <w:p>
      <w:pPr>
        <w:pStyle w:val="Heading2"/>
      </w:pPr>
      <w:r>
        <w:t>States, inputs and output</w:t>
      </w:r>
    </w:p>
    <w:p>
      <w:pPr>
        <w:spacing w:before="160" w:after="160"/>
        <w:jc w:val="center"/>
      </w:pPr>
      <w:r>
        <w:rPr>
          <w:rFonts w:ascii="Cambria Math" w:hAnsi="Cambria Math"/>
          <w:sz w:val="24"/>
        </w:rPr>
        <w:t>x = [ θ</w:t>
      </w:r>
      <w:r>
        <w:rPr>
          <w:rFonts w:ascii="Cambria Math" w:hAnsi="Cambria Math"/>
          <w:sz w:val="24"/>
          <w:vertAlign w:val="subscript"/>
        </w:rPr>
        <w:t>i</w:t>
      </w:r>
      <w:r>
        <w:rPr>
          <w:rFonts w:ascii="Cambria Math" w:hAnsi="Cambria Math"/>
          <w:sz w:val="24"/>
        </w:rPr>
        <w:t xml:space="preserve"> , θ</w:t>
      </w:r>
      <w:r>
        <w:rPr>
          <w:rFonts w:ascii="Cambria Math" w:hAnsi="Cambria Math"/>
          <w:sz w:val="24"/>
          <w:vertAlign w:val="subscript"/>
        </w:rPr>
        <w:t>w</w:t>
      </w:r>
      <w:r>
        <w:rPr>
          <w:rFonts w:ascii="Cambria Math" w:hAnsi="Cambria Math"/>
          <w:sz w:val="24"/>
        </w:rPr>
        <w:t xml:space="preserve"> , θ</w:t>
      </w:r>
      <w:r>
        <w:rPr>
          <w:rFonts w:ascii="Cambria Math" w:hAnsi="Cambria Math"/>
          <w:sz w:val="24"/>
          <w:vertAlign w:val="subscript"/>
        </w:rPr>
        <w:t>e</w:t>
      </w:r>
      <w:r>
        <w:rPr>
          <w:rFonts w:ascii="Cambria Math" w:hAnsi="Cambria Math"/>
          <w:sz w:val="24"/>
        </w:rPr>
        <w:t xml:space="preserve"> ]ᵀ ,   u = [ P</w:t>
      </w:r>
      <w:r>
        <w:rPr>
          <w:rFonts w:ascii="Cambria Math" w:hAnsi="Cambria Math"/>
          <w:sz w:val="24"/>
          <w:vertAlign w:val="subscript"/>
        </w:rPr>
        <w:t>aux</w:t>
      </w:r>
      <w:r>
        <w:rPr>
          <w:rFonts w:ascii="Cambria Math" w:hAnsi="Cambria Math"/>
          <w:sz w:val="24"/>
        </w:rPr>
        <w:t xml:space="preserve"> , P</w:t>
      </w:r>
      <w:r>
        <w:rPr>
          <w:rFonts w:ascii="Cambria Math" w:hAnsi="Cambria Math"/>
          <w:sz w:val="24"/>
          <w:vertAlign w:val="subscript"/>
        </w:rPr>
        <w:t>e</w:t>
      </w:r>
      <w:r>
        <w:rPr>
          <w:rFonts w:ascii="Cambria Math" w:hAnsi="Cambria Math"/>
          <w:sz w:val="24"/>
        </w:rPr>
        <w:t xml:space="preserve"> ]ᵀ ,   d = [ P</w:t>
      </w:r>
      <w:r>
        <w:rPr>
          <w:rFonts w:ascii="Cambria Math" w:hAnsi="Cambria Math"/>
          <w:sz w:val="24"/>
          <w:vertAlign w:val="subscript"/>
        </w:rPr>
        <w:t>DUT</w:t>
      </w:r>
      <w:r>
        <w:rPr>
          <w:rFonts w:ascii="Cambria Math" w:hAnsi="Cambria Math"/>
          <w:sz w:val="24"/>
        </w:rPr>
        <w:t xml:space="preserve"> , θ</w:t>
      </w:r>
      <w:r>
        <w:rPr>
          <w:rFonts w:ascii="Cambria Math" w:hAnsi="Cambria Math"/>
          <w:sz w:val="24"/>
          <w:vertAlign w:val="subscript"/>
        </w:rPr>
        <w:t>in</w:t>
      </w:r>
      <w:r>
        <w:rPr>
          <w:rFonts w:ascii="Cambria Math" w:hAnsi="Cambria Math"/>
          <w:sz w:val="24"/>
        </w:rPr>
        <w:t xml:space="preserve"> , Ṫ</w:t>
      </w:r>
      <w:r>
        <w:rPr>
          <w:rFonts w:ascii="Cambria Math" w:hAnsi="Cambria Math"/>
          <w:sz w:val="24"/>
          <w:vertAlign w:val="subscript"/>
        </w:rPr>
        <w:t>a</w:t>
      </w:r>
      <w:r>
        <w:rPr>
          <w:rFonts w:ascii="Cambria Math" w:hAnsi="Cambria Math"/>
          <w:sz w:val="24"/>
        </w:rPr>
        <w:t xml:space="preserve"> ]ᵀ ,   y = P</w:t>
      </w:r>
      <w:r>
        <w:rPr>
          <w:rFonts w:ascii="Cambria Math" w:hAnsi="Cambria Math"/>
          <w:sz w:val="24"/>
          <w:vertAlign w:val="subscript"/>
        </w:rPr>
        <w:t>meas</w:t>
      </w:r>
    </w:p>
    <w:p>
      <w:pPr>
        <w:spacing w:after="120"/>
      </w:pPr>
      <w:r>
        <w:t xml:space="preserve">The split between u and d is the control-theoretic one: u is what the firmware can command, d is what it must suffer. </w:t>
      </w:r>
      <w:r>
        <w:rPr>
          <w:b/>
        </w:rPr>
        <w:t>P</w:t>
      </w:r>
      <w:r>
        <w:rPr>
          <w:b/>
          <w:vertAlign w:val="subscript"/>
        </w:rPr>
        <w:t>DUT</w:t>
      </w:r>
      <w:r>
        <w:rPr>
          <w:b/>
        </w:rPr>
        <w:t xml:space="preserve"> is a disturbance</w:t>
      </w:r>
      <w:r>
        <w:t xml:space="preserve"> — in control terms, a measurand that cannot be set is a disturbance, however central it is to the purpose of the instrument.</w:t>
      </w:r>
    </w:p>
    <w:p>
      <w:pPr>
        <w:spacing w:before="160" w:after="160"/>
        <w:jc w:val="center"/>
      </w:pPr>
      <w:r>
        <w:rPr>
          <w:rFonts w:ascii="Cambria Math" w:hAnsi="Cambria Math"/>
          <w:sz w:val="24"/>
        </w:rPr>
        <w:t>ẋ = A·x + B</w:t>
      </w:r>
      <w:r>
        <w:rPr>
          <w:rFonts w:ascii="Cambria Math" w:hAnsi="Cambria Math"/>
          <w:sz w:val="24"/>
          <w:vertAlign w:val="subscript"/>
        </w:rPr>
        <w:t>u</w:t>
      </w:r>
      <w:r>
        <w:rPr>
          <w:rFonts w:ascii="Cambria Math" w:hAnsi="Cambria Math"/>
          <w:sz w:val="24"/>
        </w:rPr>
        <w:t>·u + B</w:t>
      </w:r>
      <w:r>
        <w:rPr>
          <w:rFonts w:ascii="Cambria Math" w:hAnsi="Cambria Math"/>
          <w:sz w:val="24"/>
          <w:vertAlign w:val="subscript"/>
        </w:rPr>
        <w:t>d</w:t>
      </w:r>
      <w:r>
        <w:rPr>
          <w:rFonts w:ascii="Cambria Math" w:hAnsi="Cambria Math"/>
          <w:sz w:val="24"/>
        </w:rPr>
        <w:t>·d ,    y = C·x + D</w:t>
      </w:r>
      <w:r>
        <w:rPr>
          <w:rFonts w:ascii="Cambria Math" w:hAnsi="Cambria Math"/>
          <w:sz w:val="24"/>
          <w:vertAlign w:val="subscript"/>
        </w:rPr>
        <w:t>u</w:t>
      </w:r>
      <w:r>
        <w:rPr>
          <w:rFonts w:ascii="Cambria Math" w:hAnsi="Cambria Math"/>
          <w:sz w:val="24"/>
        </w:rPr>
        <w:t>·u + D</w:t>
      </w:r>
      <w:r>
        <w:rPr>
          <w:rFonts w:ascii="Cambria Math" w:hAnsi="Cambria Math"/>
          <w:sz w:val="24"/>
          <w:vertAlign w:val="subscript"/>
        </w:rPr>
        <w:t>d</w:t>
      </w:r>
      <w:r>
        <w:rPr>
          <w:rFonts w:ascii="Cambria Math" w:hAnsi="Cambria Math"/>
          <w:sz w:val="24"/>
        </w:rPr>
        <w:t>·d</w:t>
      </w:r>
      <w:r>
        <w:rPr>
          <w:sz w:val="20"/>
        </w:rPr>
        <w:tab/>
        <w:tab/>
        <w:t>(11)</w:t>
      </w:r>
    </w:p>
    <w:p>
      <w:pPr>
        <w:pStyle w:val="Heading2"/>
      </w:pPr>
      <w:r>
        <w:t>The matrices</w:t>
      </w:r>
    </w:p>
    <w:p>
      <w:pPr>
        <w:spacing w:after="120"/>
      </w:pPr>
      <w:r>
        <w:t>Each row is one node's balance law divided by that node's own capacitance; each column is the state or input it is differentiated against. That is the whole derivation.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290"/>
            <w:shd w:val="clear" w:color="auto" w:fill="DEEAF6"/>
          </w:tcPr>
          <w:p>
            <w:pPr>
              <w:spacing w:after="20" w:before="20"/>
            </w:pPr>
            <w:r/>
            <w:r>
              <w:rPr>
                <w:b/>
                <w:sz w:val="18"/>
              </w:rPr>
              <w:t>A</w:t>
            </w:r>
          </w:p>
        </w:tc>
        <w:tc>
          <w:tcPr>
            <w:tcW w:type="dxa" w:w="2580"/>
            <w:shd w:val="clear" w:color="auto" w:fill="DEEAF6"/>
          </w:tcPr>
          <w:p>
            <w:pPr>
              <w:spacing w:after="20" w:before="20"/>
            </w:pPr>
            <w:r/>
            <w:r>
              <w:rPr>
                <w:b/>
                <w:sz w:val="18"/>
              </w:rPr>
              <w:t>θ</w:t>
            </w:r>
            <w:r>
              <w:rPr>
                <w:b/>
                <w:sz w:val="18"/>
                <w:vertAlign w:val="subscript"/>
              </w:rPr>
              <w:t>i</w:t>
            </w:r>
          </w:p>
        </w:tc>
        <w:tc>
          <w:tcPr>
            <w:tcW w:type="dxa" w:w="2580"/>
            <w:shd w:val="clear" w:color="auto" w:fill="DEEAF6"/>
          </w:tcPr>
          <w:p>
            <w:pPr>
              <w:spacing w:after="20" w:before="20"/>
            </w:pPr>
            <w:r/>
            <w:r>
              <w:rPr>
                <w:b/>
                <w:sz w:val="18"/>
              </w:rPr>
              <w:t>θ</w:t>
            </w:r>
            <w:r>
              <w:rPr>
                <w:b/>
                <w:sz w:val="18"/>
                <w:vertAlign w:val="subscript"/>
              </w:rPr>
              <w:t>w</w:t>
            </w:r>
          </w:p>
        </w:tc>
        <w:tc>
          <w:tcPr>
            <w:tcW w:type="dxa" w:w="2580"/>
            <w:shd w:val="clear" w:color="auto" w:fill="DEEAF6"/>
          </w:tcPr>
          <w:p>
            <w:pPr>
              <w:spacing w:after="20" w:before="20"/>
            </w:pPr>
            <w:r/>
            <w:r>
              <w:rPr>
                <w:b/>
                <w:sz w:val="18"/>
              </w:rPr>
              <w:t>θ</w:t>
            </w:r>
            <w:r>
              <w:rPr>
                <w:b/>
                <w:sz w:val="18"/>
                <w:vertAlign w:val="subscript"/>
              </w:rPr>
              <w:t>e</w:t>
            </w:r>
          </w:p>
        </w:tc>
      </w:tr>
      <w:tr>
        <w:tc>
          <w:tcPr>
            <w:tcW w:type="dxa" w:w="1290"/>
          </w:tcPr>
          <w:p>
            <w:pPr>
              <w:spacing w:after="20" w:before="20"/>
            </w:pPr>
            <w:r/>
            <w:r>
              <w:rPr>
                <w:b/>
                <w:sz w:val="18"/>
              </w:rPr>
              <w:t>air</w:t>
            </w:r>
          </w:p>
        </w:tc>
        <w:tc>
          <w:tcPr>
            <w:tcW w:type="dxa" w:w="2580"/>
          </w:tcPr>
          <w:p>
            <w:pPr>
              <w:spacing w:after="20" w:before="20"/>
            </w:pPr>
            <w:r/>
            <w:r>
              <w:rPr>
                <w:sz w:val="18"/>
              </w:rPr>
              <w:t>−(UA</w:t>
            </w:r>
            <w:r>
              <w:rPr>
                <w:sz w:val="18"/>
                <w:vertAlign w:val="subscript"/>
              </w:rPr>
              <w:t>rad</w:t>
            </w:r>
            <w:r>
              <w:rPr>
                <w:sz w:val="18"/>
              </w:rPr>
              <w:t xml:space="preserve"> + G</w:t>
            </w:r>
            <w:r>
              <w:rPr>
                <w:sz w:val="18"/>
                <w:vertAlign w:val="subscript"/>
              </w:rPr>
              <w:t>gap</w:t>
            </w:r>
            <w:r>
              <w:rPr>
                <w:sz w:val="18"/>
              </w:rPr>
              <w:t>)/C</w:t>
            </w:r>
            <w:r>
              <w:rPr>
                <w:sz w:val="18"/>
                <w:vertAlign w:val="subscript"/>
              </w:rPr>
              <w:t>i</w:t>
            </w:r>
          </w:p>
        </w:tc>
        <w:tc>
          <w:tcPr>
            <w:tcW w:type="dxa" w:w="2580"/>
          </w:tcPr>
          <w:p>
            <w:pPr>
              <w:spacing w:after="20" w:before="20"/>
            </w:pPr>
            <w:r/>
            <w:r>
              <w:rPr>
                <w:sz w:val="18"/>
              </w:rPr>
              <w:t>UA</w:t>
            </w:r>
            <w:r>
              <w:rPr>
                <w:sz w:val="18"/>
                <w:vertAlign w:val="subscript"/>
              </w:rPr>
              <w:t>rad</w:t>
            </w:r>
            <w:r>
              <w:rPr>
                <w:sz w:val="18"/>
              </w:rPr>
              <w:t>/C</w:t>
            </w:r>
            <w:r>
              <w:rPr>
                <w:sz w:val="18"/>
                <w:vertAlign w:val="subscript"/>
              </w:rPr>
              <w:t>i</w:t>
            </w:r>
          </w:p>
        </w:tc>
        <w:tc>
          <w:tcPr>
            <w:tcW w:type="dxa" w:w="2580"/>
          </w:tcPr>
          <w:p>
            <w:pPr>
              <w:spacing w:after="20" w:before="20"/>
            </w:pPr>
            <w:r/>
            <w:r>
              <w:rPr>
                <w:sz w:val="18"/>
              </w:rPr>
              <w:t>G</w:t>
            </w:r>
            <w:r>
              <w:rPr>
                <w:sz w:val="18"/>
                <w:vertAlign w:val="subscript"/>
              </w:rPr>
              <w:t>gap</w:t>
            </w:r>
            <w:r>
              <w:rPr>
                <w:sz w:val="18"/>
              </w:rPr>
              <w:t>/C</w:t>
            </w:r>
            <w:r>
              <w:rPr>
                <w:sz w:val="18"/>
                <w:vertAlign w:val="subscript"/>
              </w:rPr>
              <w:t>i</w:t>
            </w:r>
          </w:p>
        </w:tc>
      </w:tr>
      <w:tr>
        <w:tc>
          <w:tcPr>
            <w:tcW w:type="dxa" w:w="1290"/>
          </w:tcPr>
          <w:p>
            <w:pPr>
              <w:spacing w:after="20" w:before="20"/>
            </w:pPr>
            <w:r/>
            <w:r>
              <w:rPr>
                <w:b/>
                <w:sz w:val="18"/>
              </w:rPr>
              <w:t>water</w:t>
            </w:r>
          </w:p>
        </w:tc>
        <w:tc>
          <w:tcPr>
            <w:tcW w:type="dxa" w:w="2580"/>
          </w:tcPr>
          <w:p>
            <w:pPr>
              <w:spacing w:after="20" w:before="20"/>
            </w:pPr>
            <w:r/>
            <w:r>
              <w:rPr>
                <w:sz w:val="18"/>
              </w:rPr>
              <w:t>UA</w:t>
            </w:r>
            <w:r>
              <w:rPr>
                <w:sz w:val="18"/>
                <w:vertAlign w:val="subscript"/>
              </w:rPr>
              <w:t>rad</w:t>
            </w:r>
            <w:r>
              <w:rPr>
                <w:sz w:val="18"/>
              </w:rPr>
              <w:t>/C</w:t>
            </w:r>
            <w:r>
              <w:rPr>
                <w:sz w:val="18"/>
                <w:vertAlign w:val="subscript"/>
              </w:rPr>
              <w:t>w</w:t>
            </w:r>
          </w:p>
        </w:tc>
        <w:tc>
          <w:tcPr>
            <w:tcW w:type="dxa" w:w="2580"/>
          </w:tcPr>
          <w:p>
            <w:pPr>
              <w:spacing w:after="20" w:before="20"/>
            </w:pPr>
            <w:r/>
            <w:r>
              <w:rPr>
                <w:sz w:val="18"/>
              </w:rPr>
              <w:t>−(UA</w:t>
            </w:r>
            <w:r>
              <w:rPr>
                <w:sz w:val="18"/>
                <w:vertAlign w:val="subscript"/>
              </w:rPr>
              <w:t>rad</w:t>
            </w:r>
            <w:r>
              <w:rPr>
                <w:sz w:val="18"/>
              </w:rPr>
              <w:t xml:space="preserve"> + ṁc</w:t>
            </w:r>
            <w:r>
              <w:rPr>
                <w:sz w:val="18"/>
                <w:vertAlign w:val="subscript"/>
              </w:rPr>
              <w:t>p</w:t>
            </w:r>
            <w:r>
              <w:rPr>
                <w:sz w:val="18"/>
              </w:rPr>
              <w:t>)/C</w:t>
            </w:r>
            <w:r>
              <w:rPr>
                <w:sz w:val="18"/>
                <w:vertAlign w:val="subscript"/>
              </w:rPr>
              <w:t>w</w:t>
            </w:r>
          </w:p>
        </w:tc>
        <w:tc>
          <w:tcPr>
            <w:tcW w:type="dxa" w:w="2580"/>
          </w:tcPr>
          <w:p>
            <w:pPr>
              <w:spacing w:after="20" w:before="20"/>
            </w:pPr>
            <w:r/>
            <w:r>
              <w:rPr>
                <w:sz w:val="18"/>
              </w:rPr>
              <w:t>0</w:t>
            </w:r>
          </w:p>
        </w:tc>
      </w:tr>
      <w:tr>
        <w:tc>
          <w:tcPr>
            <w:tcW w:type="dxa" w:w="1290"/>
          </w:tcPr>
          <w:p>
            <w:pPr>
              <w:spacing w:after="20" w:before="20"/>
            </w:pPr>
            <w:r/>
            <w:r>
              <w:rPr>
                <w:b/>
                <w:sz w:val="18"/>
              </w:rPr>
              <w:t>guard</w:t>
            </w:r>
          </w:p>
        </w:tc>
        <w:tc>
          <w:tcPr>
            <w:tcW w:type="dxa" w:w="2580"/>
          </w:tcPr>
          <w:p>
            <w:pPr>
              <w:spacing w:after="20" w:before="20"/>
            </w:pPr>
            <w:r/>
            <w:r>
              <w:rPr>
                <w:sz w:val="18"/>
              </w:rPr>
              <w:t>G</w:t>
            </w:r>
            <w:r>
              <w:rPr>
                <w:sz w:val="18"/>
                <w:vertAlign w:val="subscript"/>
              </w:rPr>
              <w:t>gap</w:t>
            </w:r>
            <w:r>
              <w:rPr>
                <w:sz w:val="18"/>
              </w:rPr>
              <w:t>/C</w:t>
            </w:r>
            <w:r>
              <w:rPr>
                <w:sz w:val="18"/>
                <w:vertAlign w:val="subscript"/>
              </w:rPr>
              <w:t>e</w:t>
            </w:r>
          </w:p>
        </w:tc>
        <w:tc>
          <w:tcPr>
            <w:tcW w:type="dxa" w:w="2580"/>
          </w:tcPr>
          <w:p>
            <w:pPr>
              <w:spacing w:after="20" w:before="20"/>
            </w:pPr>
            <w:r/>
            <w:r>
              <w:rPr>
                <w:sz w:val="18"/>
              </w:rPr>
              <w:t>0</w:t>
            </w:r>
          </w:p>
        </w:tc>
        <w:tc>
          <w:tcPr>
            <w:tcW w:type="dxa" w:w="2580"/>
          </w:tcPr>
          <w:p>
            <w:pPr>
              <w:spacing w:after="20" w:before="20"/>
            </w:pPr>
            <w:r/>
            <w:r>
              <w:rPr>
                <w:sz w:val="18"/>
              </w:rPr>
              <w:t>−(G</w:t>
            </w:r>
            <w:r>
              <w:rPr>
                <w:sz w:val="18"/>
                <w:vertAlign w:val="subscript"/>
              </w:rPr>
              <w:t>gap</w:t>
            </w:r>
            <w:r>
              <w:rPr>
                <w:sz w:val="18"/>
              </w:rPr>
              <w:t xml:space="preserve"> + G</w:t>
            </w:r>
            <w:r>
              <w:rPr>
                <w:sz w:val="18"/>
                <w:vertAlign w:val="subscript"/>
              </w:rPr>
              <w:t>out</w:t>
            </w:r>
            <w:r>
              <w:rPr>
                <w:sz w:val="18"/>
              </w:rPr>
              <w:t>)/C</w:t>
            </w:r>
            <w:r>
              <w:rPr>
                <w:sz w:val="18"/>
                <w:vertAlign w:val="subscript"/>
              </w:rPr>
              <w:t>e</w:t>
            </w:r>
          </w:p>
        </w:tc>
      </w:tr>
    </w:tbl>
    <w:p>
      <w:pPr>
        <w:spacing w:before="60" w:after="200"/>
        <w:jc w:val="left"/>
      </w:pPr>
      <w:r>
        <w:rPr>
          <w:i/>
          <w:sz w:val="18"/>
        </w:rPr>
        <w:t>Table 15. The system matrix A. Every entry has units of s⁻¹.</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val="true"/>
        </w:trPr>
        <w:tc>
          <w:tcPr>
            <w:tcW w:type="dxa" w:w="1328"/>
            <w:shd w:val="clear" w:color="auto" w:fill="DEEAF6"/>
          </w:tcPr>
          <w:p>
            <w:pPr>
              <w:spacing w:after="20" w:before="20"/>
            </w:pPr>
            <w:r/>
          </w:p>
        </w:tc>
        <w:tc>
          <w:tcPr>
            <w:tcW w:type="dxa" w:w="1593"/>
            <w:shd w:val="clear" w:color="auto" w:fill="DEEAF6"/>
          </w:tcPr>
          <w:p>
            <w:pPr>
              <w:spacing w:after="20" w:before="20"/>
            </w:pPr>
            <w:r/>
            <w:r>
              <w:rPr>
                <w:b/>
                <w:sz w:val="18"/>
              </w:rPr>
              <w:t>B</w:t>
            </w:r>
            <w:r>
              <w:rPr>
                <w:b/>
                <w:sz w:val="18"/>
                <w:vertAlign w:val="subscript"/>
              </w:rPr>
              <w:t>u</w:t>
            </w:r>
            <w:r>
              <w:rPr>
                <w:b/>
                <w:sz w:val="18"/>
              </w:rPr>
              <w:t xml:space="preserve"> : P</w:t>
            </w:r>
            <w:r>
              <w:rPr>
                <w:b/>
                <w:sz w:val="18"/>
                <w:vertAlign w:val="subscript"/>
              </w:rPr>
              <w:t>aux</w:t>
            </w:r>
          </w:p>
        </w:tc>
        <w:tc>
          <w:tcPr>
            <w:tcW w:type="dxa" w:w="1328"/>
            <w:shd w:val="clear" w:color="auto" w:fill="DEEAF6"/>
          </w:tcPr>
          <w:p>
            <w:pPr>
              <w:spacing w:after="20" w:before="20"/>
            </w:pPr>
            <w:r/>
            <w:r>
              <w:rPr>
                <w:b/>
                <w:sz w:val="18"/>
              </w:rPr>
              <w:t>B</w:t>
            </w:r>
            <w:r>
              <w:rPr>
                <w:b/>
                <w:sz w:val="18"/>
                <w:vertAlign w:val="subscript"/>
              </w:rPr>
              <w:t>u</w:t>
            </w:r>
            <w:r>
              <w:rPr>
                <w:b/>
                <w:sz w:val="18"/>
              </w:rPr>
              <w:t xml:space="preserve"> : P</w:t>
            </w:r>
            <w:r>
              <w:rPr>
                <w:b/>
                <w:sz w:val="18"/>
                <w:vertAlign w:val="subscript"/>
              </w:rPr>
              <w:t>e</w:t>
            </w:r>
          </w:p>
        </w:tc>
        <w:tc>
          <w:tcPr>
            <w:tcW w:type="dxa" w:w="1726"/>
            <w:shd w:val="clear" w:color="auto" w:fill="DEEAF6"/>
          </w:tcPr>
          <w:p>
            <w:pPr>
              <w:spacing w:after="20" w:before="20"/>
            </w:pPr>
            <w:r/>
            <w:r>
              <w:rPr>
                <w:b/>
                <w:sz w:val="18"/>
              </w:rPr>
              <w:t>B</w:t>
            </w:r>
            <w:r>
              <w:rPr>
                <w:b/>
                <w:sz w:val="18"/>
                <w:vertAlign w:val="subscript"/>
              </w:rPr>
              <w:t>d</w:t>
            </w:r>
            <w:r>
              <w:rPr>
                <w:b/>
                <w:sz w:val="18"/>
              </w:rPr>
              <w:t xml:space="preserve"> : P</w:t>
            </w:r>
            <w:r>
              <w:rPr>
                <w:b/>
                <w:sz w:val="18"/>
                <w:vertAlign w:val="subscript"/>
              </w:rPr>
              <w:t>DUT</w:t>
            </w:r>
          </w:p>
        </w:tc>
        <w:tc>
          <w:tcPr>
            <w:tcW w:type="dxa" w:w="1726"/>
            <w:shd w:val="clear" w:color="auto" w:fill="DEEAF6"/>
          </w:tcPr>
          <w:p>
            <w:pPr>
              <w:spacing w:after="20" w:before="20"/>
            </w:pPr>
            <w:r/>
            <w:r>
              <w:rPr>
                <w:b/>
                <w:sz w:val="18"/>
              </w:rPr>
              <w:t>B</w:t>
            </w:r>
            <w:r>
              <w:rPr>
                <w:b/>
                <w:sz w:val="18"/>
                <w:vertAlign w:val="subscript"/>
              </w:rPr>
              <w:t>d</w:t>
            </w:r>
            <w:r>
              <w:rPr>
                <w:b/>
                <w:sz w:val="18"/>
              </w:rPr>
              <w:t xml:space="preserve"> : θ</w:t>
            </w:r>
            <w:r>
              <w:rPr>
                <w:b/>
                <w:sz w:val="18"/>
                <w:vertAlign w:val="subscript"/>
              </w:rPr>
              <w:t>in</w:t>
            </w:r>
          </w:p>
        </w:tc>
        <w:tc>
          <w:tcPr>
            <w:tcW w:type="dxa" w:w="1328"/>
            <w:shd w:val="clear" w:color="auto" w:fill="DEEAF6"/>
          </w:tcPr>
          <w:p>
            <w:pPr>
              <w:spacing w:after="20" w:before="20"/>
            </w:pPr>
            <w:r/>
            <w:r>
              <w:rPr>
                <w:b/>
                <w:sz w:val="18"/>
              </w:rPr>
              <w:t>B</w:t>
            </w:r>
            <w:r>
              <w:rPr>
                <w:b/>
                <w:sz w:val="18"/>
                <w:vertAlign w:val="subscript"/>
              </w:rPr>
              <w:t>d</w:t>
            </w:r>
            <w:r>
              <w:rPr>
                <w:b/>
                <w:sz w:val="18"/>
              </w:rPr>
              <w:t xml:space="preserve"> : Ṫ</w:t>
            </w:r>
            <w:r>
              <w:rPr>
                <w:b/>
                <w:sz w:val="18"/>
                <w:vertAlign w:val="subscript"/>
              </w:rPr>
              <w:t>a</w:t>
            </w:r>
          </w:p>
        </w:tc>
      </w:tr>
      <w:tr>
        <w:tc>
          <w:tcPr>
            <w:tcW w:type="dxa" w:w="1328"/>
          </w:tcPr>
          <w:p>
            <w:pPr>
              <w:spacing w:after="20" w:before="20"/>
            </w:pPr>
            <w:r/>
            <w:r>
              <w:rPr>
                <w:b/>
                <w:sz w:val="18"/>
              </w:rPr>
              <w:t>air</w:t>
            </w:r>
          </w:p>
        </w:tc>
        <w:tc>
          <w:tcPr>
            <w:tcW w:type="dxa" w:w="1593"/>
          </w:tcPr>
          <w:p>
            <w:pPr>
              <w:spacing w:after="20" w:before="20"/>
            </w:pPr>
            <w:r/>
            <w:r>
              <w:rPr>
                <w:sz w:val="18"/>
              </w:rPr>
              <w:t>1/C</w:t>
            </w:r>
            <w:r>
              <w:rPr>
                <w:sz w:val="18"/>
                <w:vertAlign w:val="subscript"/>
              </w:rPr>
              <w:t>i</w:t>
            </w:r>
          </w:p>
        </w:tc>
        <w:tc>
          <w:tcPr>
            <w:tcW w:type="dxa" w:w="1328"/>
          </w:tcPr>
          <w:p>
            <w:pPr>
              <w:spacing w:after="20" w:before="20"/>
            </w:pPr>
            <w:r/>
            <w:r>
              <w:rPr>
                <w:sz w:val="18"/>
              </w:rPr>
              <w:t>0</w:t>
            </w:r>
          </w:p>
        </w:tc>
        <w:tc>
          <w:tcPr>
            <w:tcW w:type="dxa" w:w="1726"/>
          </w:tcPr>
          <w:p>
            <w:pPr>
              <w:spacing w:after="20" w:before="20"/>
            </w:pPr>
            <w:r/>
            <w:r>
              <w:rPr>
                <w:sz w:val="18"/>
              </w:rPr>
              <w:t>(1−α)/C</w:t>
            </w:r>
            <w:r>
              <w:rPr>
                <w:sz w:val="18"/>
                <w:vertAlign w:val="subscript"/>
              </w:rPr>
              <w:t>i</w:t>
            </w:r>
          </w:p>
        </w:tc>
        <w:tc>
          <w:tcPr>
            <w:tcW w:type="dxa" w:w="1726"/>
          </w:tcPr>
          <w:p>
            <w:pPr>
              <w:spacing w:after="20" w:before="20"/>
            </w:pPr>
            <w:r/>
            <w:r>
              <w:rPr>
                <w:sz w:val="18"/>
              </w:rPr>
              <w:t>0</w:t>
            </w:r>
          </w:p>
        </w:tc>
        <w:tc>
          <w:tcPr>
            <w:tcW w:type="dxa" w:w="1328"/>
          </w:tcPr>
          <w:p>
            <w:pPr>
              <w:spacing w:after="20" w:before="20"/>
            </w:pPr>
            <w:r/>
            <w:r>
              <w:rPr>
                <w:sz w:val="18"/>
              </w:rPr>
              <w:t>−1</w:t>
            </w:r>
          </w:p>
        </w:tc>
      </w:tr>
      <w:tr>
        <w:tc>
          <w:tcPr>
            <w:tcW w:type="dxa" w:w="1328"/>
          </w:tcPr>
          <w:p>
            <w:pPr>
              <w:spacing w:after="20" w:before="20"/>
            </w:pPr>
            <w:r/>
            <w:r>
              <w:rPr>
                <w:b/>
                <w:sz w:val="18"/>
              </w:rPr>
              <w:t>water</w:t>
            </w:r>
          </w:p>
        </w:tc>
        <w:tc>
          <w:tcPr>
            <w:tcW w:type="dxa" w:w="1593"/>
          </w:tcPr>
          <w:p>
            <w:pPr>
              <w:spacing w:after="20" w:before="20"/>
            </w:pPr>
            <w:r/>
            <w:r>
              <w:rPr>
                <w:sz w:val="18"/>
              </w:rPr>
              <w:t>0</w:t>
            </w:r>
          </w:p>
        </w:tc>
        <w:tc>
          <w:tcPr>
            <w:tcW w:type="dxa" w:w="1328"/>
          </w:tcPr>
          <w:p>
            <w:pPr>
              <w:spacing w:after="20" w:before="20"/>
            </w:pPr>
            <w:r/>
            <w:r>
              <w:rPr>
                <w:sz w:val="18"/>
              </w:rPr>
              <w:t>0</w:t>
            </w:r>
          </w:p>
        </w:tc>
        <w:tc>
          <w:tcPr>
            <w:tcW w:type="dxa" w:w="1726"/>
          </w:tcPr>
          <w:p>
            <w:pPr>
              <w:spacing w:after="20" w:before="20"/>
            </w:pPr>
            <w:r/>
            <w:r>
              <w:rPr>
                <w:sz w:val="18"/>
              </w:rPr>
              <w:t>α/C</w:t>
            </w:r>
            <w:r>
              <w:rPr>
                <w:sz w:val="18"/>
                <w:vertAlign w:val="subscript"/>
              </w:rPr>
              <w:t>w</w:t>
            </w:r>
          </w:p>
        </w:tc>
        <w:tc>
          <w:tcPr>
            <w:tcW w:type="dxa" w:w="1726"/>
          </w:tcPr>
          <w:p>
            <w:pPr>
              <w:spacing w:after="20" w:before="20"/>
            </w:pPr>
            <w:r/>
            <w:r>
              <w:rPr>
                <w:sz w:val="18"/>
              </w:rPr>
              <w:t>ṁc</w:t>
            </w:r>
            <w:r>
              <w:rPr>
                <w:sz w:val="18"/>
                <w:vertAlign w:val="subscript"/>
              </w:rPr>
              <w:t>p</w:t>
            </w:r>
            <w:r>
              <w:rPr>
                <w:sz w:val="18"/>
              </w:rPr>
              <w:t>/C</w:t>
            </w:r>
            <w:r>
              <w:rPr>
                <w:sz w:val="18"/>
                <w:vertAlign w:val="subscript"/>
              </w:rPr>
              <w:t>w</w:t>
            </w:r>
          </w:p>
        </w:tc>
        <w:tc>
          <w:tcPr>
            <w:tcW w:type="dxa" w:w="1328"/>
          </w:tcPr>
          <w:p>
            <w:pPr>
              <w:spacing w:after="20" w:before="20"/>
            </w:pPr>
            <w:r/>
            <w:r>
              <w:rPr>
                <w:sz w:val="18"/>
              </w:rPr>
              <w:t>−1</w:t>
            </w:r>
          </w:p>
        </w:tc>
      </w:tr>
      <w:tr>
        <w:tc>
          <w:tcPr>
            <w:tcW w:type="dxa" w:w="1328"/>
          </w:tcPr>
          <w:p>
            <w:pPr>
              <w:spacing w:after="20" w:before="20"/>
            </w:pPr>
            <w:r/>
            <w:r>
              <w:rPr>
                <w:b/>
                <w:sz w:val="18"/>
              </w:rPr>
              <w:t>guard</w:t>
            </w:r>
          </w:p>
        </w:tc>
        <w:tc>
          <w:tcPr>
            <w:tcW w:type="dxa" w:w="1593"/>
          </w:tcPr>
          <w:p>
            <w:pPr>
              <w:spacing w:after="20" w:before="20"/>
            </w:pPr>
            <w:r/>
            <w:r>
              <w:rPr>
                <w:sz w:val="18"/>
              </w:rPr>
              <w:t>0</w:t>
            </w:r>
          </w:p>
        </w:tc>
        <w:tc>
          <w:tcPr>
            <w:tcW w:type="dxa" w:w="1328"/>
          </w:tcPr>
          <w:p>
            <w:pPr>
              <w:spacing w:after="20" w:before="20"/>
            </w:pPr>
            <w:r/>
            <w:r>
              <w:rPr>
                <w:sz w:val="18"/>
              </w:rPr>
              <w:t>1/C</w:t>
            </w:r>
            <w:r>
              <w:rPr>
                <w:sz w:val="18"/>
                <w:vertAlign w:val="subscript"/>
              </w:rPr>
              <w:t>e</w:t>
            </w:r>
          </w:p>
        </w:tc>
        <w:tc>
          <w:tcPr>
            <w:tcW w:type="dxa" w:w="1726"/>
          </w:tcPr>
          <w:p>
            <w:pPr>
              <w:spacing w:after="20" w:before="20"/>
            </w:pPr>
            <w:r/>
            <w:r>
              <w:rPr>
                <w:sz w:val="18"/>
              </w:rPr>
              <w:t>0</w:t>
            </w:r>
          </w:p>
        </w:tc>
        <w:tc>
          <w:tcPr>
            <w:tcW w:type="dxa" w:w="1726"/>
          </w:tcPr>
          <w:p>
            <w:pPr>
              <w:spacing w:after="20" w:before="20"/>
            </w:pPr>
            <w:r/>
            <w:r>
              <w:rPr>
                <w:sz w:val="18"/>
              </w:rPr>
              <w:t>0</w:t>
            </w:r>
          </w:p>
        </w:tc>
        <w:tc>
          <w:tcPr>
            <w:tcW w:type="dxa" w:w="1328"/>
          </w:tcPr>
          <w:p>
            <w:pPr>
              <w:spacing w:after="20" w:before="20"/>
            </w:pPr>
            <w:r/>
            <w:r>
              <w:rPr>
                <w:sz w:val="18"/>
              </w:rPr>
              <w:t>−1</w:t>
            </w:r>
          </w:p>
        </w:tc>
      </w:tr>
    </w:tbl>
    <w:p>
      <w:pPr>
        <w:spacing w:before="60" w:after="200"/>
        <w:jc w:val="left"/>
      </w:pPr>
      <w:r>
        <w:rPr>
          <w:i/>
          <w:sz w:val="18"/>
        </w:rPr>
        <w:t>Table 16. The input matrices. The Ṫ</w:t>
      </w:r>
      <w:r>
        <w:rPr>
          <w:i/>
          <w:sz w:val="18"/>
          <w:vertAlign w:val="subscript"/>
        </w:rPr>
        <w:t>a</w:t>
      </w:r>
      <w:r>
        <w:rPr>
          <w:i/>
          <w:sz w:val="18"/>
        </w:rPr>
        <w:t xml:space="preserve"> column is −1 in every row: that is the deviation coordinate system moving under the model, not heat flowing through a conductance.</w:t>
      </w:r>
    </w:p>
    <w:p>
      <w:pPr>
        <w:spacing w:before="160" w:after="160"/>
        <w:jc w:val="center"/>
      </w:pPr>
      <w:r>
        <w:rPr>
          <w:rFonts w:ascii="Cambria Math" w:hAnsi="Cambria Math"/>
          <w:sz w:val="24"/>
        </w:rPr>
        <w:t>C = [ 0 , ṁc</w:t>
      </w:r>
      <w:r>
        <w:rPr>
          <w:rFonts w:ascii="Cambria Math" w:hAnsi="Cambria Math"/>
          <w:sz w:val="24"/>
          <w:vertAlign w:val="subscript"/>
        </w:rPr>
        <w:t>p</w:t>
      </w:r>
      <w:r>
        <w:rPr>
          <w:rFonts w:ascii="Cambria Math" w:hAnsi="Cambria Math"/>
          <w:sz w:val="24"/>
        </w:rPr>
        <w:t xml:space="preserve"> , 0 ] ,    D</w:t>
      </w:r>
      <w:r>
        <w:rPr>
          <w:rFonts w:ascii="Cambria Math" w:hAnsi="Cambria Math"/>
          <w:sz w:val="24"/>
          <w:vertAlign w:val="subscript"/>
        </w:rPr>
        <w:t>u</w:t>
      </w:r>
      <w:r>
        <w:rPr>
          <w:rFonts w:ascii="Cambria Math" w:hAnsi="Cambria Math"/>
          <w:sz w:val="24"/>
        </w:rPr>
        <w:t xml:space="preserve"> = [ −1 , 0 ] ,    D</w:t>
      </w:r>
      <w:r>
        <w:rPr>
          <w:rFonts w:ascii="Cambria Math" w:hAnsi="Cambria Math"/>
          <w:sz w:val="24"/>
          <w:vertAlign w:val="subscript"/>
        </w:rPr>
        <w:t>d</w:t>
      </w:r>
      <w:r>
        <w:rPr>
          <w:rFonts w:ascii="Cambria Math" w:hAnsi="Cambria Math"/>
          <w:sz w:val="24"/>
        </w:rPr>
        <w:t xml:space="preserve"> = [ 0 , −ṁc</w:t>
      </w:r>
      <w:r>
        <w:rPr>
          <w:rFonts w:ascii="Cambria Math" w:hAnsi="Cambria Math"/>
          <w:sz w:val="24"/>
          <w:vertAlign w:val="subscript"/>
        </w:rPr>
        <w:t>p</w:t>
      </w:r>
      <w:r>
        <w:rPr>
          <w:rFonts w:ascii="Cambria Math" w:hAnsi="Cambria Math"/>
          <w:sz w:val="24"/>
        </w:rPr>
        <w:t xml:space="preserve"> , 0 ]</w:t>
      </w:r>
      <w:r>
        <w:rPr>
          <w:sz w:val="20"/>
        </w:rPr>
        <w:tab/>
        <w:tab/>
        <w:t>(12)</w:t>
      </w:r>
    </w:p>
    <w:p>
      <w:pPr>
        <w:spacing w:after="120"/>
      </w:pPr>
      <w:r>
        <w:t>The two non-zero D entries are the auxiliary-power subtraction and the inlet-temperature subtraction. They bypass the integrators entirely, which is why noise on P</w:t>
      </w:r>
      <w:r>
        <w:rPr>
          <w:vertAlign w:val="subscript"/>
        </w:rPr>
        <w:t>aux</w:t>
      </w:r>
      <w:r>
        <w:t xml:space="preserve"> or on the inlet RTD appears in the reading instantly and unfiltered — a direct consequence of one matrix entry, and a reason to meter the auxiliaries well.</w:t>
      </w:r>
    </w:p>
    <w:p>
      <w:pPr>
        <w:spacing w:after="120"/>
      </w:pPr>
      <w:r>
        <w:t>Note that ṁc</w:t>
      </w:r>
      <w:r>
        <w:rPr>
          <w:vertAlign w:val="subscript"/>
        </w:rPr>
        <w:t>p</w:t>
      </w:r>
      <w:r>
        <w:t xml:space="preserve"> appears in </w:t>
      </w:r>
      <w:r>
        <w:rPr>
          <w:b/>
        </w:rPr>
        <w:t>four</w:t>
      </w:r>
      <w:r>
        <w:t xml:space="preserve"> places — inside A, inside B</w:t>
      </w:r>
      <w:r>
        <w:rPr>
          <w:vertAlign w:val="subscript"/>
        </w:rPr>
        <w:t>d</w:t>
      </w:r>
      <w:r>
        <w:t>, inside C and inside D</w:t>
      </w:r>
      <w:r>
        <w:rPr>
          <w:vertAlign w:val="subscript"/>
        </w:rPr>
        <w:t>d</w:t>
      </w:r>
      <w:r>
        <w:t>. It is one conductance with two ends: the water node's drain, the rail it drains to, and the meter that watches it.</w:t>
      </w:r>
    </w:p>
    <w:p>
      <w:pPr>
        <w:pStyle w:val="Heading2"/>
      </w:pPr>
      <w:r>
        <w:t>Structural audit</w:t>
      </w:r>
    </w:p>
    <w:p>
      <w:pPr>
        <w:spacing w:after="120"/>
      </w:pPr>
      <w:r>
        <w:t xml:space="preserve">Seven checks are run on A before any number is trusted. They catch wiring errors — signs, missing bridges, bad couplings — that no amount of simulation makes obvious. All seven are coded as assertions in </w:t>
      </w:r>
      <w:r>
        <w:rPr>
          <w:rFonts w:ascii="Consolas" w:hAnsi="Consolas"/>
          <w:sz w:val="19"/>
        </w:rPr>
        <w:t>calorimetry-ss.py: audit()</w:t>
      </w:r>
      <w:r>
        <w:t xml:space="preserve"> and run on every plant build.</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369"/>
            <w:shd w:val="clear" w:color="auto" w:fill="DEEAF6"/>
          </w:tcPr>
          <w:p>
            <w:pPr>
              <w:spacing w:after="20" w:before="20"/>
            </w:pPr>
            <w:r/>
            <w:r>
              <w:rPr>
                <w:b/>
                <w:sz w:val="17"/>
              </w:rPr>
              <w:t>#</w:t>
            </w:r>
          </w:p>
        </w:tc>
        <w:tc>
          <w:tcPr>
            <w:tcW w:type="dxa" w:w="2764"/>
            <w:shd w:val="clear" w:color="auto" w:fill="DEEAF6"/>
          </w:tcPr>
          <w:p>
            <w:pPr>
              <w:spacing w:after="20" w:before="20"/>
            </w:pPr>
            <w:r/>
            <w:r>
              <w:rPr>
                <w:b/>
                <w:sz w:val="17"/>
              </w:rPr>
              <w:t>Check</w:t>
            </w:r>
          </w:p>
        </w:tc>
        <w:tc>
          <w:tcPr>
            <w:tcW w:type="dxa" w:w="3132"/>
            <w:shd w:val="clear" w:color="auto" w:fill="DEEAF6"/>
          </w:tcPr>
          <w:p>
            <w:pPr>
              <w:spacing w:after="20" w:before="20"/>
            </w:pPr>
            <w:r/>
            <w:r>
              <w:rPr>
                <w:b/>
                <w:sz w:val="17"/>
              </w:rPr>
              <w:t>What it means</w:t>
            </w:r>
          </w:p>
        </w:tc>
        <w:tc>
          <w:tcPr>
            <w:tcW w:type="dxa" w:w="2764"/>
            <w:shd w:val="clear" w:color="auto" w:fill="DEEAF6"/>
          </w:tcPr>
          <w:p>
            <w:pPr>
              <w:spacing w:after="20" w:before="20"/>
            </w:pPr>
            <w:r/>
            <w:r>
              <w:rPr>
                <w:b/>
                <w:sz w:val="17"/>
              </w:rPr>
              <w:t>Catches</w:t>
            </w:r>
          </w:p>
        </w:tc>
      </w:tr>
      <w:tr>
        <w:tc>
          <w:tcPr>
            <w:tcW w:type="dxa" w:w="369"/>
          </w:tcPr>
          <w:p>
            <w:pPr>
              <w:spacing w:after="20" w:before="20"/>
            </w:pPr>
            <w:r/>
            <w:r>
              <w:rPr>
                <w:sz w:val="17"/>
              </w:rPr>
              <w:t>1</w:t>
            </w:r>
          </w:p>
        </w:tc>
        <w:tc>
          <w:tcPr>
            <w:tcW w:type="dxa" w:w="2764"/>
          </w:tcPr>
          <w:p>
            <w:pPr>
              <w:spacing w:after="20" w:before="20"/>
            </w:pPr>
            <w:r/>
            <w:r>
              <w:rPr>
                <w:sz w:val="17"/>
              </w:rPr>
              <w:t>All diagonal entries negative</w:t>
            </w:r>
          </w:p>
        </w:tc>
        <w:tc>
          <w:tcPr>
            <w:tcW w:type="dxa" w:w="3132"/>
          </w:tcPr>
          <w:p>
            <w:pPr>
              <w:spacing w:after="20" w:before="20"/>
            </w:pPr>
            <w:r/>
            <w:r>
              <w:rPr>
                <w:sz w:val="17"/>
              </w:rPr>
              <w:t>Every node decays on its own</w:t>
            </w:r>
          </w:p>
        </w:tc>
        <w:tc>
          <w:tcPr>
            <w:tcW w:type="dxa" w:w="2764"/>
          </w:tcPr>
          <w:p>
            <w:pPr>
              <w:spacing w:after="20" w:before="20"/>
            </w:pPr>
            <w:r/>
            <w:r>
              <w:rPr>
                <w:sz w:val="17"/>
              </w:rPr>
              <w:t>A sign error that makes the simulation diverge</w:t>
            </w:r>
          </w:p>
        </w:tc>
      </w:tr>
      <w:tr>
        <w:tc>
          <w:tcPr>
            <w:tcW w:type="dxa" w:w="369"/>
          </w:tcPr>
          <w:p>
            <w:pPr>
              <w:spacing w:after="20" w:before="20"/>
            </w:pPr>
            <w:r/>
            <w:r>
              <w:rPr>
                <w:sz w:val="17"/>
              </w:rPr>
              <w:t>2</w:t>
            </w:r>
          </w:p>
        </w:tc>
        <w:tc>
          <w:tcPr>
            <w:tcW w:type="dxa" w:w="2764"/>
          </w:tcPr>
          <w:p>
            <w:pPr>
              <w:spacing w:after="20" w:before="20"/>
            </w:pPr>
            <w:r/>
            <w:r>
              <w:rPr>
                <w:sz w:val="17"/>
              </w:rPr>
              <w:t>Row 1 sums to zero</w:t>
            </w:r>
          </w:p>
        </w:tc>
        <w:tc>
          <w:tcPr>
            <w:tcW w:type="dxa" w:w="3132"/>
          </w:tcPr>
          <w:p>
            <w:pPr>
              <w:spacing w:after="20" w:before="20"/>
            </w:pPr>
            <w:r/>
            <w:r>
              <w:rPr>
                <w:sz w:val="17"/>
              </w:rPr>
              <w:t>The air has no exit except through the water and the guard</w:t>
            </w:r>
          </w:p>
        </w:tc>
        <w:tc>
          <w:tcPr>
            <w:tcW w:type="dxa" w:w="2764"/>
          </w:tcPr>
          <w:p>
            <w:pPr>
              <w:spacing w:after="20" w:before="20"/>
            </w:pPr>
            <w:r/>
            <w:r>
              <w:rPr>
                <w:sz w:val="17"/>
              </w:rPr>
              <w:t>A missing path</w:t>
            </w:r>
          </w:p>
        </w:tc>
      </w:tr>
      <w:tr>
        <w:tc>
          <w:tcPr>
            <w:tcW w:type="dxa" w:w="369"/>
          </w:tcPr>
          <w:p>
            <w:pPr>
              <w:spacing w:after="20" w:before="20"/>
            </w:pPr>
            <w:r/>
            <w:r>
              <w:rPr>
                <w:sz w:val="17"/>
              </w:rPr>
              <w:t>3</w:t>
            </w:r>
          </w:p>
        </w:tc>
        <w:tc>
          <w:tcPr>
            <w:tcW w:type="dxa" w:w="2764"/>
          </w:tcPr>
          <w:p>
            <w:pPr>
              <w:spacing w:after="20" w:before="20"/>
            </w:pPr>
            <w:r/>
            <w:r>
              <w:rPr>
                <w:sz w:val="17"/>
              </w:rPr>
              <w:t>Row 2 sums to −ṁc</w:t>
            </w:r>
            <w:r>
              <w:rPr>
                <w:sz w:val="17"/>
                <w:vertAlign w:val="subscript"/>
              </w:rPr>
              <w:t>p</w:t>
            </w:r>
            <w:r>
              <w:rPr>
                <w:sz w:val="17"/>
              </w:rPr>
              <w:t>/C</w:t>
            </w:r>
            <w:r>
              <w:rPr>
                <w:sz w:val="17"/>
                <w:vertAlign w:val="subscript"/>
              </w:rPr>
              <w:t>w</w:t>
            </w:r>
          </w:p>
        </w:tc>
        <w:tc>
          <w:tcPr>
            <w:tcW w:type="dxa" w:w="3132"/>
          </w:tcPr>
          <w:p>
            <w:pPr>
              <w:spacing w:after="20" w:before="20"/>
            </w:pPr>
            <w:r/>
            <w:r>
              <w:rPr>
                <w:sz w:val="17"/>
              </w:rPr>
              <w:t xml:space="preserve">The water leaks to the inlet rail — </w:t>
            </w:r>
            <w:r>
              <w:rPr>
                <w:b/>
                <w:sz w:val="17"/>
              </w:rPr>
              <w:t>this is the metered exit</w:t>
            </w:r>
          </w:p>
        </w:tc>
        <w:tc>
          <w:tcPr>
            <w:tcW w:type="dxa" w:w="2764"/>
          </w:tcPr>
          <w:p>
            <w:pPr>
              <w:spacing w:after="20" w:before="20"/>
            </w:pPr>
            <w:r/>
            <w:r>
              <w:rPr>
                <w:sz w:val="17"/>
              </w:rPr>
              <w:t>A meter wired to the wrong rail</w:t>
            </w:r>
          </w:p>
        </w:tc>
      </w:tr>
      <w:tr>
        <w:tc>
          <w:tcPr>
            <w:tcW w:type="dxa" w:w="369"/>
          </w:tcPr>
          <w:p>
            <w:pPr>
              <w:spacing w:after="20" w:before="20"/>
            </w:pPr>
            <w:r/>
            <w:r>
              <w:rPr>
                <w:sz w:val="17"/>
              </w:rPr>
              <w:t>4</w:t>
            </w:r>
          </w:p>
        </w:tc>
        <w:tc>
          <w:tcPr>
            <w:tcW w:type="dxa" w:w="2764"/>
          </w:tcPr>
          <w:p>
            <w:pPr>
              <w:spacing w:after="20" w:before="20"/>
            </w:pPr>
            <w:r/>
            <w:r>
              <w:rPr>
                <w:sz w:val="17"/>
              </w:rPr>
              <w:t>Row 3 sums to −G</w:t>
            </w:r>
            <w:r>
              <w:rPr>
                <w:sz w:val="17"/>
                <w:vertAlign w:val="subscript"/>
              </w:rPr>
              <w:t>out</w:t>
            </w:r>
            <w:r>
              <w:rPr>
                <w:sz w:val="17"/>
              </w:rPr>
              <w:t>/C</w:t>
            </w:r>
            <w:r>
              <w:rPr>
                <w:sz w:val="17"/>
                <w:vertAlign w:val="subscript"/>
              </w:rPr>
              <w:t>e</w:t>
            </w:r>
          </w:p>
        </w:tc>
        <w:tc>
          <w:tcPr>
            <w:tcW w:type="dxa" w:w="3132"/>
          </w:tcPr>
          <w:p>
            <w:pPr>
              <w:spacing w:after="20" w:before="20"/>
            </w:pPr>
            <w:r/>
            <w:r>
              <w:rPr>
                <w:sz w:val="17"/>
              </w:rPr>
              <w:t xml:space="preserve">The guard leaks to ambient — </w:t>
            </w:r>
            <w:r>
              <w:rPr>
                <w:b/>
                <w:sz w:val="17"/>
              </w:rPr>
              <w:t>this is the unmetered exit, and the whole error term</w:t>
            </w:r>
          </w:p>
        </w:tc>
        <w:tc>
          <w:tcPr>
            <w:tcW w:type="dxa" w:w="2764"/>
          </w:tcPr>
          <w:p>
            <w:pPr>
              <w:spacing w:after="20" w:before="20"/>
            </w:pPr>
            <w:r/>
            <w:r>
              <w:rPr>
                <w:sz w:val="17"/>
              </w:rPr>
              <w:t>A guard accidentally modelled as sealed</w:t>
            </w:r>
          </w:p>
        </w:tc>
      </w:tr>
      <w:tr>
        <w:tc>
          <w:tcPr>
            <w:tcW w:type="dxa" w:w="369"/>
          </w:tcPr>
          <w:p>
            <w:pPr>
              <w:spacing w:after="20" w:before="20"/>
            </w:pPr>
            <w:r/>
            <w:r>
              <w:rPr>
                <w:sz w:val="17"/>
              </w:rPr>
              <w:t>5</w:t>
            </w:r>
          </w:p>
        </w:tc>
        <w:tc>
          <w:tcPr>
            <w:tcW w:type="dxa" w:w="2764"/>
          </w:tcPr>
          <w:p>
            <w:pPr>
              <w:spacing w:after="20" w:before="20"/>
            </w:pPr>
            <w:r/>
            <w:r>
              <w:rPr>
                <w:sz w:val="17"/>
              </w:rPr>
              <w:t>C</w:t>
            </w:r>
            <w:r>
              <w:rPr>
                <w:sz w:val="17"/>
                <w:vertAlign w:val="subscript"/>
              </w:rPr>
              <w:t>i</w:t>
            </w:r>
            <w:r>
              <w:rPr>
                <w:sz w:val="17"/>
              </w:rPr>
              <w:t>·a</w:t>
            </w:r>
            <w:r>
              <w:rPr>
                <w:sz w:val="17"/>
                <w:vertAlign w:val="subscript"/>
              </w:rPr>
              <w:t>12</w:t>
            </w:r>
            <w:r>
              <w:rPr>
                <w:sz w:val="17"/>
              </w:rPr>
              <w:t xml:space="preserve"> = C</w:t>
            </w:r>
            <w:r>
              <w:rPr>
                <w:sz w:val="17"/>
                <w:vertAlign w:val="subscript"/>
              </w:rPr>
              <w:t>w</w:t>
            </w:r>
            <w:r>
              <w:rPr>
                <w:sz w:val="17"/>
              </w:rPr>
              <w:t>·a</w:t>
            </w:r>
            <w:r>
              <w:rPr>
                <w:sz w:val="17"/>
                <w:vertAlign w:val="subscript"/>
              </w:rPr>
              <w:t>21</w:t>
            </w:r>
            <w:r>
              <w:rPr>
                <w:sz w:val="17"/>
              </w:rPr>
              <w:t xml:space="preserve"> = UA</w:t>
            </w:r>
            <w:r>
              <w:rPr>
                <w:sz w:val="17"/>
                <w:vertAlign w:val="subscript"/>
              </w:rPr>
              <w:t>rad</w:t>
            </w:r>
            <w:r>
              <w:rPr>
                <w:sz w:val="17"/>
              </w:rPr>
              <w:t>; C</w:t>
            </w:r>
            <w:r>
              <w:rPr>
                <w:sz w:val="17"/>
                <w:vertAlign w:val="subscript"/>
              </w:rPr>
              <w:t>i</w:t>
            </w:r>
            <w:r>
              <w:rPr>
                <w:sz w:val="17"/>
              </w:rPr>
              <w:t>·a</w:t>
            </w:r>
            <w:r>
              <w:rPr>
                <w:sz w:val="17"/>
                <w:vertAlign w:val="subscript"/>
              </w:rPr>
              <w:t>13</w:t>
            </w:r>
            <w:r>
              <w:rPr>
                <w:sz w:val="17"/>
              </w:rPr>
              <w:t xml:space="preserve"> = C</w:t>
            </w:r>
            <w:r>
              <w:rPr>
                <w:sz w:val="17"/>
                <w:vertAlign w:val="subscript"/>
              </w:rPr>
              <w:t>e</w:t>
            </w:r>
            <w:r>
              <w:rPr>
                <w:sz w:val="17"/>
              </w:rPr>
              <w:t>·a</w:t>
            </w:r>
            <w:r>
              <w:rPr>
                <w:sz w:val="17"/>
                <w:vertAlign w:val="subscript"/>
              </w:rPr>
              <w:t>31</w:t>
            </w:r>
            <w:r>
              <w:rPr>
                <w:sz w:val="17"/>
              </w:rPr>
              <w:t xml:space="preserve"> = G</w:t>
            </w:r>
            <w:r>
              <w:rPr>
                <w:sz w:val="17"/>
                <w:vertAlign w:val="subscript"/>
              </w:rPr>
              <w:t>gap</w:t>
            </w:r>
          </w:p>
        </w:tc>
        <w:tc>
          <w:tcPr>
            <w:tcW w:type="dxa" w:w="3132"/>
          </w:tcPr>
          <w:p>
            <w:pPr>
              <w:spacing w:after="20" w:before="20"/>
            </w:pPr>
            <w:r/>
            <w:r>
              <w:rPr>
                <w:sz w:val="17"/>
              </w:rPr>
              <w:t>Each shared bridge appears twice, with opposite signs, weighted by its own capacitance</w:t>
            </w:r>
          </w:p>
        </w:tc>
        <w:tc>
          <w:tcPr>
            <w:tcW w:type="dxa" w:w="2764"/>
          </w:tcPr>
          <w:p>
            <w:pPr>
              <w:spacing w:after="20" w:before="20"/>
            </w:pPr>
            <w:r/>
            <w:r>
              <w:rPr>
                <w:sz w:val="17"/>
              </w:rPr>
              <w:t>Energy created at a coupling — the most common multi-node wiring error</w:t>
            </w:r>
          </w:p>
        </w:tc>
      </w:tr>
      <w:tr>
        <w:tc>
          <w:tcPr>
            <w:tcW w:type="dxa" w:w="369"/>
          </w:tcPr>
          <w:p>
            <w:pPr>
              <w:spacing w:after="20" w:before="20"/>
            </w:pPr>
            <w:r/>
            <w:r>
              <w:rPr>
                <w:sz w:val="17"/>
              </w:rPr>
              <w:t>6</w:t>
            </w:r>
          </w:p>
        </w:tc>
        <w:tc>
          <w:tcPr>
            <w:tcW w:type="dxa" w:w="2764"/>
          </w:tcPr>
          <w:p>
            <w:pPr>
              <w:spacing w:after="20" w:before="20"/>
            </w:pPr>
            <w:r/>
            <w:r>
              <w:rPr>
                <w:sz w:val="17"/>
              </w:rPr>
              <w:t>a</w:t>
            </w:r>
            <w:r>
              <w:rPr>
                <w:sz w:val="17"/>
                <w:vertAlign w:val="subscript"/>
              </w:rPr>
              <w:t>23</w:t>
            </w:r>
            <w:r>
              <w:rPr>
                <w:sz w:val="17"/>
              </w:rPr>
              <w:t xml:space="preserve"> = a</w:t>
            </w:r>
            <w:r>
              <w:rPr>
                <w:sz w:val="17"/>
                <w:vertAlign w:val="subscript"/>
              </w:rPr>
              <w:t>32</w:t>
            </w:r>
            <w:r>
              <w:rPr>
                <w:sz w:val="17"/>
              </w:rPr>
              <w:t xml:space="preserve"> = 0</w:t>
            </w:r>
          </w:p>
        </w:tc>
        <w:tc>
          <w:tcPr>
            <w:tcW w:type="dxa" w:w="3132"/>
          </w:tcPr>
          <w:p>
            <w:pPr>
              <w:spacing w:after="20" w:before="20"/>
            </w:pPr>
            <w:r/>
            <w:r>
              <w:rPr>
                <w:sz w:val="17"/>
              </w:rPr>
              <w:t>Water and guard do not touch directly</w:t>
            </w:r>
          </w:p>
        </w:tc>
        <w:tc>
          <w:tcPr>
            <w:tcW w:type="dxa" w:w="2764"/>
          </w:tcPr>
          <w:p>
            <w:pPr>
              <w:spacing w:after="20" w:before="20"/>
            </w:pPr>
            <w:r/>
            <w:r>
              <w:rPr>
                <w:sz w:val="17"/>
              </w:rPr>
              <w:t>A spurious coupling</w:t>
            </w:r>
          </w:p>
        </w:tc>
      </w:tr>
      <w:tr>
        <w:tc>
          <w:tcPr>
            <w:tcW w:type="dxa" w:w="369"/>
          </w:tcPr>
          <w:p>
            <w:pPr>
              <w:spacing w:after="20" w:before="20"/>
            </w:pPr>
            <w:r/>
            <w:r>
              <w:rPr>
                <w:sz w:val="17"/>
              </w:rPr>
              <w:t>7</w:t>
            </w:r>
          </w:p>
        </w:tc>
        <w:tc>
          <w:tcPr>
            <w:tcW w:type="dxa" w:w="2764"/>
          </w:tcPr>
          <w:p>
            <w:pPr>
              <w:spacing w:after="20" w:before="20"/>
            </w:pPr>
            <w:r/>
            <w:r>
              <w:rPr>
                <w:sz w:val="17"/>
              </w:rPr>
              <w:t>All eigenvalues real and negative</w:t>
            </w:r>
          </w:p>
        </w:tc>
        <w:tc>
          <w:tcPr>
            <w:tcW w:type="dxa" w:w="3132"/>
          </w:tcPr>
          <w:p>
            <w:pPr>
              <w:spacing w:after="20" w:before="20"/>
            </w:pPr>
            <w:r/>
            <w:r>
              <w:rPr>
                <w:sz w:val="17"/>
              </w:rPr>
              <w:t>A purely dissipative single-domain network cannot oscillate</w:t>
            </w:r>
          </w:p>
        </w:tc>
        <w:tc>
          <w:tcPr>
            <w:tcW w:type="dxa" w:w="2764"/>
          </w:tcPr>
          <w:p>
            <w:pPr>
              <w:spacing w:after="20" w:before="20"/>
            </w:pPr>
            <w:r/>
            <w:r>
              <w:rPr>
                <w:sz w:val="17"/>
              </w:rPr>
              <w:t xml:space="preserve">A sign error anywhere. </w:t>
            </w:r>
            <w:r>
              <w:rPr>
                <w:b/>
                <w:sz w:val="17"/>
              </w:rPr>
              <w:t>Only valid open-loop</w:t>
            </w:r>
            <w:r>
              <w:rPr>
                <w:sz w:val="17"/>
              </w:rPr>
              <w:t xml:space="preserve"> — see §6.7</w:t>
            </w:r>
          </w:p>
        </w:tc>
      </w:tr>
    </w:tbl>
    <w:p>
      <w:pPr>
        <w:spacing w:before="60" w:after="200"/>
        <w:jc w:val="left"/>
      </w:pPr>
      <w:r>
        <w:rPr>
          <w:i/>
          <w:sz w:val="18"/>
        </w:rPr>
        <w:t>Table 17. The structural audit.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Two non-zero row sums means two ways out of the boundary</w:t>
            </w:r>
          </w:p>
          <w:p>
            <w:pPr>
              <w:spacing w:after="40"/>
            </w:pPr>
            <w:r>
              <w:rPr>
                <w:sz w:val="19"/>
              </w:rPr>
              <w:t>One of them is measured; the other is the error term. That single sentence is the entire physics of a calorimeter, and it is legible in the row sums of A before a single number is entered.</w:t>
            </w:r>
          </w:p>
        </w:tc>
      </w:tr>
    </w:tbl>
    <w:p>
      <w:pPr>
        <w:spacing w:after="80"/>
      </w:pPr>
    </w:p>
    <w:p>
      <w:pPr>
        <w:pStyle w:val="Heading2"/>
      </w:pPr>
      <w:r>
        <w:t>Modes</w:t>
      </w:r>
    </w:p>
    <w:p>
      <w:pPr>
        <w:spacing w:after="120"/>
      </w:pPr>
      <w:r>
        <w:t>At the 150 W / 10 K operating point (ṁc</w:t>
      </w:r>
      <w:r>
        <w:rPr>
          <w:vertAlign w:val="subscript"/>
        </w:rPr>
        <w:t>p</w:t>
      </w:r>
      <w:r>
        <w:t xml:space="preserve"> = 15 W/K, 216 mL/min) the system matrix and its modes are:</w:t>
      </w:r>
    </w:p>
    <w:p>
      <w:pPr>
        <w:spacing w:after="0" w:before="0" w:line="240" w:lineRule="auto"/>
        <w:ind w:left="288"/>
      </w:pPr>
      <w:r>
        <w:rPr>
          <w:rFonts w:ascii="Consolas" w:hAnsi="Consolas"/>
          <w:sz w:val="18"/>
        </w:rPr>
        <w:t>A =  [ -0.047015   0.046154   0.000862 ]</w:t>
      </w:r>
    </w:p>
    <w:p>
      <w:pPr>
        <w:spacing w:after="0" w:before="0" w:line="240" w:lineRule="auto"/>
        <w:ind w:left="288"/>
      </w:pPr>
      <w:r>
        <w:rPr>
          <w:rFonts w:ascii="Consolas" w:hAnsi="Consolas"/>
          <w:sz w:val="18"/>
        </w:rPr>
        <w:t xml:space="preserve">     [  0.016667  -0.025000   0.000000 ]   s^-1</w:t>
      </w:r>
    </w:p>
    <w:p>
      <w:pPr>
        <w:spacing w:after="160" w:before="0" w:line="240" w:lineRule="auto"/>
        <w:ind w:left="288"/>
      </w:pPr>
      <w:r>
        <w:rPr>
          <w:rFonts w:ascii="Consolas" w:hAnsi="Consolas"/>
          <w:sz w:val="18"/>
        </w:rPr>
        <w:t xml:space="preserve">     [  0.001867   0.000000  -0.003367 ]</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967"/>
            <w:shd w:val="clear" w:color="auto" w:fill="DEEAF6"/>
          </w:tcPr>
          <w:p>
            <w:pPr>
              <w:spacing w:after="20" w:before="20"/>
            </w:pPr>
            <w:r/>
            <w:r>
              <w:rPr>
                <w:b/>
                <w:sz w:val="18"/>
              </w:rPr>
              <w:t>Mode</w:t>
            </w:r>
          </w:p>
        </w:tc>
        <w:tc>
          <w:tcPr>
            <w:tcW w:type="dxa" w:w="1075"/>
            <w:shd w:val="clear" w:color="auto" w:fill="DEEAF6"/>
          </w:tcPr>
          <w:p>
            <w:pPr>
              <w:spacing w:after="20" w:before="20"/>
            </w:pPr>
            <w:r/>
            <w:r>
              <w:rPr>
                <w:b/>
                <w:sz w:val="18"/>
              </w:rPr>
              <w:t>τ</w:t>
            </w:r>
          </w:p>
        </w:tc>
        <w:tc>
          <w:tcPr>
            <w:tcW w:type="dxa" w:w="2150"/>
            <w:shd w:val="clear" w:color="auto" w:fill="DEEAF6"/>
          </w:tcPr>
          <w:p>
            <w:pPr>
              <w:spacing w:after="20" w:before="20"/>
            </w:pPr>
            <w:r/>
            <w:r>
              <w:rPr>
                <w:b/>
                <w:sz w:val="18"/>
              </w:rPr>
              <w:t>Eigenvector [θ</w:t>
            </w:r>
            <w:r>
              <w:rPr>
                <w:b/>
                <w:sz w:val="18"/>
                <w:vertAlign w:val="subscript"/>
              </w:rPr>
              <w:t>i</w:t>
            </w:r>
            <w:r>
              <w:rPr>
                <w:b/>
                <w:sz w:val="18"/>
              </w:rPr>
              <w:t>, θ</w:t>
            </w:r>
            <w:r>
              <w:rPr>
                <w:b/>
                <w:sz w:val="18"/>
                <w:vertAlign w:val="subscript"/>
              </w:rPr>
              <w:t>w</w:t>
            </w:r>
            <w:r>
              <w:rPr>
                <w:b/>
                <w:sz w:val="18"/>
              </w:rPr>
              <w:t>, θ</w:t>
            </w:r>
            <w:r>
              <w:rPr>
                <w:b/>
                <w:sz w:val="18"/>
                <w:vertAlign w:val="subscript"/>
              </w:rPr>
              <w:t>e</w:t>
            </w:r>
            <w:r>
              <w:rPr>
                <w:b/>
                <w:sz w:val="18"/>
              </w:rPr>
              <w:t>]</w:t>
            </w:r>
          </w:p>
        </w:tc>
        <w:tc>
          <w:tcPr>
            <w:tcW w:type="dxa" w:w="4837"/>
            <w:shd w:val="clear" w:color="auto" w:fill="DEEAF6"/>
          </w:tcPr>
          <w:p>
            <w:pPr>
              <w:spacing w:after="20" w:before="20"/>
            </w:pPr>
            <w:r/>
            <w:r>
              <w:rPr>
                <w:b/>
                <w:sz w:val="18"/>
              </w:rPr>
              <w:t>What it physically is</w:t>
            </w:r>
          </w:p>
        </w:tc>
      </w:tr>
      <w:tr>
        <w:tc>
          <w:tcPr>
            <w:tcW w:type="dxa" w:w="967"/>
          </w:tcPr>
          <w:p>
            <w:pPr>
              <w:spacing w:after="20" w:before="20"/>
            </w:pPr>
            <w:r/>
            <w:r>
              <w:rPr>
                <w:sz w:val="18"/>
              </w:rPr>
              <w:t>Fast</w:t>
            </w:r>
          </w:p>
        </w:tc>
        <w:tc>
          <w:tcPr>
            <w:tcW w:type="dxa" w:w="1075"/>
          </w:tcPr>
          <w:p>
            <w:pPr>
              <w:spacing w:after="20" w:before="20"/>
            </w:pPr>
            <w:r/>
            <w:r>
              <w:rPr>
                <w:b/>
                <w:sz w:val="18"/>
              </w:rPr>
              <w:t>15.2 s</w:t>
            </w:r>
          </w:p>
        </w:tc>
        <w:tc>
          <w:tcPr>
            <w:tcW w:type="dxa" w:w="2150"/>
          </w:tcPr>
          <w:p>
            <w:pPr>
              <w:spacing w:after="20" w:before="20"/>
            </w:pPr>
            <w:r/>
            <w:r>
              <w:rPr>
                <w:sz w:val="18"/>
              </w:rPr>
              <w:t>[+1.000, −0.408, −0.030]</w:t>
            </w:r>
          </w:p>
        </w:tc>
        <w:tc>
          <w:tcPr>
            <w:tcW w:type="dxa" w:w="4837"/>
          </w:tcPr>
          <w:p>
            <w:pPr>
              <w:spacing w:after="20" w:before="20"/>
            </w:pPr>
            <w:r/>
            <w:r>
              <w:rPr>
                <w:sz w:val="18"/>
              </w:rPr>
              <w:t xml:space="preserve">Air and water </w:t>
            </w:r>
            <w:r>
              <w:rPr>
                <w:b/>
                <w:sz w:val="18"/>
              </w:rPr>
              <w:t>exchanging</w:t>
            </w:r>
            <w:r>
              <w:rPr>
                <w:sz w:val="18"/>
              </w:rPr>
              <w:t xml:space="preserve"> across the radiator — opposite signs, guard uninvolved. In circuit terms, the two capacitors in series across the radiator bridge</w:t>
            </w:r>
          </w:p>
        </w:tc>
      </w:tr>
      <w:tr>
        <w:tc>
          <w:tcPr>
            <w:tcW w:type="dxa" w:w="967"/>
          </w:tcPr>
          <w:p>
            <w:pPr>
              <w:spacing w:after="20" w:before="20"/>
            </w:pPr>
            <w:r/>
            <w:r>
              <w:rPr>
                <w:sz w:val="18"/>
              </w:rPr>
              <w:t>Mid</w:t>
            </w:r>
          </w:p>
        </w:tc>
        <w:tc>
          <w:tcPr>
            <w:tcW w:type="dxa" w:w="1075"/>
          </w:tcPr>
          <w:p>
            <w:pPr>
              <w:spacing w:after="20" w:before="20"/>
            </w:pPr>
            <w:r/>
            <w:r>
              <w:rPr>
                <w:b/>
                <w:sz w:val="18"/>
              </w:rPr>
              <w:t>157.8 s</w:t>
            </w:r>
          </w:p>
        </w:tc>
        <w:tc>
          <w:tcPr>
            <w:tcW w:type="dxa" w:w="2150"/>
          </w:tcPr>
          <w:p>
            <w:pPr>
              <w:spacing w:after="20" w:before="20"/>
            </w:pPr>
            <w:r/>
            <w:r>
              <w:rPr>
                <w:sz w:val="18"/>
              </w:rPr>
              <w:t>[+1.000, +0.893, −0.628]</w:t>
            </w:r>
          </w:p>
        </w:tc>
        <w:tc>
          <w:tcPr>
            <w:tcW w:type="dxa" w:w="4837"/>
          </w:tcPr>
          <w:p>
            <w:pPr>
              <w:spacing w:after="20" w:before="20"/>
            </w:pPr>
            <w:r/>
            <w:r>
              <w:rPr>
                <w:sz w:val="18"/>
              </w:rPr>
              <w:t xml:space="preserve">Air and water </w:t>
            </w:r>
            <w:r>
              <w:rPr>
                <w:b/>
                <w:sz w:val="18"/>
              </w:rPr>
              <w:t>moving together</w:t>
            </w:r>
            <w:r>
              <w:rPr>
                <w:sz w:val="18"/>
              </w:rPr>
              <w:t>, draining through the water bus. The two capacitors in parallel, discharging through the advection conductance</w:t>
            </w:r>
          </w:p>
        </w:tc>
      </w:tr>
      <w:tr>
        <w:tc>
          <w:tcPr>
            <w:tcW w:type="dxa" w:w="967"/>
          </w:tcPr>
          <w:p>
            <w:pPr>
              <w:spacing w:after="20" w:before="20"/>
            </w:pPr>
            <w:r/>
            <w:r>
              <w:rPr>
                <w:sz w:val="18"/>
              </w:rPr>
              <w:t>Slow</w:t>
            </w:r>
          </w:p>
        </w:tc>
        <w:tc>
          <w:tcPr>
            <w:tcW w:type="dxa" w:w="1075"/>
          </w:tcPr>
          <w:p>
            <w:pPr>
              <w:spacing w:after="20" w:before="20"/>
            </w:pPr>
            <w:r/>
            <w:r>
              <w:rPr>
                <w:b/>
                <w:sz w:val="18"/>
              </w:rPr>
              <w:t>314.5 s</w:t>
            </w:r>
          </w:p>
        </w:tc>
        <w:tc>
          <w:tcPr>
            <w:tcW w:type="dxa" w:w="2150"/>
          </w:tcPr>
          <w:p>
            <w:pPr>
              <w:spacing w:after="20" w:before="20"/>
            </w:pPr>
            <w:r/>
            <w:r>
              <w:rPr>
                <w:sz w:val="18"/>
              </w:rPr>
              <w:t>[+0.100, +0.077, +1.000]</w:t>
            </w:r>
          </w:p>
        </w:tc>
        <w:tc>
          <w:tcPr>
            <w:tcW w:type="dxa" w:w="4837"/>
          </w:tcPr>
          <w:p>
            <w:pPr>
              <w:spacing w:after="20" w:before="20"/>
            </w:pPr>
            <w:r/>
            <w:r>
              <w:rPr>
                <w:sz w:val="18"/>
              </w:rPr>
              <w:t>The guard shell charging against ambient — almost entirely θ</w:t>
            </w:r>
            <w:r>
              <w:rPr>
                <w:sz w:val="18"/>
                <w:vertAlign w:val="subscript"/>
              </w:rPr>
              <w:t>e</w:t>
            </w:r>
          </w:p>
        </w:tc>
      </w:tr>
    </w:tbl>
    <w:p>
      <w:pPr>
        <w:spacing w:before="60" w:after="200"/>
        <w:jc w:val="left"/>
      </w:pPr>
      <w:r>
        <w:rPr>
          <w:i/>
          <w:sz w:val="18"/>
        </w:rPr>
        <w:t>Table 18. Modes at ṁc</w:t>
      </w:r>
      <w:r>
        <w:rPr>
          <w:i/>
          <w:sz w:val="18"/>
          <w:vertAlign w:val="subscript"/>
        </w:rPr>
        <w:t>p</w:t>
      </w:r>
      <w:r>
        <w:rPr>
          <w:i/>
          <w:sz w:val="18"/>
        </w:rPr>
        <w:t xml:space="preserve"> = 15 W/K. All three eigenvalues are real and negative, as they must be for a passive single-domain network.</w:t>
      </w:r>
    </w:p>
    <w:p>
      <w:pPr>
        <w:spacing w:after="120"/>
      </w:pPr>
      <w:r>
        <w:t xml:space="preserve">The eigenvectors are the point of the exercise. Three time constants alone say "one fast thing, one medium thing, one slow thing"; the eigenvectors say </w:t>
      </w:r>
      <w:r>
        <w:rPr>
          <w:b/>
        </w:rPr>
        <w:t>which physical process each one is</w:t>
      </w:r>
      <w:r>
        <w:t>, and immediately that the five-minute mode is the guard shell rather than the measurement. Note also that the modal time constants are not the per-node C/ΣG figures (21 s, 40 s, 297 s): the fast mode is faster than either node alone and the mid mode is slower than both. Coupled nodes have modes, not individual time constants.</w:t>
      </w:r>
    </w:p>
    <w:p>
      <w:pPr>
        <w:pStyle w:val="Heading2"/>
      </w:pPr>
      <w:r>
        <w:t>The measurement, as a DC gain</w:t>
      </w:r>
    </w:p>
    <w:p>
      <w:pPr>
        <w:spacing w:after="120"/>
      </w:pPr>
      <w:r>
        <w:t xml:space="preserve">The whole instrument reduces to one question: </w:t>
      </w:r>
      <w:r>
        <w:rPr>
          <w:b/>
        </w:rPr>
        <w:t>is the zero-frequency gain of the P</w:t>
      </w:r>
      <w:r>
        <w:rPr>
          <w:b/>
          <w:vertAlign w:val="subscript"/>
        </w:rPr>
        <w:t>DUT</w:t>
      </w:r>
      <w:r>
        <w:rPr>
          <w:b/>
        </w:rPr>
        <w:t xml:space="preserve"> → P</w:t>
      </w:r>
      <w:r>
        <w:rPr>
          <w:b/>
          <w:vertAlign w:val="subscript"/>
        </w:rPr>
        <w:t>meas</w:t>
      </w:r>
      <w:r>
        <w:rPr>
          <w:b/>
        </w:rPr>
        <w:t xml:space="preserve"> channel equal to one?</w:t>
      </w:r>
      <w:r>
        <w:t xml:space="preserve"> With the guard open, it is not.</w:t>
      </w:r>
    </w:p>
    <w:p>
      <w:pPr>
        <w:spacing w:before="160" w:after="160"/>
        <w:jc w:val="center"/>
      </w:pPr>
      <w:r>
        <w:rPr>
          <w:rFonts w:ascii="Cambria Math" w:hAnsi="Cambria Math"/>
          <w:sz w:val="24"/>
        </w:rPr>
        <w:t>G(0) = −C·A⁻¹·B + D</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val="true"/>
        </w:trPr>
        <w:tc>
          <w:tcPr>
            <w:tcW w:type="dxa" w:w="1389"/>
            <w:shd w:val="clear" w:color="auto" w:fill="DEEAF6"/>
          </w:tcPr>
          <w:p>
            <w:pPr>
              <w:spacing w:after="20" w:before="20"/>
            </w:pPr>
            <w:r/>
            <w:r>
              <w:rPr>
                <w:b/>
                <w:sz w:val="18"/>
              </w:rPr>
              <w:t>ṁc</w:t>
            </w:r>
            <w:r>
              <w:rPr>
                <w:b/>
                <w:sz w:val="18"/>
                <w:vertAlign w:val="subscript"/>
              </w:rPr>
              <w:t>p</w:t>
            </w:r>
            <w:r>
              <w:rPr>
                <w:b/>
                <w:sz w:val="18"/>
              </w:rPr>
              <w:t xml:space="preserve"> [W/K]</w:t>
            </w:r>
          </w:p>
        </w:tc>
        <w:tc>
          <w:tcPr>
            <w:tcW w:type="dxa" w:w="1389"/>
            <w:shd w:val="clear" w:color="auto" w:fill="DEEAF6"/>
          </w:tcPr>
          <w:p>
            <w:pPr>
              <w:spacing w:after="20" w:before="20"/>
            </w:pPr>
            <w:r/>
            <w:r>
              <w:rPr>
                <w:b/>
                <w:sz w:val="18"/>
              </w:rPr>
              <w:t>Flow [mL/min]</w:t>
            </w:r>
          </w:p>
        </w:tc>
        <w:tc>
          <w:tcPr>
            <w:tcW w:type="dxa" w:w="1852"/>
            <w:shd w:val="clear" w:color="auto" w:fill="DEEAF6"/>
          </w:tcPr>
          <w:p>
            <w:pPr>
              <w:spacing w:after="20" w:before="20"/>
            </w:pPr>
            <w:r/>
            <w:r>
              <w:rPr>
                <w:b/>
                <w:sz w:val="18"/>
              </w:rPr>
              <w:t xml:space="preserve">DC gain, guard </w:t>
            </w:r>
            <w:r>
              <w:rPr>
                <w:b/>
                <w:sz w:val="18"/>
              </w:rPr>
              <w:t>open</w:t>
            </w:r>
          </w:p>
        </w:tc>
        <w:tc>
          <w:tcPr>
            <w:tcW w:type="dxa" w:w="1158"/>
            <w:shd w:val="clear" w:color="auto" w:fill="DEEAF6"/>
          </w:tcPr>
          <w:p>
            <w:pPr>
              <w:spacing w:after="20" w:before="20"/>
            </w:pPr>
            <w:r/>
            <w:r>
              <w:rPr>
                <w:b/>
                <w:sz w:val="18"/>
              </w:rPr>
              <w:t>Deficit ε</w:t>
            </w:r>
          </w:p>
        </w:tc>
        <w:tc>
          <w:tcPr>
            <w:tcW w:type="dxa" w:w="1852"/>
            <w:shd w:val="clear" w:color="auto" w:fill="DEEAF6"/>
          </w:tcPr>
          <w:p>
            <w:pPr>
              <w:spacing w:after="20" w:before="20"/>
            </w:pPr>
            <w:r/>
            <w:r>
              <w:rPr>
                <w:b/>
                <w:sz w:val="18"/>
              </w:rPr>
              <w:t>Leakage-divider formula</w:t>
            </w:r>
          </w:p>
        </w:tc>
        <w:tc>
          <w:tcPr>
            <w:tcW w:type="dxa" w:w="1389"/>
            <w:shd w:val="clear" w:color="auto" w:fill="DEEAF6"/>
          </w:tcPr>
          <w:p>
            <w:pPr>
              <w:spacing w:after="20" w:before="20"/>
            </w:pPr>
            <w:r/>
            <w:r>
              <w:rPr>
                <w:b/>
                <w:sz w:val="18"/>
              </w:rPr>
              <w:t>Agreement</w:t>
            </w:r>
          </w:p>
        </w:tc>
      </w:tr>
      <w:tr>
        <w:tc>
          <w:tcPr>
            <w:tcW w:type="dxa" w:w="1389"/>
          </w:tcPr>
          <w:p>
            <w:pPr>
              <w:spacing w:after="20" w:before="20"/>
            </w:pPr>
            <w:r/>
            <w:r>
              <w:rPr>
                <w:sz w:val="18"/>
              </w:rPr>
              <w:t>3.00</w:t>
            </w:r>
          </w:p>
        </w:tc>
        <w:tc>
          <w:tcPr>
            <w:tcW w:type="dxa" w:w="1389"/>
          </w:tcPr>
          <w:p>
            <w:pPr>
              <w:spacing w:after="20" w:before="20"/>
            </w:pPr>
            <w:r/>
            <w:r>
              <w:rPr>
                <w:sz w:val="18"/>
              </w:rPr>
              <w:t>43</w:t>
            </w:r>
          </w:p>
        </w:tc>
        <w:tc>
          <w:tcPr>
            <w:tcW w:type="dxa" w:w="1852"/>
          </w:tcPr>
          <w:p>
            <w:pPr>
              <w:spacing w:after="20" w:before="20"/>
            </w:pPr>
            <w:r/>
            <w:r>
              <w:rPr>
                <w:sz w:val="18"/>
              </w:rPr>
              <w:t>0.916183</w:t>
            </w:r>
          </w:p>
        </w:tc>
        <w:tc>
          <w:tcPr>
            <w:tcW w:type="dxa" w:w="1158"/>
          </w:tcPr>
          <w:p>
            <w:pPr>
              <w:spacing w:after="20" w:before="20"/>
            </w:pPr>
            <w:r/>
            <w:r>
              <w:rPr>
                <w:sz w:val="18"/>
              </w:rPr>
              <w:t>8.38 %</w:t>
            </w:r>
          </w:p>
        </w:tc>
        <w:tc>
          <w:tcPr>
            <w:tcW w:type="dxa" w:w="1852"/>
          </w:tcPr>
          <w:p>
            <w:pPr>
              <w:spacing w:after="20" w:before="20"/>
            </w:pPr>
            <w:r/>
            <w:r>
              <w:rPr>
                <w:sz w:val="18"/>
              </w:rPr>
              <w:t>0.083817</w:t>
            </w:r>
          </w:p>
        </w:tc>
        <w:tc>
          <w:tcPr>
            <w:tcW w:type="dxa" w:w="1389"/>
          </w:tcPr>
          <w:p>
            <w:pPr>
              <w:spacing w:after="20" w:before="20"/>
            </w:pPr>
            <w:r/>
            <w:r>
              <w:rPr>
                <w:sz w:val="18"/>
              </w:rPr>
              <w:t>1.6 × 10⁻¹⁵</w:t>
            </w:r>
          </w:p>
        </w:tc>
      </w:tr>
      <w:tr>
        <w:tc>
          <w:tcPr>
            <w:tcW w:type="dxa" w:w="1389"/>
          </w:tcPr>
          <w:p>
            <w:pPr>
              <w:spacing w:after="20" w:before="20"/>
            </w:pPr>
            <w:r/>
            <w:r>
              <w:rPr>
                <w:sz w:val="18"/>
              </w:rPr>
              <w:t>5.00</w:t>
            </w:r>
          </w:p>
        </w:tc>
        <w:tc>
          <w:tcPr>
            <w:tcW w:type="dxa" w:w="1389"/>
          </w:tcPr>
          <w:p>
            <w:pPr>
              <w:spacing w:after="20" w:before="20"/>
            </w:pPr>
            <w:r/>
            <w:r>
              <w:rPr>
                <w:sz w:val="18"/>
              </w:rPr>
              <w:t>72</w:t>
            </w:r>
          </w:p>
        </w:tc>
        <w:tc>
          <w:tcPr>
            <w:tcW w:type="dxa" w:w="1852"/>
          </w:tcPr>
          <w:p>
            <w:pPr>
              <w:spacing w:after="20" w:before="20"/>
            </w:pPr>
            <w:r/>
            <w:r>
              <w:rPr>
                <w:sz w:val="18"/>
              </w:rPr>
              <w:t>0.944985</w:t>
            </w:r>
          </w:p>
        </w:tc>
        <w:tc>
          <w:tcPr>
            <w:tcW w:type="dxa" w:w="1158"/>
          </w:tcPr>
          <w:p>
            <w:pPr>
              <w:spacing w:after="20" w:before="20"/>
            </w:pPr>
            <w:r/>
            <w:r>
              <w:rPr>
                <w:sz w:val="18"/>
              </w:rPr>
              <w:t>5.50 %</w:t>
            </w:r>
          </w:p>
        </w:tc>
        <w:tc>
          <w:tcPr>
            <w:tcW w:type="dxa" w:w="1852"/>
          </w:tcPr>
          <w:p>
            <w:pPr>
              <w:spacing w:after="20" w:before="20"/>
            </w:pPr>
            <w:r/>
            <w:r>
              <w:rPr>
                <w:sz w:val="18"/>
              </w:rPr>
              <w:t>0.055015</w:t>
            </w:r>
          </w:p>
        </w:tc>
        <w:tc>
          <w:tcPr>
            <w:tcW w:type="dxa" w:w="1389"/>
          </w:tcPr>
          <w:p>
            <w:pPr>
              <w:spacing w:after="20" w:before="20"/>
            </w:pPr>
            <w:r/>
            <w:r>
              <w:rPr>
                <w:sz w:val="18"/>
              </w:rPr>
              <w:t>9.2 × 10⁻¹⁶</w:t>
            </w:r>
          </w:p>
        </w:tc>
      </w:tr>
      <w:tr>
        <w:tc>
          <w:tcPr>
            <w:tcW w:type="dxa" w:w="1389"/>
          </w:tcPr>
          <w:p>
            <w:pPr>
              <w:spacing w:after="20" w:before="20"/>
            </w:pPr>
            <w:r/>
            <w:r>
              <w:rPr>
                <w:sz w:val="18"/>
              </w:rPr>
              <w:t>7.50</w:t>
            </w:r>
          </w:p>
        </w:tc>
        <w:tc>
          <w:tcPr>
            <w:tcW w:type="dxa" w:w="1389"/>
          </w:tcPr>
          <w:p>
            <w:pPr>
              <w:spacing w:after="20" w:before="20"/>
            </w:pPr>
            <w:r/>
            <w:r>
              <w:rPr>
                <w:sz w:val="18"/>
              </w:rPr>
              <w:t>108</w:t>
            </w:r>
          </w:p>
        </w:tc>
        <w:tc>
          <w:tcPr>
            <w:tcW w:type="dxa" w:w="1852"/>
          </w:tcPr>
          <w:p>
            <w:pPr>
              <w:spacing w:after="20" w:before="20"/>
            </w:pPr>
            <w:r/>
            <w:r>
              <w:rPr>
                <w:sz w:val="18"/>
              </w:rPr>
              <w:t>0.960076</w:t>
            </w:r>
          </w:p>
        </w:tc>
        <w:tc>
          <w:tcPr>
            <w:tcW w:type="dxa" w:w="1158"/>
          </w:tcPr>
          <w:p>
            <w:pPr>
              <w:spacing w:after="20" w:before="20"/>
            </w:pPr>
            <w:r/>
            <w:r>
              <w:rPr>
                <w:sz w:val="18"/>
              </w:rPr>
              <w:t>3.99 %</w:t>
            </w:r>
          </w:p>
        </w:tc>
        <w:tc>
          <w:tcPr>
            <w:tcW w:type="dxa" w:w="1852"/>
          </w:tcPr>
          <w:p>
            <w:pPr>
              <w:spacing w:after="20" w:before="20"/>
            </w:pPr>
            <w:r/>
            <w:r>
              <w:rPr>
                <w:sz w:val="18"/>
              </w:rPr>
              <w:t>0.039924</w:t>
            </w:r>
          </w:p>
        </w:tc>
        <w:tc>
          <w:tcPr>
            <w:tcW w:type="dxa" w:w="1389"/>
          </w:tcPr>
          <w:p>
            <w:pPr>
              <w:spacing w:after="20" w:before="20"/>
            </w:pPr>
            <w:r/>
            <w:r>
              <w:rPr>
                <w:sz w:val="18"/>
              </w:rPr>
              <w:t>8.2 × 10⁻¹⁶</w:t>
            </w:r>
          </w:p>
        </w:tc>
      </w:tr>
      <w:tr>
        <w:tc>
          <w:tcPr>
            <w:tcW w:type="dxa" w:w="1389"/>
          </w:tcPr>
          <w:p>
            <w:pPr>
              <w:spacing w:after="20" w:before="20"/>
            </w:pPr>
            <w:r/>
            <w:r>
              <w:rPr>
                <w:sz w:val="18"/>
              </w:rPr>
              <w:t>10.00</w:t>
            </w:r>
          </w:p>
        </w:tc>
        <w:tc>
          <w:tcPr>
            <w:tcW w:type="dxa" w:w="1389"/>
          </w:tcPr>
          <w:p>
            <w:pPr>
              <w:spacing w:after="20" w:before="20"/>
            </w:pPr>
            <w:r/>
            <w:r>
              <w:rPr>
                <w:sz w:val="18"/>
              </w:rPr>
              <w:t>144</w:t>
            </w:r>
          </w:p>
        </w:tc>
        <w:tc>
          <w:tcPr>
            <w:tcW w:type="dxa" w:w="1852"/>
          </w:tcPr>
          <w:p>
            <w:pPr>
              <w:spacing w:after="20" w:before="20"/>
            </w:pPr>
            <w:r/>
            <w:r>
              <w:rPr>
                <w:sz w:val="18"/>
              </w:rPr>
              <w:t>0.967804</w:t>
            </w:r>
          </w:p>
        </w:tc>
        <w:tc>
          <w:tcPr>
            <w:tcW w:type="dxa" w:w="1158"/>
          </w:tcPr>
          <w:p>
            <w:pPr>
              <w:spacing w:after="20" w:before="20"/>
            </w:pPr>
            <w:r/>
            <w:r>
              <w:rPr>
                <w:sz w:val="18"/>
              </w:rPr>
              <w:t>3.22 %</w:t>
            </w:r>
          </w:p>
        </w:tc>
        <w:tc>
          <w:tcPr>
            <w:tcW w:type="dxa" w:w="1852"/>
          </w:tcPr>
          <w:p>
            <w:pPr>
              <w:spacing w:after="20" w:before="20"/>
            </w:pPr>
            <w:r/>
            <w:r>
              <w:rPr>
                <w:sz w:val="18"/>
              </w:rPr>
              <w:t>0.032196</w:t>
            </w:r>
          </w:p>
        </w:tc>
        <w:tc>
          <w:tcPr>
            <w:tcW w:type="dxa" w:w="1389"/>
          </w:tcPr>
          <w:p>
            <w:pPr>
              <w:spacing w:after="20" w:before="20"/>
            </w:pPr>
            <w:r/>
            <w:r>
              <w:rPr>
                <w:sz w:val="18"/>
              </w:rPr>
              <w:t>3.8 × 10⁻¹⁶</w:t>
            </w:r>
          </w:p>
        </w:tc>
      </w:tr>
      <w:tr>
        <w:tc>
          <w:tcPr>
            <w:tcW w:type="dxa" w:w="1389"/>
          </w:tcPr>
          <w:p>
            <w:pPr>
              <w:spacing w:after="20" w:before="20"/>
            </w:pPr>
            <w:r/>
            <w:r>
              <w:rPr>
                <w:sz w:val="18"/>
              </w:rPr>
              <w:t>15.00</w:t>
            </w:r>
          </w:p>
        </w:tc>
        <w:tc>
          <w:tcPr>
            <w:tcW w:type="dxa" w:w="1389"/>
          </w:tcPr>
          <w:p>
            <w:pPr>
              <w:spacing w:after="20" w:before="20"/>
            </w:pPr>
            <w:r/>
            <w:r>
              <w:rPr>
                <w:sz w:val="18"/>
              </w:rPr>
              <w:t>216</w:t>
            </w:r>
          </w:p>
        </w:tc>
        <w:tc>
          <w:tcPr>
            <w:tcW w:type="dxa" w:w="1852"/>
          </w:tcPr>
          <w:p>
            <w:pPr>
              <w:spacing w:after="20" w:before="20"/>
            </w:pPr>
            <w:r/>
            <w:r>
              <w:rPr>
                <w:sz w:val="18"/>
              </w:rPr>
              <w:t>0.975657</w:t>
            </w:r>
          </w:p>
        </w:tc>
        <w:tc>
          <w:tcPr>
            <w:tcW w:type="dxa" w:w="1158"/>
          </w:tcPr>
          <w:p>
            <w:pPr>
              <w:spacing w:after="20" w:before="20"/>
            </w:pPr>
            <w:r/>
            <w:r>
              <w:rPr>
                <w:sz w:val="18"/>
              </w:rPr>
              <w:t>2.43 %</w:t>
            </w:r>
          </w:p>
        </w:tc>
        <w:tc>
          <w:tcPr>
            <w:tcW w:type="dxa" w:w="1852"/>
          </w:tcPr>
          <w:p>
            <w:pPr>
              <w:spacing w:after="20" w:before="20"/>
            </w:pPr>
            <w:r/>
            <w:r>
              <w:rPr>
                <w:sz w:val="18"/>
              </w:rPr>
              <w:t>0.024343</w:t>
            </w:r>
          </w:p>
        </w:tc>
        <w:tc>
          <w:tcPr>
            <w:tcW w:type="dxa" w:w="1389"/>
          </w:tcPr>
          <w:p>
            <w:pPr>
              <w:spacing w:after="20" w:before="20"/>
            </w:pPr>
            <w:r/>
            <w:r>
              <w:rPr>
                <w:sz w:val="18"/>
              </w:rPr>
              <w:t>1.0 × 10⁻¹⁶</w:t>
            </w:r>
          </w:p>
        </w:tc>
      </w:tr>
      <w:tr>
        <w:tc>
          <w:tcPr>
            <w:tcW w:type="dxa" w:w="1389"/>
          </w:tcPr>
          <w:p>
            <w:pPr>
              <w:spacing w:after="20" w:before="20"/>
            </w:pPr>
            <w:r/>
            <w:r>
              <w:rPr>
                <w:sz w:val="18"/>
              </w:rPr>
              <w:t>20.00</w:t>
            </w:r>
          </w:p>
        </w:tc>
        <w:tc>
          <w:tcPr>
            <w:tcW w:type="dxa" w:w="1389"/>
          </w:tcPr>
          <w:p>
            <w:pPr>
              <w:spacing w:after="20" w:before="20"/>
            </w:pPr>
            <w:r/>
            <w:r>
              <w:rPr>
                <w:sz w:val="18"/>
              </w:rPr>
              <w:t>289</w:t>
            </w:r>
          </w:p>
        </w:tc>
        <w:tc>
          <w:tcPr>
            <w:tcW w:type="dxa" w:w="1852"/>
          </w:tcPr>
          <w:p>
            <w:pPr>
              <w:spacing w:after="20" w:before="20"/>
            </w:pPr>
            <w:r/>
            <w:r>
              <w:rPr>
                <w:sz w:val="18"/>
              </w:rPr>
              <w:t>0.979631</w:t>
            </w:r>
          </w:p>
        </w:tc>
        <w:tc>
          <w:tcPr>
            <w:tcW w:type="dxa" w:w="1158"/>
          </w:tcPr>
          <w:p>
            <w:pPr>
              <w:spacing w:after="20" w:before="20"/>
            </w:pPr>
            <w:r/>
            <w:r>
              <w:rPr>
                <w:sz w:val="18"/>
              </w:rPr>
              <w:t>2.04 %</w:t>
            </w:r>
          </w:p>
        </w:tc>
        <w:tc>
          <w:tcPr>
            <w:tcW w:type="dxa" w:w="1852"/>
          </w:tcPr>
          <w:p>
            <w:pPr>
              <w:spacing w:after="20" w:before="20"/>
            </w:pPr>
            <w:r/>
            <w:r>
              <w:rPr>
                <w:sz w:val="18"/>
              </w:rPr>
              <w:t>0.020369</w:t>
            </w:r>
          </w:p>
        </w:tc>
        <w:tc>
          <w:tcPr>
            <w:tcW w:type="dxa" w:w="1389"/>
          </w:tcPr>
          <w:p>
            <w:pPr>
              <w:spacing w:after="20" w:before="20"/>
            </w:pPr>
            <w:r/>
            <w:r>
              <w:rPr>
                <w:sz w:val="18"/>
              </w:rPr>
              <w:t>2.6 × 10⁻¹⁶</w:t>
            </w:r>
          </w:p>
        </w:tc>
      </w:tr>
      <w:tr>
        <w:tc>
          <w:tcPr>
            <w:tcW w:type="dxa" w:w="1389"/>
          </w:tcPr>
          <w:p>
            <w:pPr>
              <w:spacing w:after="20" w:before="20"/>
            </w:pPr>
            <w:r/>
            <w:r>
              <w:rPr>
                <w:sz w:val="18"/>
              </w:rPr>
              <w:t>25.00</w:t>
            </w:r>
          </w:p>
        </w:tc>
        <w:tc>
          <w:tcPr>
            <w:tcW w:type="dxa" w:w="1389"/>
          </w:tcPr>
          <w:p>
            <w:pPr>
              <w:spacing w:after="20" w:before="20"/>
            </w:pPr>
            <w:r/>
            <w:r>
              <w:rPr>
                <w:sz w:val="18"/>
              </w:rPr>
              <w:t>361</w:t>
            </w:r>
          </w:p>
        </w:tc>
        <w:tc>
          <w:tcPr>
            <w:tcW w:type="dxa" w:w="1852"/>
          </w:tcPr>
          <w:p>
            <w:pPr>
              <w:spacing w:after="20" w:before="20"/>
            </w:pPr>
            <w:r/>
            <w:r>
              <w:rPr>
                <w:sz w:val="18"/>
              </w:rPr>
              <w:t>0.982032</w:t>
            </w:r>
          </w:p>
        </w:tc>
        <w:tc>
          <w:tcPr>
            <w:tcW w:type="dxa" w:w="1158"/>
          </w:tcPr>
          <w:p>
            <w:pPr>
              <w:spacing w:after="20" w:before="20"/>
            </w:pPr>
            <w:r/>
            <w:r>
              <w:rPr>
                <w:sz w:val="18"/>
              </w:rPr>
              <w:t>1.80 %</w:t>
            </w:r>
          </w:p>
        </w:tc>
        <w:tc>
          <w:tcPr>
            <w:tcW w:type="dxa" w:w="1852"/>
          </w:tcPr>
          <w:p>
            <w:pPr>
              <w:spacing w:after="20" w:before="20"/>
            </w:pPr>
            <w:r/>
            <w:r>
              <w:rPr>
                <w:sz w:val="18"/>
              </w:rPr>
              <w:t>0.017968</w:t>
            </w:r>
          </w:p>
        </w:tc>
        <w:tc>
          <w:tcPr>
            <w:tcW w:type="dxa" w:w="1389"/>
          </w:tcPr>
          <w:p>
            <w:pPr>
              <w:spacing w:after="20" w:before="20"/>
            </w:pPr>
            <w:r/>
            <w:r>
              <w:rPr>
                <w:sz w:val="18"/>
              </w:rPr>
              <w:t>4.3 × 10⁻¹⁶</w:t>
            </w:r>
          </w:p>
        </w:tc>
      </w:tr>
      <w:tr>
        <w:tc>
          <w:tcPr>
            <w:tcW w:type="dxa" w:w="1389"/>
          </w:tcPr>
          <w:p>
            <w:pPr>
              <w:spacing w:after="20" w:before="20"/>
            </w:pPr>
            <w:r/>
            <w:r>
              <w:rPr>
                <w:sz w:val="18"/>
              </w:rPr>
              <w:t>30.00</w:t>
            </w:r>
          </w:p>
        </w:tc>
        <w:tc>
          <w:tcPr>
            <w:tcW w:type="dxa" w:w="1389"/>
          </w:tcPr>
          <w:p>
            <w:pPr>
              <w:spacing w:after="20" w:before="20"/>
            </w:pPr>
            <w:r/>
            <w:r>
              <w:rPr>
                <w:sz w:val="18"/>
              </w:rPr>
              <w:t>433</w:t>
            </w:r>
          </w:p>
        </w:tc>
        <w:tc>
          <w:tcPr>
            <w:tcW w:type="dxa" w:w="1852"/>
          </w:tcPr>
          <w:p>
            <w:pPr>
              <w:spacing w:after="20" w:before="20"/>
            </w:pPr>
            <w:r/>
            <w:r>
              <w:rPr>
                <w:sz w:val="18"/>
              </w:rPr>
              <w:t>0.983638</w:t>
            </w:r>
          </w:p>
        </w:tc>
        <w:tc>
          <w:tcPr>
            <w:tcW w:type="dxa" w:w="1158"/>
          </w:tcPr>
          <w:p>
            <w:pPr>
              <w:spacing w:after="20" w:before="20"/>
            </w:pPr>
            <w:r/>
            <w:r>
              <w:rPr>
                <w:sz w:val="18"/>
              </w:rPr>
              <w:t>1.64 %</w:t>
            </w:r>
          </w:p>
        </w:tc>
        <w:tc>
          <w:tcPr>
            <w:tcW w:type="dxa" w:w="1852"/>
          </w:tcPr>
          <w:p>
            <w:pPr>
              <w:spacing w:after="20" w:before="20"/>
            </w:pPr>
            <w:r/>
            <w:r>
              <w:rPr>
                <w:sz w:val="18"/>
              </w:rPr>
              <w:t>0.016362</w:t>
            </w:r>
          </w:p>
        </w:tc>
        <w:tc>
          <w:tcPr>
            <w:tcW w:type="dxa" w:w="1389"/>
          </w:tcPr>
          <w:p>
            <w:pPr>
              <w:spacing w:after="20" w:before="20"/>
            </w:pPr>
            <w:r/>
            <w:r>
              <w:rPr>
                <w:sz w:val="18"/>
              </w:rPr>
              <w:t>1.0 × 10⁻¹⁶</w:t>
            </w:r>
          </w:p>
        </w:tc>
      </w:tr>
    </w:tbl>
    <w:p>
      <w:pPr>
        <w:spacing w:before="60" w:after="200"/>
        <w:jc w:val="left"/>
      </w:pPr>
      <w:r>
        <w:rPr>
          <w:i/>
          <w:sz w:val="18"/>
        </w:rPr>
        <w:t>Table 19. Systematic error with the guard open, α = 0. Computed two independent ways — from the state-space DC gain and from the closed form of equation (13) — and they agree to machine precision.</w:t>
      </w:r>
    </w:p>
    <w:p>
      <w:pPr>
        <w:spacing w:after="120"/>
      </w:pPr>
      <w:r>
        <w:t>The deficit has a closed form. Writing everything as resistances R = 1/G:</w:t>
      </w:r>
    </w:p>
    <w:p>
      <w:pPr>
        <w:spacing w:before="160" w:after="160"/>
        <w:jc w:val="center"/>
      </w:pPr>
      <w:r>
        <w:rPr>
          <w:rFonts w:ascii="Cambria Math" w:hAnsi="Cambria Math"/>
          <w:sz w:val="24"/>
        </w:rPr>
        <w:t>ε = 1 − G(0) = [ R</w:t>
      </w:r>
      <w:r>
        <w:rPr>
          <w:rFonts w:ascii="Cambria Math" w:hAnsi="Cambria Math"/>
          <w:sz w:val="24"/>
          <w:vertAlign w:val="subscript"/>
        </w:rPr>
        <w:t>adv</w:t>
      </w:r>
      <w:r>
        <w:rPr>
          <w:rFonts w:ascii="Cambria Math" w:hAnsi="Cambria Math"/>
          <w:sz w:val="24"/>
        </w:rPr>
        <w:t xml:space="preserve"> + (1−α)·R</w:t>
      </w:r>
      <w:r>
        <w:rPr>
          <w:rFonts w:ascii="Cambria Math" w:hAnsi="Cambria Math"/>
          <w:sz w:val="24"/>
          <w:vertAlign w:val="subscript"/>
        </w:rPr>
        <w:t>rad</w:t>
      </w:r>
      <w:r>
        <w:rPr>
          <w:rFonts w:ascii="Cambria Math" w:hAnsi="Cambria Math"/>
          <w:sz w:val="24"/>
        </w:rPr>
        <w:t xml:space="preserve"> ] / [ R</w:t>
      </w:r>
      <w:r>
        <w:rPr>
          <w:rFonts w:ascii="Cambria Math" w:hAnsi="Cambria Math"/>
          <w:sz w:val="24"/>
          <w:vertAlign w:val="subscript"/>
        </w:rPr>
        <w:t>adv</w:t>
      </w:r>
      <w:r>
        <w:rPr>
          <w:rFonts w:ascii="Cambria Math" w:hAnsi="Cambria Math"/>
          <w:sz w:val="24"/>
        </w:rPr>
        <w:t xml:space="preserve"> + R</w:t>
      </w:r>
      <w:r>
        <w:rPr>
          <w:rFonts w:ascii="Cambria Math" w:hAnsi="Cambria Math"/>
          <w:sz w:val="24"/>
          <w:vertAlign w:val="subscript"/>
        </w:rPr>
        <w:t>rad</w:t>
      </w:r>
      <w:r>
        <w:rPr>
          <w:rFonts w:ascii="Cambria Math" w:hAnsi="Cambria Math"/>
          <w:sz w:val="24"/>
        </w:rPr>
        <w:t xml:space="preserve"> + R</w:t>
      </w:r>
      <w:r>
        <w:rPr>
          <w:rFonts w:ascii="Cambria Math" w:hAnsi="Cambria Math"/>
          <w:sz w:val="24"/>
          <w:vertAlign w:val="subscript"/>
        </w:rPr>
        <w:t>gap</w:t>
      </w:r>
      <w:r>
        <w:rPr>
          <w:rFonts w:ascii="Cambria Math" w:hAnsi="Cambria Math"/>
          <w:sz w:val="24"/>
        </w:rPr>
        <w:t xml:space="preserve"> + R</w:t>
      </w:r>
      <w:r>
        <w:rPr>
          <w:rFonts w:ascii="Cambria Math" w:hAnsi="Cambria Math"/>
          <w:sz w:val="24"/>
          <w:vertAlign w:val="subscript"/>
        </w:rPr>
        <w:t>out</w:t>
      </w:r>
      <w:r>
        <w:rPr>
          <w:rFonts w:ascii="Cambria Math" w:hAnsi="Cambria Math"/>
          <w:sz w:val="24"/>
        </w:rPr>
        <w:t xml:space="preserve"> ]</w:t>
      </w:r>
      <w:r>
        <w:rPr>
          <w:sz w:val="20"/>
        </w:rPr>
        <w:tab/>
        <w:tab/>
        <w:t>(13)</w:t>
      </w:r>
    </w:p>
    <w:p>
      <w:pPr>
        <w:spacing w:after="120"/>
      </w:pPr>
      <w:r>
        <w:t xml:space="preserve">It is a </w:t>
      </w:r>
      <w:r>
        <w:rPr>
          <w:b/>
        </w:rPr>
        <w:t>leakage divider</w:t>
      </w:r>
      <w:r>
        <w:t>: the reading is short by the ratio of the metered path's resistance to the total resistance of all paths out of the boundary. Four consequences follow immediately:</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3263"/>
            <w:shd w:val="clear" w:color="auto" w:fill="DEEAF6"/>
          </w:tcPr>
          <w:p>
            <w:pPr>
              <w:spacing w:after="20" w:before="20"/>
            </w:pPr>
            <w:r/>
            <w:r>
              <w:rPr>
                <w:b/>
                <w:sz w:val="18"/>
              </w:rPr>
              <w:t>Limit</w:t>
            </w:r>
          </w:p>
        </w:tc>
        <w:tc>
          <w:tcPr>
            <w:tcW w:type="dxa" w:w="1414"/>
            <w:shd w:val="clear" w:color="auto" w:fill="DEEAF6"/>
          </w:tcPr>
          <w:p>
            <w:pPr>
              <w:spacing w:after="20" w:before="20"/>
            </w:pPr>
            <w:r/>
            <w:r>
              <w:rPr>
                <w:b/>
                <w:sz w:val="18"/>
              </w:rPr>
              <w:t>DC gain</w:t>
            </w:r>
          </w:p>
        </w:tc>
        <w:tc>
          <w:tcPr>
            <w:tcW w:type="dxa" w:w="4351"/>
            <w:shd w:val="clear" w:color="auto" w:fill="DEEAF6"/>
          </w:tcPr>
          <w:p>
            <w:pPr>
              <w:spacing w:after="20" w:before="20"/>
            </w:pPr>
            <w:r/>
            <w:r>
              <w:rPr>
                <w:b/>
                <w:sz w:val="18"/>
              </w:rPr>
              <w:t>Why</w:t>
            </w:r>
          </w:p>
        </w:tc>
      </w:tr>
      <w:tr>
        <w:tc>
          <w:tcPr>
            <w:tcW w:type="dxa" w:w="3263"/>
          </w:tcPr>
          <w:p>
            <w:pPr>
              <w:spacing w:after="20" w:before="20"/>
            </w:pPr>
            <w:r/>
            <w:r>
              <w:rPr>
                <w:sz w:val="18"/>
              </w:rPr>
              <w:t>G</w:t>
            </w:r>
            <w:r>
              <w:rPr>
                <w:sz w:val="18"/>
                <w:vertAlign w:val="subscript"/>
              </w:rPr>
              <w:t>gap</w:t>
            </w:r>
            <w:r>
              <w:rPr>
                <w:sz w:val="18"/>
              </w:rPr>
              <w:t xml:space="preserve"> → 0 — a perfect wall, </w:t>
            </w:r>
            <w:r>
              <w:rPr>
                <w:b/>
                <w:sz w:val="18"/>
              </w:rPr>
              <w:t>or a guard that nulls θ</w:t>
            </w:r>
            <w:r>
              <w:rPr>
                <w:b/>
                <w:sz w:val="18"/>
                <w:vertAlign w:val="subscript"/>
              </w:rPr>
              <w:t>i</w:t>
            </w:r>
            <w:r>
              <w:rPr>
                <w:b/>
                <w:sz w:val="18"/>
              </w:rPr>
              <w:t xml:space="preserve"> − θ</w:t>
            </w:r>
            <w:r>
              <w:rPr>
                <w:b/>
                <w:sz w:val="18"/>
                <w:vertAlign w:val="subscript"/>
              </w:rPr>
              <w:t>e</w:t>
            </w:r>
          </w:p>
        </w:tc>
        <w:tc>
          <w:tcPr>
            <w:tcW w:type="dxa" w:w="1414"/>
          </w:tcPr>
          <w:p>
            <w:pPr>
              <w:spacing w:after="20" w:before="20"/>
            </w:pPr>
            <w:r/>
            <w:r>
              <w:rPr>
                <w:b/>
                <w:sz w:val="18"/>
              </w:rPr>
              <w:t>Exactly 1</w:t>
            </w:r>
          </w:p>
        </w:tc>
        <w:tc>
          <w:tcPr>
            <w:tcW w:type="dxa" w:w="4351"/>
          </w:tcPr>
          <w:p>
            <w:pPr>
              <w:spacing w:after="20" w:before="20"/>
            </w:pPr>
            <w:r/>
            <w:r>
              <w:rPr>
                <w:sz w:val="18"/>
              </w:rPr>
              <w:t>No alternative exit exists</w:t>
            </w:r>
          </w:p>
        </w:tc>
      </w:tr>
      <w:tr>
        <w:tc>
          <w:tcPr>
            <w:tcW w:type="dxa" w:w="3263"/>
          </w:tcPr>
          <w:p>
            <w:pPr>
              <w:spacing w:after="20" w:before="20"/>
            </w:pPr>
            <w:r/>
            <w:r>
              <w:rPr>
                <w:sz w:val="18"/>
              </w:rPr>
              <w:t>G</w:t>
            </w:r>
            <w:r>
              <w:rPr>
                <w:sz w:val="18"/>
                <w:vertAlign w:val="subscript"/>
              </w:rPr>
              <w:t>out</w:t>
            </w:r>
            <w:r>
              <w:rPr>
                <w:sz w:val="18"/>
              </w:rPr>
              <w:t xml:space="preserve"> → 0 — the guard sealed from ambient</w:t>
            </w:r>
          </w:p>
        </w:tc>
        <w:tc>
          <w:tcPr>
            <w:tcW w:type="dxa" w:w="1414"/>
          </w:tcPr>
          <w:p>
            <w:pPr>
              <w:spacing w:after="20" w:before="20"/>
            </w:pPr>
            <w:r/>
            <w:r>
              <w:rPr>
                <w:b/>
                <w:sz w:val="18"/>
              </w:rPr>
              <w:t>Exactly 1</w:t>
            </w:r>
          </w:p>
        </w:tc>
        <w:tc>
          <w:tcPr>
            <w:tcW w:type="dxa" w:w="4351"/>
          </w:tcPr>
          <w:p>
            <w:pPr>
              <w:spacing w:after="20" w:before="20"/>
            </w:pPr>
            <w:r/>
            <w:r>
              <w:rPr>
                <w:sz w:val="18"/>
              </w:rPr>
              <w:t>Heat may enter the gap but cannot leave the boundary, so it must come back out through the water</w:t>
            </w:r>
          </w:p>
        </w:tc>
      </w:tr>
      <w:tr>
        <w:tc>
          <w:tcPr>
            <w:tcW w:type="dxa" w:w="3263"/>
          </w:tcPr>
          <w:p>
            <w:pPr>
              <w:spacing w:after="20" w:before="20"/>
            </w:pPr>
            <w:r/>
            <w:r>
              <w:rPr>
                <w:sz w:val="18"/>
              </w:rPr>
              <w:t>Any α, with either of the above</w:t>
            </w:r>
          </w:p>
        </w:tc>
        <w:tc>
          <w:tcPr>
            <w:tcW w:type="dxa" w:w="1414"/>
          </w:tcPr>
          <w:p>
            <w:pPr>
              <w:spacing w:after="20" w:before="20"/>
            </w:pPr>
            <w:r/>
            <w:r>
              <w:rPr>
                <w:b/>
                <w:sz w:val="18"/>
              </w:rPr>
              <w:t>Exactly 1</w:t>
            </w:r>
          </w:p>
        </w:tc>
        <w:tc>
          <w:tcPr>
            <w:tcW w:type="dxa" w:w="4351"/>
          </w:tcPr>
          <w:p>
            <w:pPr>
              <w:spacing w:after="20" w:before="20"/>
            </w:pPr>
            <w:r/>
            <w:r>
              <w:rPr>
                <w:b/>
                <w:sz w:val="18"/>
              </w:rPr>
              <w:t>The meter is physically incapable of telling how the heat reached the water</w:t>
            </w:r>
          </w:p>
        </w:tc>
      </w:tr>
      <w:tr>
        <w:tc>
          <w:tcPr>
            <w:tcW w:type="dxa" w:w="3263"/>
          </w:tcPr>
          <w:p>
            <w:pPr>
              <w:spacing w:after="20" w:before="20"/>
            </w:pPr>
            <w:r/>
            <w:r>
              <w:rPr>
                <w:sz w:val="18"/>
              </w:rPr>
              <w:t>Small G</w:t>
            </w:r>
            <w:r>
              <w:rPr>
                <w:sz w:val="18"/>
                <w:vertAlign w:val="subscript"/>
              </w:rPr>
              <w:t>gap</w:t>
            </w:r>
          </w:p>
        </w:tc>
        <w:tc>
          <w:tcPr>
            <w:tcW w:type="dxa" w:w="1414"/>
          </w:tcPr>
          <w:p>
            <w:pPr>
              <w:spacing w:after="20" w:before="20"/>
            </w:pPr>
            <w:r/>
            <w:r>
              <w:rPr>
                <w:sz w:val="18"/>
              </w:rPr>
              <w:t>1 − G</w:t>
            </w:r>
            <w:r>
              <w:rPr>
                <w:sz w:val="18"/>
                <w:vertAlign w:val="subscript"/>
              </w:rPr>
              <w:t>gap</w:t>
            </w:r>
            <w:r>
              <w:rPr>
                <w:sz w:val="18"/>
              </w:rPr>
              <w:t>·(R</w:t>
            </w:r>
            <w:r>
              <w:rPr>
                <w:sz w:val="18"/>
                <w:vertAlign w:val="subscript"/>
              </w:rPr>
              <w:t>adv</w:t>
            </w:r>
            <w:r>
              <w:rPr>
                <w:sz w:val="18"/>
              </w:rPr>
              <w:t xml:space="preserve"> + (1−α)·R</w:t>
            </w:r>
            <w:r>
              <w:rPr>
                <w:sz w:val="18"/>
                <w:vertAlign w:val="subscript"/>
              </w:rPr>
              <w:t>rad</w:t>
            </w:r>
            <w:r>
              <w:rPr>
                <w:sz w:val="18"/>
              </w:rPr>
              <w:t>)</w:t>
            </w:r>
          </w:p>
        </w:tc>
        <w:tc>
          <w:tcPr>
            <w:tcW w:type="dxa" w:w="4351"/>
          </w:tcPr>
          <w:p>
            <w:pPr>
              <w:spacing w:after="20" w:before="20"/>
            </w:pPr>
            <w:r/>
            <w:r>
              <w:rPr>
                <w:sz w:val="18"/>
              </w:rPr>
              <w:t>The error is first order in the gap conductance — halve the leak, halve the error</w:t>
            </w:r>
          </w:p>
        </w:tc>
      </w:tr>
    </w:tbl>
    <w:p>
      <w:pPr>
        <w:spacing w:before="60" w:after="200"/>
        <w:jc w:val="left"/>
      </w:pPr>
      <w:r>
        <w:rPr>
          <w:i/>
          <w:sz w:val="18"/>
        </w:rPr>
        <w:t>Table 20. Limits of the leakage divider.</w:t>
      </w:r>
    </w:p>
    <w:p>
      <w:pPr>
        <w:spacing w:after="120"/>
      </w:pPr>
      <w:r>
        <w:t xml:space="preserve">The third row is the α-invariance result, and it is what made the copper block optional rather than necessary: </w:t>
      </w:r>
      <w:r>
        <w:rPr>
          <w:b/>
        </w:rPr>
        <w:t>the reading does not depend on how the heat got into the water.</w:t>
      </w:r>
      <w:r>
        <w:t xml:space="preserve"> Verified numerically — at 150 W / 10 K the open-guard gain differs between the two configurations (0.9757 at α = 0, 0.9835 at α = 0.97) but the </w:t>
      </w:r>
      <w:r>
        <w:rPr>
          <w:b/>
        </w:rPr>
        <w:t>closed-loop gain is exactly 1.00000000 in both</w:t>
      </w:r>
      <w:r>
        <w:t>, with a residual error of order 10⁻¹² W, which is integrator convergence, not bias.</w:t>
      </w:r>
    </w:p>
    <w:p>
      <w:pPr>
        <w:pStyle w:val="Heading2"/>
      </w:pPr>
      <w:r>
        <w:t>Guard nulled — the exact meter response</w:t>
      </w:r>
    </w:p>
    <w:p>
      <w:pPr>
        <w:spacing w:after="120"/>
      </w:pPr>
      <w:r>
        <w:t>Under the null gate (θ</w:t>
      </w:r>
      <w:r>
        <w:rPr>
          <w:vertAlign w:val="subscript"/>
        </w:rPr>
        <w:t>e</w:t>
      </w:r>
      <w:r>
        <w:t xml:space="preserve"> ≡ θ</w:t>
      </w:r>
      <w:r>
        <w:rPr>
          <w:vertAlign w:val="subscript"/>
        </w:rPr>
        <w:t>i</w:t>
      </w:r>
      <w:r>
        <w:t>) the G</w:t>
      </w:r>
      <w:r>
        <w:rPr>
          <w:vertAlign w:val="subscript"/>
        </w:rPr>
        <w:t>gap</w:t>
      </w:r>
      <w:r>
        <w:t xml:space="preserve"> terms cancel on both sides and the plant collapses to a 2 × 2. Three DC gains then define the instrument:</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2138"/>
            <w:shd w:val="clear" w:color="auto" w:fill="DEEAF6"/>
          </w:tcPr>
          <w:p>
            <w:pPr>
              <w:spacing w:after="20" w:before="20"/>
            </w:pPr>
            <w:r/>
            <w:r>
              <w:rPr>
                <w:b/>
                <w:sz w:val="18"/>
              </w:rPr>
              <w:t>Channel</w:t>
            </w:r>
          </w:p>
        </w:tc>
        <w:tc>
          <w:tcPr>
            <w:tcW w:type="dxa" w:w="1544"/>
            <w:shd w:val="clear" w:color="auto" w:fill="DEEAF6"/>
          </w:tcPr>
          <w:p>
            <w:pPr>
              <w:spacing w:after="20" w:before="20"/>
            </w:pPr>
            <w:r/>
            <w:r>
              <w:rPr>
                <w:b/>
                <w:sz w:val="18"/>
              </w:rPr>
              <w:t>Value</w:t>
            </w:r>
          </w:p>
        </w:tc>
        <w:tc>
          <w:tcPr>
            <w:tcW w:type="dxa" w:w="5346"/>
            <w:shd w:val="clear" w:color="auto" w:fill="DEEAF6"/>
          </w:tcPr>
          <w:p>
            <w:pPr>
              <w:spacing w:after="20" w:before="20"/>
            </w:pPr>
            <w:r/>
            <w:r>
              <w:rPr>
                <w:b/>
                <w:sz w:val="18"/>
              </w:rPr>
              <w:t>Meaning</w:t>
            </w:r>
          </w:p>
        </w:tc>
      </w:tr>
      <w:tr>
        <w:tc>
          <w:tcPr>
            <w:tcW w:type="dxa" w:w="2138"/>
          </w:tcPr>
          <w:p>
            <w:pPr>
              <w:spacing w:after="20" w:before="20"/>
            </w:pPr>
            <w:r/>
            <w:r>
              <w:rPr>
                <w:sz w:val="18"/>
              </w:rPr>
              <w:t>P</w:t>
            </w:r>
            <w:r>
              <w:rPr>
                <w:sz w:val="18"/>
                <w:vertAlign w:val="subscript"/>
              </w:rPr>
              <w:t>DUT</w:t>
            </w:r>
            <w:r>
              <w:rPr>
                <w:sz w:val="18"/>
              </w:rPr>
              <w:t xml:space="preserve"> → P</w:t>
            </w:r>
            <w:r>
              <w:rPr>
                <w:sz w:val="18"/>
                <w:vertAlign w:val="subscript"/>
              </w:rPr>
              <w:t>meas</w:t>
            </w:r>
          </w:p>
        </w:tc>
        <w:tc>
          <w:tcPr>
            <w:tcW w:type="dxa" w:w="1544"/>
          </w:tcPr>
          <w:p>
            <w:pPr>
              <w:spacing w:after="20" w:before="20"/>
            </w:pPr>
            <w:r/>
            <w:r>
              <w:rPr>
                <w:b/>
                <w:sz w:val="18"/>
              </w:rPr>
              <w:t>1.000000</w:t>
            </w:r>
          </w:p>
        </w:tc>
        <w:tc>
          <w:tcPr>
            <w:tcW w:type="dxa" w:w="5346"/>
          </w:tcPr>
          <w:p>
            <w:pPr>
              <w:spacing w:after="20" w:before="20"/>
            </w:pPr>
            <w:r/>
            <w:r>
              <w:rPr>
                <w:sz w:val="18"/>
              </w:rPr>
              <w:t>Exact, for every α, C</w:t>
            </w:r>
            <w:r>
              <w:rPr>
                <w:sz w:val="18"/>
                <w:vertAlign w:val="subscript"/>
              </w:rPr>
              <w:t>i</w:t>
            </w:r>
            <w:r>
              <w:rPr>
                <w:sz w:val="18"/>
              </w:rPr>
              <w:t>, C</w:t>
            </w:r>
            <w:r>
              <w:rPr>
                <w:sz w:val="18"/>
                <w:vertAlign w:val="subscript"/>
              </w:rPr>
              <w:t>w</w:t>
            </w:r>
            <w:r>
              <w:rPr>
                <w:sz w:val="18"/>
              </w:rPr>
              <w:t>, UA</w:t>
            </w:r>
            <w:r>
              <w:rPr>
                <w:sz w:val="18"/>
                <w:vertAlign w:val="subscript"/>
              </w:rPr>
              <w:t>rad</w:t>
            </w:r>
            <w:r>
              <w:rPr>
                <w:sz w:val="18"/>
              </w:rPr>
              <w:t xml:space="preserve"> and ṁc</w:t>
            </w:r>
            <w:r>
              <w:rPr>
                <w:sz w:val="18"/>
                <w:vertAlign w:val="subscript"/>
              </w:rPr>
              <w:t>p</w:t>
            </w:r>
          </w:p>
        </w:tc>
      </w:tr>
      <w:tr>
        <w:tc>
          <w:tcPr>
            <w:tcW w:type="dxa" w:w="2138"/>
          </w:tcPr>
          <w:p>
            <w:pPr>
              <w:spacing w:after="20" w:before="20"/>
            </w:pPr>
            <w:r/>
            <w:r>
              <w:rPr>
                <w:sz w:val="18"/>
              </w:rPr>
              <w:t>θ</w:t>
            </w:r>
            <w:r>
              <w:rPr>
                <w:sz w:val="18"/>
                <w:vertAlign w:val="subscript"/>
              </w:rPr>
              <w:t>in</w:t>
            </w:r>
            <w:r>
              <w:rPr>
                <w:sz w:val="18"/>
              </w:rPr>
              <w:t xml:space="preserve"> → P</w:t>
            </w:r>
            <w:r>
              <w:rPr>
                <w:sz w:val="18"/>
                <w:vertAlign w:val="subscript"/>
              </w:rPr>
              <w:t>meas</w:t>
            </w:r>
          </w:p>
        </w:tc>
        <w:tc>
          <w:tcPr>
            <w:tcW w:type="dxa" w:w="1544"/>
          </w:tcPr>
          <w:p>
            <w:pPr>
              <w:spacing w:after="20" w:before="20"/>
            </w:pPr>
            <w:r/>
            <w:r>
              <w:rPr>
                <w:b/>
                <w:sz w:val="18"/>
              </w:rPr>
              <w:t>0</w:t>
            </w:r>
          </w:p>
        </w:tc>
        <w:tc>
          <w:tcPr>
            <w:tcW w:type="dxa" w:w="5346"/>
          </w:tcPr>
          <w:p>
            <w:pPr>
              <w:spacing w:after="20" w:before="20"/>
            </w:pPr>
            <w:r/>
            <w:r>
              <w:rPr>
                <w:sz w:val="18"/>
              </w:rPr>
              <w:t>The reading is immune to the water setpoint — so auto-ranging the water ΔT between points is free</w:t>
            </w:r>
          </w:p>
        </w:tc>
      </w:tr>
      <w:tr>
        <w:tc>
          <w:tcPr>
            <w:tcW w:type="dxa" w:w="2138"/>
          </w:tcPr>
          <w:p>
            <w:pPr>
              <w:spacing w:after="20" w:before="20"/>
            </w:pPr>
            <w:r/>
            <w:r>
              <w:rPr>
                <w:sz w:val="18"/>
              </w:rPr>
              <w:t>P</w:t>
            </w:r>
            <w:r>
              <w:rPr>
                <w:sz w:val="18"/>
                <w:vertAlign w:val="subscript"/>
              </w:rPr>
              <w:t>aux</w:t>
            </w:r>
            <w:r>
              <w:rPr>
                <w:sz w:val="18"/>
              </w:rPr>
              <w:t xml:space="preserve"> → P</w:t>
            </w:r>
            <w:r>
              <w:rPr>
                <w:sz w:val="18"/>
                <w:vertAlign w:val="subscript"/>
              </w:rPr>
              <w:t>meas</w:t>
            </w:r>
          </w:p>
        </w:tc>
        <w:tc>
          <w:tcPr>
            <w:tcW w:type="dxa" w:w="1544"/>
          </w:tcPr>
          <w:p>
            <w:pPr>
              <w:spacing w:after="20" w:before="20"/>
            </w:pPr>
            <w:r/>
            <w:r>
              <w:rPr>
                <w:sz w:val="18"/>
              </w:rPr>
              <w:t>≈ 0 (machine precision)</w:t>
            </w:r>
          </w:p>
        </w:tc>
        <w:tc>
          <w:tcPr>
            <w:tcW w:type="dxa" w:w="5346"/>
          </w:tcPr>
          <w:p>
            <w:pPr>
              <w:spacing w:after="20" w:before="20"/>
            </w:pPr>
            <w:r/>
            <w:r>
              <w:rPr>
                <w:sz w:val="18"/>
              </w:rPr>
              <w:t>The D</w:t>
            </w:r>
            <w:r>
              <w:rPr>
                <w:sz w:val="18"/>
                <w:vertAlign w:val="subscript"/>
              </w:rPr>
              <w:t>u</w:t>
            </w:r>
            <w:r>
              <w:rPr>
                <w:sz w:val="18"/>
              </w:rPr>
              <w:t xml:space="preserve"> = −1 subtraction provably works. Delete that one entry and every watt of preheat is reported as DUT loss</w:t>
            </w:r>
          </w:p>
        </w:tc>
      </w:tr>
    </w:tbl>
    <w:p>
      <w:pPr>
        <w:spacing w:before="60" w:after="200"/>
        <w:jc w:val="left"/>
      </w:pPr>
      <w:r>
        <w:rPr>
          <w:i/>
          <w:sz w:val="18"/>
        </w:rPr>
        <w:t>Table 21. The three gains that define the instrument, with the guard nulled.</w:t>
      </w:r>
    </w:p>
    <w:p>
      <w:pPr>
        <w:spacing w:after="120"/>
      </w:pPr>
      <w:r>
        <w:t>The transfer function of the meter, with the guard nulled, is second order with one zero:</w:t>
      </w:r>
    </w:p>
    <w:p>
      <w:pPr>
        <w:spacing w:before="160" w:after="160"/>
        <w:jc w:val="center"/>
      </w:pPr>
      <w:r>
        <w:rPr>
          <w:rFonts w:ascii="Cambria Math" w:hAnsi="Cambria Math"/>
          <w:sz w:val="22"/>
        </w:rPr>
        <w:t>P</w:t>
      </w:r>
      <w:r>
        <w:rPr>
          <w:rFonts w:ascii="Cambria Math" w:hAnsi="Cambria Math"/>
          <w:sz w:val="22"/>
          <w:vertAlign w:val="subscript"/>
        </w:rPr>
        <w:t>meas</w:t>
      </w:r>
      <w:r>
        <w:rPr>
          <w:rFonts w:ascii="Cambria Math" w:hAnsi="Cambria Math"/>
          <w:sz w:val="22"/>
        </w:rPr>
        <w:t>(s)/P</w:t>
      </w:r>
      <w:r>
        <w:rPr>
          <w:rFonts w:ascii="Cambria Math" w:hAnsi="Cambria Math"/>
          <w:sz w:val="22"/>
          <w:vertAlign w:val="subscript"/>
        </w:rPr>
        <w:t>DUT</w:t>
      </w:r>
      <w:r>
        <w:rPr>
          <w:rFonts w:ascii="Cambria Math" w:hAnsi="Cambria Math"/>
          <w:sz w:val="22"/>
        </w:rPr>
        <w:t>(s) = [ 1 + α·(C</w:t>
      </w:r>
      <w:r>
        <w:rPr>
          <w:rFonts w:ascii="Cambria Math" w:hAnsi="Cambria Math"/>
          <w:sz w:val="22"/>
          <w:vertAlign w:val="subscript"/>
        </w:rPr>
        <w:t>i</w:t>
      </w:r>
      <w:r>
        <w:rPr>
          <w:rFonts w:ascii="Cambria Math" w:hAnsi="Cambria Math"/>
          <w:sz w:val="22"/>
        </w:rPr>
        <w:t>/UA</w:t>
      </w:r>
      <w:r>
        <w:rPr>
          <w:rFonts w:ascii="Cambria Math" w:hAnsi="Cambria Math"/>
          <w:sz w:val="22"/>
          <w:vertAlign w:val="subscript"/>
        </w:rPr>
        <w:t>rad</w:t>
      </w:r>
      <w:r>
        <w:rPr>
          <w:rFonts w:ascii="Cambria Math" w:hAnsi="Cambria Math"/>
          <w:sz w:val="22"/>
        </w:rPr>
        <w:t>)·s ] / [ 1 + ((C</w:t>
      </w:r>
      <w:r>
        <w:rPr>
          <w:rFonts w:ascii="Cambria Math" w:hAnsi="Cambria Math"/>
          <w:sz w:val="22"/>
          <w:vertAlign w:val="subscript"/>
        </w:rPr>
        <w:t>i</w:t>
      </w:r>
      <w:r>
        <w:rPr>
          <w:rFonts w:ascii="Cambria Math" w:hAnsi="Cambria Math"/>
          <w:sz w:val="22"/>
        </w:rPr>
        <w:t>+C</w:t>
      </w:r>
      <w:r>
        <w:rPr>
          <w:rFonts w:ascii="Cambria Math" w:hAnsi="Cambria Math"/>
          <w:sz w:val="22"/>
          <w:vertAlign w:val="subscript"/>
        </w:rPr>
        <w:t>w</w:t>
      </w:r>
      <w:r>
        <w:rPr>
          <w:rFonts w:ascii="Cambria Math" w:hAnsi="Cambria Math"/>
          <w:sz w:val="22"/>
        </w:rPr>
        <w:t>)/ṁc</w:t>
      </w:r>
      <w:r>
        <w:rPr>
          <w:rFonts w:ascii="Cambria Math" w:hAnsi="Cambria Math"/>
          <w:sz w:val="22"/>
          <w:vertAlign w:val="subscript"/>
        </w:rPr>
        <w:t>p</w:t>
      </w:r>
      <w:r>
        <w:rPr>
          <w:rFonts w:ascii="Cambria Math" w:hAnsi="Cambria Math"/>
          <w:sz w:val="22"/>
        </w:rPr>
        <w:t xml:space="preserve"> + C</w:t>
      </w:r>
      <w:r>
        <w:rPr>
          <w:rFonts w:ascii="Cambria Math" w:hAnsi="Cambria Math"/>
          <w:sz w:val="22"/>
          <w:vertAlign w:val="subscript"/>
        </w:rPr>
        <w:t>i</w:t>
      </w:r>
      <w:r>
        <w:rPr>
          <w:rFonts w:ascii="Cambria Math" w:hAnsi="Cambria Math"/>
          <w:sz w:val="22"/>
        </w:rPr>
        <w:t>/UA</w:t>
      </w:r>
      <w:r>
        <w:rPr>
          <w:rFonts w:ascii="Cambria Math" w:hAnsi="Cambria Math"/>
          <w:sz w:val="22"/>
          <w:vertAlign w:val="subscript"/>
        </w:rPr>
        <w:t>rad</w:t>
      </w:r>
      <w:r>
        <w:rPr>
          <w:rFonts w:ascii="Cambria Math" w:hAnsi="Cambria Math"/>
          <w:sz w:val="22"/>
        </w:rPr>
        <w:t>)·s + (C</w:t>
      </w:r>
      <w:r>
        <w:rPr>
          <w:rFonts w:ascii="Cambria Math" w:hAnsi="Cambria Math"/>
          <w:sz w:val="22"/>
          <w:vertAlign w:val="subscript"/>
        </w:rPr>
        <w:t>i</w:t>
      </w:r>
      <w:r>
        <w:rPr>
          <w:rFonts w:ascii="Cambria Math" w:hAnsi="Cambria Math"/>
          <w:sz w:val="22"/>
        </w:rPr>
        <w:t>·C</w:t>
      </w:r>
      <w:r>
        <w:rPr>
          <w:rFonts w:ascii="Cambria Math" w:hAnsi="Cambria Math"/>
          <w:sz w:val="22"/>
          <w:vertAlign w:val="subscript"/>
        </w:rPr>
        <w:t>w</w:t>
      </w:r>
      <w:r>
        <w:rPr>
          <w:rFonts w:ascii="Cambria Math" w:hAnsi="Cambria Math"/>
          <w:sz w:val="22"/>
        </w:rPr>
        <w:t>/(UA</w:t>
      </w:r>
      <w:r>
        <w:rPr>
          <w:rFonts w:ascii="Cambria Math" w:hAnsi="Cambria Math"/>
          <w:sz w:val="22"/>
          <w:vertAlign w:val="subscript"/>
        </w:rPr>
        <w:t>rad</w:t>
      </w:r>
      <w:r>
        <w:rPr>
          <w:rFonts w:ascii="Cambria Math" w:hAnsi="Cambria Math"/>
          <w:sz w:val="22"/>
        </w:rPr>
        <w:t>·ṁc</w:t>
      </w:r>
      <w:r>
        <w:rPr>
          <w:rFonts w:ascii="Cambria Math" w:hAnsi="Cambria Math"/>
          <w:sz w:val="22"/>
          <w:vertAlign w:val="subscript"/>
        </w:rPr>
        <w:t>p</w:t>
      </w:r>
      <w:r>
        <w:rPr>
          <w:rFonts w:ascii="Cambria Math" w:hAnsi="Cambria Math"/>
          <w:sz w:val="22"/>
        </w:rPr>
        <w:t>))·s² ]</w:t>
      </w:r>
      <w:r>
        <w:rPr>
          <w:sz w:val="18"/>
        </w:rPr>
        <w:tab/>
        <w:tab/>
        <w:t>(14)</w:t>
      </w:r>
    </w:p>
    <w:p>
      <w:pPr>
        <w:spacing w:after="120"/>
      </w:pPr>
      <w:r>
        <w:t>Its two poles separate cleanly because UA</w:t>
      </w:r>
      <w:r>
        <w:rPr>
          <w:vertAlign w:val="subscript"/>
        </w:rPr>
        <w:t>rad</w:t>
      </w:r>
      <w:r>
        <w:t xml:space="preserve"> ≫ ṁc</w:t>
      </w:r>
      <w:r>
        <w:rPr>
          <w:vertAlign w:val="subscript"/>
        </w:rPr>
        <w:t>p</w:t>
      </w:r>
      <w:r>
        <w:t>:</w:t>
      </w:r>
    </w:p>
    <w:p>
      <w:pPr>
        <w:spacing w:before="160" w:after="160"/>
        <w:jc w:val="center"/>
      </w:pPr>
      <w:r>
        <w:rPr>
          <w:rFonts w:ascii="Cambria Math" w:hAnsi="Cambria Math"/>
          <w:sz w:val="24"/>
        </w:rPr>
        <w:t>τ</w:t>
      </w:r>
      <w:r>
        <w:rPr>
          <w:rFonts w:ascii="Cambria Math" w:hAnsi="Cambria Math"/>
          <w:sz w:val="24"/>
          <w:vertAlign w:val="subscript"/>
        </w:rPr>
        <w:t>fast</w:t>
      </w:r>
      <w:r>
        <w:rPr>
          <w:rFonts w:ascii="Cambria Math" w:hAnsi="Cambria Math"/>
          <w:sz w:val="24"/>
        </w:rPr>
        <w:t xml:space="preserve"> ≈ (1/UA</w:t>
      </w:r>
      <w:r>
        <w:rPr>
          <w:rFonts w:ascii="Cambria Math" w:hAnsi="Cambria Math"/>
          <w:sz w:val="24"/>
          <w:vertAlign w:val="subscript"/>
        </w:rPr>
        <w:t>rad</w:t>
      </w:r>
      <w:r>
        <w:rPr>
          <w:rFonts w:ascii="Cambria Math" w:hAnsi="Cambria Math"/>
          <w:sz w:val="24"/>
        </w:rPr>
        <w:t>)·(1/C</w:t>
      </w:r>
      <w:r>
        <w:rPr>
          <w:rFonts w:ascii="Cambria Math" w:hAnsi="Cambria Math"/>
          <w:sz w:val="24"/>
          <w:vertAlign w:val="subscript"/>
        </w:rPr>
        <w:t>i</w:t>
      </w:r>
      <w:r>
        <w:rPr>
          <w:rFonts w:ascii="Cambria Math" w:hAnsi="Cambria Math"/>
          <w:sz w:val="24"/>
        </w:rPr>
        <w:t xml:space="preserve"> + 1/C</w:t>
      </w:r>
      <w:r>
        <w:rPr>
          <w:rFonts w:ascii="Cambria Math" w:hAnsi="Cambria Math"/>
          <w:sz w:val="24"/>
          <w:vertAlign w:val="subscript"/>
        </w:rPr>
        <w:t>w</w:t>
      </w:r>
      <w:r>
        <w:rPr>
          <w:rFonts w:ascii="Cambria Math" w:hAnsi="Cambria Math"/>
          <w:sz w:val="24"/>
        </w:rPr>
        <w:t>)⁻¹ ≈ 16 s ,    τ</w:t>
      </w:r>
      <w:r>
        <w:rPr>
          <w:rFonts w:ascii="Cambria Math" w:hAnsi="Cambria Math"/>
          <w:sz w:val="24"/>
          <w:vertAlign w:val="subscript"/>
        </w:rPr>
        <w:t>slow</w:t>
      </w:r>
      <w:r>
        <w:rPr>
          <w:rFonts w:ascii="Cambria Math" w:hAnsi="Cambria Math"/>
          <w:sz w:val="24"/>
        </w:rPr>
        <w:t xml:space="preserve"> ≈ (C</w:t>
      </w:r>
      <w:r>
        <w:rPr>
          <w:rFonts w:ascii="Cambria Math" w:hAnsi="Cambria Math"/>
          <w:sz w:val="24"/>
          <w:vertAlign w:val="subscript"/>
        </w:rPr>
        <w:t>i</w:t>
      </w:r>
      <w:r>
        <w:rPr>
          <w:rFonts w:ascii="Cambria Math" w:hAnsi="Cambria Math"/>
          <w:sz w:val="24"/>
        </w:rPr>
        <w:t xml:space="preserve"> + C</w:t>
      </w:r>
      <w:r>
        <w:rPr>
          <w:rFonts w:ascii="Cambria Math" w:hAnsi="Cambria Math"/>
          <w:sz w:val="24"/>
          <w:vertAlign w:val="subscript"/>
        </w:rPr>
        <w:t>w</w:t>
      </w:r>
      <w:r>
        <w:rPr>
          <w:rFonts w:ascii="Cambria Math" w:hAnsi="Cambria Math"/>
          <w:sz w:val="24"/>
        </w:rPr>
        <w:t>)/ṁc</w:t>
      </w:r>
      <w:r>
        <w:rPr>
          <w:rFonts w:ascii="Cambria Math" w:hAnsi="Cambria Math"/>
          <w:sz w:val="24"/>
          <w:vertAlign w:val="subscript"/>
        </w:rPr>
        <w:t>p</w:t>
      </w:r>
    </w:p>
    <w:p>
      <w:pPr>
        <w:spacing w:after="120"/>
      </w:pPr>
      <w:r>
        <w:t>τ</w:t>
      </w:r>
      <w:r>
        <w:rPr>
          <w:vertAlign w:val="subscript"/>
        </w:rPr>
        <w:t>slow</w:t>
      </w:r>
      <w:r>
        <w:t xml:space="preserve"> is the number that sets the schedule: it is the whole thermal mass inside the boundary being swept out through the meter. At 15 W and 43 mL/min that is 2 450/3 = 817 s, which is why the cold corner takes an hour to settle while the hot corner takes ten minutes. The zero sits at α·C</w:t>
      </w:r>
      <w:r>
        <w:rPr>
          <w:vertAlign w:val="subscript"/>
        </w:rPr>
        <w:t>i</w:t>
      </w:r>
      <w:r>
        <w:t>/UA</w:t>
      </w:r>
      <w:r>
        <w:rPr>
          <w:vertAlign w:val="subscript"/>
        </w:rPr>
        <w:t>rad</w:t>
      </w:r>
      <w:r>
        <w:t xml:space="preserve"> — 21 s in the block configuration, and it </w:t>
      </w:r>
      <w:r>
        <w:rPr>
          <w:b/>
        </w:rPr>
        <w:t>disappears entirely at α = 0</w:t>
      </w:r>
      <w:r>
        <w:t>. The split changes the transient; it never changes the answer.</w:t>
      </w:r>
    </w:p>
    <w:p>
      <w:pPr>
        <w:pStyle w:val="Heading2"/>
      </w:pPr>
      <w:r>
        <w:t>The guard loop</w:t>
      </w:r>
    </w:p>
    <w:p>
      <w:pPr>
        <w:spacing w:after="120"/>
      </w:pPr>
      <w:r>
        <w:t>Collecting the θ</w:t>
      </w:r>
      <w:r>
        <w:rPr>
          <w:vertAlign w:val="subscript"/>
        </w:rPr>
        <w:t>e</w:t>
      </w:r>
      <w:r>
        <w:t xml:space="preserve"> terms of (5c) gives the SISO plant the guard controller actually sees:</w:t>
      </w:r>
    </w:p>
    <w:p>
      <w:pPr>
        <w:spacing w:before="160" w:after="160"/>
        <w:jc w:val="center"/>
      </w:pPr>
      <w:r>
        <w:rPr>
          <w:rFonts w:ascii="Cambria Math" w:hAnsi="Cambria Math"/>
          <w:sz w:val="24"/>
        </w:rPr>
        <w:t>θ</w:t>
      </w:r>
      <w:r>
        <w:rPr>
          <w:rFonts w:ascii="Cambria Math" w:hAnsi="Cambria Math"/>
          <w:sz w:val="24"/>
          <w:vertAlign w:val="subscript"/>
        </w:rPr>
        <w:t>e</w:t>
      </w:r>
      <w:r>
        <w:rPr>
          <w:rFonts w:ascii="Cambria Math" w:hAnsi="Cambria Math"/>
          <w:sz w:val="24"/>
        </w:rPr>
        <w:t>(s) = [ K</w:t>
      </w:r>
      <w:r>
        <w:rPr>
          <w:rFonts w:ascii="Cambria Math" w:hAnsi="Cambria Math"/>
          <w:sz w:val="24"/>
          <w:vertAlign w:val="subscript"/>
        </w:rPr>
        <w:t>e</w:t>
      </w:r>
      <w:r>
        <w:rPr>
          <w:rFonts w:ascii="Cambria Math" w:hAnsi="Cambria Math"/>
          <w:sz w:val="24"/>
        </w:rPr>
        <w:t>/(τ</w:t>
      </w:r>
      <w:r>
        <w:rPr>
          <w:rFonts w:ascii="Cambria Math" w:hAnsi="Cambria Math"/>
          <w:sz w:val="24"/>
          <w:vertAlign w:val="subscript"/>
        </w:rPr>
        <w:t>e</w:t>
      </w:r>
      <w:r>
        <w:rPr>
          <w:rFonts w:ascii="Cambria Math" w:hAnsi="Cambria Math"/>
          <w:sz w:val="24"/>
        </w:rPr>
        <w:t>·s + 1) ]·P</w:t>
      </w:r>
      <w:r>
        <w:rPr>
          <w:rFonts w:ascii="Cambria Math" w:hAnsi="Cambria Math"/>
          <w:sz w:val="24"/>
          <w:vertAlign w:val="subscript"/>
        </w:rPr>
        <w:t>e</w:t>
      </w:r>
      <w:r>
        <w:rPr>
          <w:rFonts w:ascii="Cambria Math" w:hAnsi="Cambria Math"/>
          <w:sz w:val="24"/>
        </w:rPr>
        <w:t>(s) + [ β/(τ</w:t>
      </w:r>
      <w:r>
        <w:rPr>
          <w:rFonts w:ascii="Cambria Math" w:hAnsi="Cambria Math"/>
          <w:sz w:val="24"/>
          <w:vertAlign w:val="subscript"/>
        </w:rPr>
        <w:t>e</w:t>
      </w:r>
      <w:r>
        <w:rPr>
          <w:rFonts w:ascii="Cambria Math" w:hAnsi="Cambria Math"/>
          <w:sz w:val="24"/>
        </w:rPr>
        <w:t>·s + 1) ]·θ</w:t>
      </w:r>
      <w:r>
        <w:rPr>
          <w:rFonts w:ascii="Cambria Math" w:hAnsi="Cambria Math"/>
          <w:sz w:val="24"/>
          <w:vertAlign w:val="subscript"/>
        </w:rPr>
        <w:t>i</w:t>
      </w:r>
      <w:r>
        <w:rPr>
          <w:rFonts w:ascii="Cambria Math" w:hAnsi="Cambria Math"/>
          <w:sz w:val="24"/>
        </w:rPr>
        <w:t>(s)</w:t>
      </w:r>
      <w:r>
        <w:rPr>
          <w:sz w:val="20"/>
        </w:rPr>
        <w:tab/>
        <w:tab/>
        <w:t>(15)</w:t>
      </w:r>
    </w:p>
    <w:p>
      <w:pPr>
        <w:spacing w:before="160" w:after="160"/>
        <w:jc w:val="center"/>
      </w:pPr>
      <w:r>
        <w:rPr>
          <w:rFonts w:ascii="Cambria Math" w:hAnsi="Cambria Math"/>
          <w:sz w:val="24"/>
        </w:rPr>
        <w:t>K</w:t>
      </w:r>
      <w:r>
        <w:rPr>
          <w:rFonts w:ascii="Cambria Math" w:hAnsi="Cambria Math"/>
          <w:sz w:val="24"/>
          <w:vertAlign w:val="subscript"/>
        </w:rPr>
        <w:t>e</w:t>
      </w:r>
      <w:r>
        <w:rPr>
          <w:rFonts w:ascii="Cambria Math" w:hAnsi="Cambria Math"/>
          <w:sz w:val="24"/>
        </w:rPr>
        <w:t xml:space="preserve"> = 1/(G</w:t>
      </w:r>
      <w:r>
        <w:rPr>
          <w:rFonts w:ascii="Cambria Math" w:hAnsi="Cambria Math"/>
          <w:sz w:val="24"/>
          <w:vertAlign w:val="subscript"/>
        </w:rPr>
        <w:t>gap</w:t>
      </w:r>
      <w:r>
        <w:rPr>
          <w:rFonts w:ascii="Cambria Math" w:hAnsi="Cambria Math"/>
          <w:sz w:val="24"/>
        </w:rPr>
        <w:t xml:space="preserve"> + G</w:t>
      </w:r>
      <w:r>
        <w:rPr>
          <w:rFonts w:ascii="Cambria Math" w:hAnsi="Cambria Math"/>
          <w:sz w:val="24"/>
          <w:vertAlign w:val="subscript"/>
        </w:rPr>
        <w:t>out</w:t>
      </w:r>
      <w:r>
        <w:rPr>
          <w:rFonts w:ascii="Cambria Math" w:hAnsi="Cambria Math"/>
          <w:sz w:val="24"/>
        </w:rPr>
        <w:t>) = 0.990 K/W ,   τ</w:t>
      </w:r>
      <w:r>
        <w:rPr>
          <w:rFonts w:ascii="Cambria Math" w:hAnsi="Cambria Math"/>
          <w:sz w:val="24"/>
          <w:vertAlign w:val="subscript"/>
        </w:rPr>
        <w:t>e</w:t>
      </w:r>
      <w:r>
        <w:rPr>
          <w:rFonts w:ascii="Cambria Math" w:hAnsi="Cambria Math"/>
          <w:sz w:val="24"/>
        </w:rPr>
        <w:t xml:space="preserve"> = C</w:t>
      </w:r>
      <w:r>
        <w:rPr>
          <w:rFonts w:ascii="Cambria Math" w:hAnsi="Cambria Math"/>
          <w:sz w:val="24"/>
          <w:vertAlign w:val="subscript"/>
        </w:rPr>
        <w:t>e</w:t>
      </w:r>
      <w:r>
        <w:rPr>
          <w:rFonts w:ascii="Cambria Math" w:hAnsi="Cambria Math"/>
          <w:sz w:val="24"/>
        </w:rPr>
        <w:t>/(G</w:t>
      </w:r>
      <w:r>
        <w:rPr>
          <w:rFonts w:ascii="Cambria Math" w:hAnsi="Cambria Math"/>
          <w:sz w:val="24"/>
          <w:vertAlign w:val="subscript"/>
        </w:rPr>
        <w:t>gap</w:t>
      </w:r>
      <w:r>
        <w:rPr>
          <w:rFonts w:ascii="Cambria Math" w:hAnsi="Cambria Math"/>
          <w:sz w:val="24"/>
        </w:rPr>
        <w:t xml:space="preserve"> + G</w:t>
      </w:r>
      <w:r>
        <w:rPr>
          <w:rFonts w:ascii="Cambria Math" w:hAnsi="Cambria Math"/>
          <w:sz w:val="24"/>
          <w:vertAlign w:val="subscript"/>
        </w:rPr>
        <w:t>out</w:t>
      </w:r>
      <w:r>
        <w:rPr>
          <w:rFonts w:ascii="Cambria Math" w:hAnsi="Cambria Math"/>
          <w:sz w:val="24"/>
        </w:rPr>
        <w:t>) = 297 s ,   β = G</w:t>
      </w:r>
      <w:r>
        <w:rPr>
          <w:rFonts w:ascii="Cambria Math" w:hAnsi="Cambria Math"/>
          <w:sz w:val="24"/>
          <w:vertAlign w:val="subscript"/>
        </w:rPr>
        <w:t>gap</w:t>
      </w:r>
      <w:r>
        <w:rPr>
          <w:rFonts w:ascii="Cambria Math" w:hAnsi="Cambria Math"/>
          <w:sz w:val="24"/>
        </w:rPr>
        <w:t>/(G</w:t>
      </w:r>
      <w:r>
        <w:rPr>
          <w:rFonts w:ascii="Cambria Math" w:hAnsi="Cambria Math"/>
          <w:sz w:val="24"/>
          <w:vertAlign w:val="subscript"/>
        </w:rPr>
        <w:t>gap</w:t>
      </w:r>
      <w:r>
        <w:rPr>
          <w:rFonts w:ascii="Cambria Math" w:hAnsi="Cambria Math"/>
          <w:sz w:val="24"/>
        </w:rPr>
        <w:t xml:space="preserve"> + G</w:t>
      </w:r>
      <w:r>
        <w:rPr>
          <w:rFonts w:ascii="Cambria Math" w:hAnsi="Cambria Math"/>
          <w:sz w:val="24"/>
          <w:vertAlign w:val="subscript"/>
        </w:rPr>
        <w:t>out</w:t>
      </w:r>
      <w:r>
        <w:rPr>
          <w:rFonts w:ascii="Cambria Math" w:hAnsi="Cambria Math"/>
          <w:sz w:val="24"/>
        </w:rPr>
        <w:t>) = 0.554</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β = 0.554 is why the guard exists — and why proportional control is not enough</w:t>
            </w:r>
          </w:p>
          <w:p>
            <w:pPr>
              <w:spacing w:after="40"/>
            </w:pPr>
            <w:r>
              <w:rPr>
                <w:sz w:val="19"/>
              </w:rPr>
              <w:t>Left unpowered, the gap settles at only 55 % of the chamber's temperature rise, because it loses the rest to the room through G</w:t>
            </w:r>
            <w:r>
              <w:rPr>
                <w:sz w:val="19"/>
                <w:vertAlign w:val="subscript"/>
              </w:rPr>
              <w:t>out</w:t>
            </w:r>
            <w:r>
              <w:rPr>
                <w:sz w:val="19"/>
              </w:rPr>
              <w:t>. A pure proportional controller leaves a steady-state error of (1−β) divided by the loop gain, and that error is a permanent leak straight into the reading. The integrator is not a refinement — it is the accuracy. §7.8 prices it.</w:t>
            </w:r>
          </w:p>
        </w:tc>
      </w:tr>
    </w:tbl>
    <w:p>
      <w:pPr>
        <w:spacing w:after="80"/>
      </w:pPr>
    </w:p>
    <w:p>
      <w:pPr>
        <w:spacing w:after="120"/>
      </w:pPr>
      <w:r>
        <w:t>The controller is tuned by the λ-rule (internal model control), which sets one knob — the desired closed-loop time constant λ</w:t>
      </w:r>
      <w:r>
        <w:rPr>
          <w:vertAlign w:val="subscript"/>
        </w:rPr>
        <w:t>g</w:t>
      </w:r>
      <w:r>
        <w:t xml:space="preserve"> — and derives both gains from the identified plant:</w:t>
      </w:r>
    </w:p>
    <w:p>
      <w:pPr>
        <w:spacing w:before="160" w:after="160"/>
        <w:jc w:val="center"/>
      </w:pPr>
      <w:r>
        <w:rPr>
          <w:rFonts w:ascii="Cambria Math" w:hAnsi="Cambria Math"/>
          <w:sz w:val="24"/>
        </w:rPr>
        <w:t>K</w:t>
      </w:r>
      <w:r>
        <w:rPr>
          <w:rFonts w:ascii="Cambria Math" w:hAnsi="Cambria Math"/>
          <w:sz w:val="24"/>
          <w:vertAlign w:val="subscript"/>
        </w:rPr>
        <w:t>p,g</w:t>
      </w:r>
      <w:r>
        <w:rPr>
          <w:rFonts w:ascii="Cambria Math" w:hAnsi="Cambria Math"/>
          <w:sz w:val="24"/>
        </w:rPr>
        <w:t xml:space="preserve"> = τ</w:t>
      </w:r>
      <w:r>
        <w:rPr>
          <w:rFonts w:ascii="Cambria Math" w:hAnsi="Cambria Math"/>
          <w:sz w:val="24"/>
          <w:vertAlign w:val="subscript"/>
        </w:rPr>
        <w:t>e</w:t>
      </w:r>
      <w:r>
        <w:rPr>
          <w:rFonts w:ascii="Cambria Math" w:hAnsi="Cambria Math"/>
          <w:sz w:val="24"/>
        </w:rPr>
        <w:t>/(K</w:t>
      </w:r>
      <w:r>
        <w:rPr>
          <w:rFonts w:ascii="Cambria Math" w:hAnsi="Cambria Math"/>
          <w:sz w:val="24"/>
          <w:vertAlign w:val="subscript"/>
        </w:rPr>
        <w:t>e</w:t>
      </w:r>
      <w:r>
        <w:rPr>
          <w:rFonts w:ascii="Cambria Math" w:hAnsi="Cambria Math"/>
          <w:sz w:val="24"/>
        </w:rPr>
        <w:t>·λ</w:t>
      </w:r>
      <w:r>
        <w:rPr>
          <w:rFonts w:ascii="Cambria Math" w:hAnsi="Cambria Math"/>
          <w:sz w:val="24"/>
          <w:vertAlign w:val="subscript"/>
        </w:rPr>
        <w:t>g</w:t>
      </w:r>
      <w:r>
        <w:rPr>
          <w:rFonts w:ascii="Cambria Math" w:hAnsi="Cambria Math"/>
          <w:sz w:val="24"/>
        </w:rPr>
        <w:t xml:space="preserve">) = 297/(0.990 × 60) = </w:t>
      </w:r>
      <w:r>
        <w:rPr>
          <w:rFonts w:ascii="Cambria Math" w:hAnsi="Cambria Math"/>
          <w:b/>
          <w:sz w:val="24"/>
        </w:rPr>
        <w:t>5.000 W/K</w:t>
      </w:r>
      <w:r>
        <w:rPr>
          <w:rFonts w:ascii="Cambria Math" w:hAnsi="Cambria Math"/>
          <w:sz w:val="24"/>
        </w:rPr>
        <w:t xml:space="preserve"> ,   K</w:t>
      </w:r>
      <w:r>
        <w:rPr>
          <w:rFonts w:ascii="Cambria Math" w:hAnsi="Cambria Math"/>
          <w:sz w:val="24"/>
          <w:vertAlign w:val="subscript"/>
        </w:rPr>
        <w:t>i,g</w:t>
      </w:r>
      <w:r>
        <w:rPr>
          <w:rFonts w:ascii="Cambria Math" w:hAnsi="Cambria Math"/>
          <w:sz w:val="24"/>
        </w:rPr>
        <w:t xml:space="preserve"> = K</w:t>
      </w:r>
      <w:r>
        <w:rPr>
          <w:rFonts w:ascii="Cambria Math" w:hAnsi="Cambria Math"/>
          <w:sz w:val="24"/>
          <w:vertAlign w:val="subscript"/>
        </w:rPr>
        <w:t>p,g</w:t>
      </w:r>
      <w:r>
        <w:rPr>
          <w:rFonts w:ascii="Cambria Math" w:hAnsi="Cambria Math"/>
          <w:sz w:val="24"/>
        </w:rPr>
        <w:t>/τ</w:t>
      </w:r>
      <w:r>
        <w:rPr>
          <w:rFonts w:ascii="Cambria Math" w:hAnsi="Cambria Math"/>
          <w:sz w:val="24"/>
          <w:vertAlign w:val="subscript"/>
        </w:rPr>
        <w:t>e</w:t>
      </w:r>
      <w:r>
        <w:rPr>
          <w:rFonts w:ascii="Cambria Math" w:hAnsi="Cambria Math"/>
          <w:sz w:val="24"/>
        </w:rPr>
        <w:t xml:space="preserve"> = </w:t>
      </w:r>
      <w:r>
        <w:rPr>
          <w:rFonts w:ascii="Cambria Math" w:hAnsi="Cambria Math"/>
          <w:b/>
          <w:sz w:val="24"/>
        </w:rPr>
        <w:t>0.01683 W/(K·s)</w:t>
      </w:r>
      <w:r>
        <w:rPr>
          <w:sz w:val="20"/>
        </w:rPr>
        <w:tab/>
        <w:tab/>
        <w:t>(16)</w:t>
      </w:r>
    </w:p>
    <w:p>
      <w:pPr>
        <w:spacing w:after="120"/>
      </w:pPr>
      <w:r>
        <w:t>λ</w:t>
      </w:r>
      <w:r>
        <w:rPr>
          <w:vertAlign w:val="subscript"/>
        </w:rPr>
        <w:t>g</w:t>
      </w:r>
      <w:r>
        <w:t xml:space="preserve"> = 60 s is chosen as roughly a fifth of the open-loop τ</w:t>
      </w:r>
      <w:r>
        <w:rPr>
          <w:vertAlign w:val="subscript"/>
        </w:rPr>
        <w:t>e</w:t>
      </w:r>
      <w:r>
        <w:t xml:space="preserve"> — fast enough that the guard follows a moving chamber temperature, slow enough not to amplify sensor noise on a difference of two temperatures. Two nonlinearities sit on top and are mandatory:</w:t>
      </w:r>
    </w:p>
    <w:p>
      <w:pPr>
        <w:spacing w:after="60" w:before="0"/>
        <w:ind w:left="720" w:hanging="360"/>
      </w:pPr>
      <w:r>
        <w:t>•</w:t>
        <w:tab/>
      </w:r>
      <w:r>
        <w:rPr>
          <w:b/>
        </w:rPr>
        <w:t>Saturation, [0, P</w:t>
      </w:r>
      <w:r>
        <w:rPr>
          <w:b/>
          <w:vertAlign w:val="subscript"/>
        </w:rPr>
        <w:t>max</w:t>
      </w:r>
      <w:r>
        <w:rPr>
          <w:b/>
        </w:rPr>
        <w:t>].</w:t>
      </w:r>
      <w:r>
        <w:t xml:space="preserve"> The floor is </w:t>
      </w:r>
      <w:r>
        <w:rPr>
          <w:b/>
        </w:rPr>
        <w:t>zero, not −P</w:t>
      </w:r>
      <w:r>
        <w:rPr>
          <w:b/>
          <w:vertAlign w:val="subscript"/>
        </w:rPr>
        <w:t>max</w:t>
      </w:r>
      <w:r>
        <w:t>: heaters cannot cool. After a load dump the guard has no authority at all and the gap must bleed off through G</w:t>
      </w:r>
      <w:r>
        <w:rPr>
          <w:vertAlign w:val="subscript"/>
        </w:rPr>
        <w:t>out</w:t>
      </w:r>
      <w:r>
        <w:t xml:space="preserve"> on its own, which is slow. This is a real operational limit, visible in Figures 5 and 6.</w:t>
      </w:r>
    </w:p>
    <w:p>
      <w:pPr>
        <w:spacing w:after="60" w:before="0"/>
        <w:ind w:left="720" w:hanging="360"/>
      </w:pPr>
      <w:r>
        <w:t>•</w:t>
        <w:tab/>
      </w:r>
      <w:r>
        <w:rPr>
          <w:b/>
        </w:rPr>
        <w:t>Anti-windup, by back-calculation.</w:t>
      </w:r>
      <w:r>
        <w:t xml:space="preserve"> The integrator is what makes the instrument exact, so the moment the heater clips, the thing that guarantees accuracy stops accumulating correctly unless it is explicitly unwound. The implementation adds (P</w:t>
      </w:r>
      <w:r>
        <w:rPr>
          <w:vertAlign w:val="subscript"/>
        </w:rPr>
        <w:t>e</w:t>
      </w:r>
      <w:r>
        <w:t xml:space="preserve"> − v)/T</w:t>
      </w:r>
      <w:r>
        <w:rPr>
          <w:vertAlign w:val="subscript"/>
        </w:rPr>
        <w:t>t</w:t>
      </w:r>
      <w:r>
        <w:t xml:space="preserve"> to the integrator rate, with T</w:t>
      </w:r>
      <w:r>
        <w:rPr>
          <w:vertAlign w:val="subscript"/>
        </w:rPr>
        <w:t>t</w:t>
      </w:r>
      <w:r>
        <w:t xml:space="preserve"> = K</w:t>
      </w:r>
      <w:r>
        <w:rPr>
          <w:vertAlign w:val="subscript"/>
        </w:rPr>
        <w:t>p</w:t>
      </w:r>
      <w:r>
        <w:t>/K</w:t>
      </w:r>
      <w:r>
        <w:rPr>
          <w:vertAlign w:val="subscript"/>
        </w:rPr>
        <w:t>i</w:t>
      </w:r>
      <w:r>
        <w:t xml:space="preserve"> = τ</w:t>
      </w:r>
      <w:r>
        <w:rPr>
          <w:vertAlign w:val="subscript"/>
        </w:rPr>
        <w:t>e</w:t>
      </w:r>
      <w:r>
        <w:t>, which is exactly zero whenever the output is not clipped.</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The closed loop may oscillate — and that is not a fault</w:t>
            </w:r>
          </w:p>
          <w:p>
            <w:pPr>
              <w:spacing w:after="40"/>
            </w:pPr>
            <w:r>
              <w:rPr>
                <w:sz w:val="19"/>
              </w:rPr>
              <w:t>The structural audit of Table 17 asserts that all eigenvalues are real, on the grounds that a purely dissipative single-domain network has nothing to trade energy with. That is true of the plant, and only of the plant. Once the guard PI is closed, the integrator is a second storage type — energy moves between the gap's thermal capacitance C</w:t>
            </w:r>
            <w:r>
              <w:rPr>
                <w:sz w:val="19"/>
                <w:vertAlign w:val="subscript"/>
              </w:rPr>
              <w:t>e</w:t>
            </w:r>
            <w:r>
              <w:rPr>
                <w:sz w:val="19"/>
              </w:rPr>
              <w:t xml:space="preserve"> and the controller's accumulated error, exactly as it does between L and C in a resonant circuit — and the closed loop legitimately acquires a complex pole pair. The audit must therefore never be run on the closed-loop matrix: complex eigenvalues in the </w:t>
            </w:r>
            <w:r>
              <w:rPr>
                <w:b/>
                <w:sz w:val="19"/>
              </w:rPr>
              <w:t>plant</w:t>
            </w:r>
            <w:r>
              <w:rPr>
                <w:sz w:val="19"/>
              </w:rPr>
              <w:t xml:space="preserve"> mean a sign error; complex eigenvalues in the </w:t>
            </w:r>
            <w:r>
              <w:rPr>
                <w:b/>
                <w:sz w:val="19"/>
              </w:rPr>
              <w:t>closed loop</w:t>
            </w:r>
            <w:r>
              <w:rPr>
                <w:sz w:val="19"/>
              </w:rPr>
              <w:t xml:space="preserve"> mean you have a controller. A damping ratio near 0.7 is well tuned; much below 0.4 says to slow λ</w:t>
            </w:r>
            <w:r>
              <w:rPr>
                <w:sz w:val="19"/>
                <w:vertAlign w:val="subscript"/>
              </w:rPr>
              <w:t>g</w:t>
            </w:r>
            <w:r>
              <w:rPr>
                <w:sz w:val="19"/>
              </w:rPr>
              <w:t xml:space="preserve"> down.</w:t>
            </w:r>
          </w:p>
        </w:tc>
      </w:tr>
    </w:tbl>
    <w:p>
      <w:pPr>
        <w:spacing w:after="80"/>
      </w:pPr>
    </w:p>
    <w:p>
      <w:pPr>
        <w:spacing w:after="120"/>
      </w:pPr>
      <w:r>
        <w:t>An optional feedforward term, P</w:t>
      </w:r>
      <w:r>
        <w:rPr>
          <w:vertAlign w:val="subscript"/>
        </w:rPr>
        <w:t>ff</w:t>
      </w:r>
      <w:r>
        <w:t xml:space="preserve"> = G</w:t>
      </w:r>
      <w:r>
        <w:rPr>
          <w:vertAlign w:val="subscript"/>
        </w:rPr>
        <w:t>out</w:t>
      </w:r>
      <w:r>
        <w:t>·(θ</w:t>
      </w:r>
      <w:r>
        <w:rPr>
          <w:vertAlign w:val="subscript"/>
        </w:rPr>
        <w:t>target</w:t>
      </w:r>
      <w:r>
        <w:t xml:space="preserve">), can be added. It is free insurance: its DC gain to the reading's error is </w:t>
      </w:r>
      <w:r>
        <w:rPr>
          <w:b/>
        </w:rPr>
        <w:t>exactly zero</w:t>
      </w:r>
      <w:r>
        <w:t>, so a wrong G</w:t>
      </w:r>
      <w:r>
        <w:rPr>
          <w:vertAlign w:val="subscript"/>
        </w:rPr>
        <w:t>out</w:t>
      </w:r>
      <w:r>
        <w:t>, a wrong ambient or a stale load estimate degrade the transient null error and nothing else. The integrator owns the steady null.</w:t>
      </w:r>
    </w:p>
    <w:p>
      <w:pPr>
        <w:pStyle w:val="Heading2"/>
      </w:pPr>
      <w:r>
        <w:t>What is deliberately not modelled</w:t>
      </w:r>
    </w:p>
    <w:p>
      <w:pPr>
        <w:spacing w:after="120"/>
      </w:pPr>
      <w:r>
        <w:t>Two rules keep the model from growing without improving:</w:t>
      </w:r>
    </w:p>
    <w:p>
      <w:pPr>
        <w:spacing w:after="60" w:before="0"/>
        <w:ind w:left="720" w:hanging="360"/>
      </w:pPr>
      <w:r>
        <w:t>•</w:t>
        <w:tab/>
      </w:r>
      <w:r>
        <w:rPr>
          <w:b/>
        </w:rPr>
        <w:t>Anything whose datasheet or measured rating is the decision property.</w:t>
      </w:r>
      <w:r>
        <w:t xml:space="preserve"> The radiator is a UA figure, not a fin geometry; the pump is a flow band and a steps-per-millilitre constant, not an impeller; the foam is a λ and a thickness, not a microstructure; radiation is a grey ε, not a spectrum. The justification is that commissioning measures the </w:t>
      </w:r>
      <w:r>
        <w:rPr>
          <w:b/>
        </w:rPr>
        <w:t>assembled</w:t>
      </w:r>
      <w:r>
        <w:t xml:space="preserve"> C and G, so every sub-component detail is absorbed into two calibrated numbers — modelling it twice would add error, not fidelity.</w:t>
      </w:r>
    </w:p>
    <w:p>
      <w:pPr>
        <w:spacing w:after="60" w:before="0"/>
        <w:ind w:left="720" w:hanging="360"/>
      </w:pPr>
      <w:r>
        <w:t>•</w:t>
        <w:tab/>
      </w:r>
      <w:r>
        <w:rPr>
          <w:b/>
        </w:rPr>
        <w:t>Anything below the error floor.</w:t>
      </w:r>
      <w:r>
        <w:t xml:space="preserve"> The standing promotion rule: a neglected effect earns a state or an error term only when its worst case exceeds about 10 % of P</w:t>
      </w:r>
      <w:r>
        <w:rPr>
          <w:vertAlign w:val="subscript"/>
        </w:rPr>
        <w:t>acc</w:t>
      </w:r>
      <w:r>
        <w:t>, i.e. 0.1 W. Checked and dismissed on that basis: chamber-air c</w:t>
      </w:r>
      <w:r>
        <w:rPr>
          <w:vertAlign w:val="subscript"/>
        </w:rPr>
        <w:t>p</w:t>
      </w:r>
      <w:r>
        <w:t xml:space="preserve"> versus c</w:t>
      </w:r>
      <w:r>
        <w:rPr>
          <w:vertAlign w:val="subscript"/>
        </w:rPr>
        <w:t>v</w:t>
      </w:r>
      <w:r>
        <w:t>, pump-head enthalpy, radiation through opaque foam, barometric drift, c</w:t>
      </w:r>
      <w:r>
        <w:rPr>
          <w:vertAlign w:val="subscript"/>
        </w:rPr>
        <w:t>p,w</w:t>
      </w:r>
      <w:r>
        <w:t>(T) beyond evaluating at the mean, and the DUT's internal thermal structure.</w:t>
      </w:r>
    </w:p>
    <w:p>
      <w:pPr>
        <w:spacing w:after="120"/>
      </w:pPr>
      <w:r>
        <w:t>Four effects are genuinely nonlinear and are handled in the simulation rather than in the matrices: heater saturation, anti-windup, the bilinearity of ṁ (it multiplies a state, so the model is LTI only at a frozen flow — which is the operating protocol anyway), and sensor quantisation.</w:t>
      </w:r>
    </w:p>
    <w:p>
      <w:pPr>
        <w:pStyle w:val="Heading1"/>
      </w:pPr>
      <w:r>
        <w:t>System Simulation in Python</w:t>
      </w:r>
    </w:p>
    <w:p>
      <w:pPr>
        <w:pStyle w:val="Heading2"/>
      </w:pPr>
      <w:r>
        <w:t>Purpose and scope</w:t>
      </w:r>
    </w:p>
    <w:p>
      <w:pPr>
        <w:spacing w:after="120"/>
      </w:pPr>
      <w:r>
        <w:t>The simulation exists to answer questions the algebra cannot: what the settling schedule actually is, how large the guard heater has to be, how big the transient null error gets before the loop catches up, and what happens when the actuator saturates. Saturation and anti-windup are not linear, so they cannot live inside A — which is why the model is integrated numerically rather than solved with a step-response function. Inside the limits it is exactly the LTI model of §6; outside them it is a different one.</w:t>
      </w:r>
    </w:p>
    <w:p>
      <w:pPr>
        <w:pStyle w:val="Heading2"/>
      </w:pPr>
      <w:r>
        <w:t>Files and how to run it</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1832"/>
            <w:shd w:val="clear" w:color="auto" w:fill="DEEAF6"/>
          </w:tcPr>
          <w:p>
            <w:pPr>
              <w:spacing w:after="20" w:before="20"/>
            </w:pPr>
            <w:r/>
            <w:r>
              <w:rPr>
                <w:b/>
                <w:sz w:val="18"/>
              </w:rPr>
              <w:t>File</w:t>
            </w:r>
          </w:p>
        </w:tc>
        <w:tc>
          <w:tcPr>
            <w:tcW w:type="dxa" w:w="7197"/>
            <w:shd w:val="clear" w:color="auto" w:fill="DEEAF6"/>
          </w:tcPr>
          <w:p>
            <w:pPr>
              <w:spacing w:after="20" w:before="20"/>
            </w:pPr>
            <w:r/>
            <w:r>
              <w:rPr>
                <w:b/>
                <w:sz w:val="18"/>
              </w:rPr>
              <w:t>Role</w:t>
            </w:r>
          </w:p>
        </w:tc>
      </w:tr>
      <w:tr>
        <w:tc>
          <w:tcPr>
            <w:tcW w:type="dxa" w:w="1832"/>
          </w:tcPr>
          <w:p>
            <w:pPr>
              <w:spacing w:after="20" w:before="20"/>
            </w:pPr>
            <w:r/>
            <w:r>
              <w:rPr>
                <w:rFonts w:ascii="Consolas" w:hAnsi="Consolas"/>
                <w:sz w:val="18"/>
              </w:rPr>
              <w:t>calorimetry-ss.py</w:t>
            </w:r>
          </w:p>
        </w:tc>
        <w:tc>
          <w:tcPr>
            <w:tcW w:type="dxa" w:w="7197"/>
          </w:tcPr>
          <w:p>
            <w:pPr>
              <w:spacing w:after="20" w:before="20"/>
            </w:pPr>
            <w:r/>
            <w:r>
              <w:rPr>
                <w:sz w:val="18"/>
              </w:rPr>
              <w:t>The L1 plant. Builds A, B</w:t>
            </w:r>
            <w:r>
              <w:rPr>
                <w:sz w:val="18"/>
                <w:vertAlign w:val="subscript"/>
              </w:rPr>
              <w:t>u</w:t>
            </w:r>
            <w:r>
              <w:rPr>
                <w:sz w:val="18"/>
              </w:rPr>
              <w:t>, B</w:t>
            </w:r>
            <w:r>
              <w:rPr>
                <w:sz w:val="18"/>
                <w:vertAlign w:val="subscript"/>
              </w:rPr>
              <w:t>d</w:t>
            </w:r>
            <w:r>
              <w:rPr>
                <w:sz w:val="18"/>
              </w:rPr>
              <w:t>, C, D</w:t>
            </w:r>
            <w:r>
              <w:rPr>
                <w:sz w:val="18"/>
                <w:vertAlign w:val="subscript"/>
              </w:rPr>
              <w:t>u</w:t>
            </w:r>
            <w:r>
              <w:rPr>
                <w:sz w:val="18"/>
              </w:rPr>
              <w:t>, D</w:t>
            </w:r>
            <w:r>
              <w:rPr>
                <w:sz w:val="18"/>
                <w:vertAlign w:val="subscript"/>
              </w:rPr>
              <w:t>d</w:t>
            </w:r>
            <w:r>
              <w:rPr>
                <w:sz w:val="18"/>
              </w:rPr>
              <w:t xml:space="preserve"> at a frozen flow; runs the structural audit of Table 17 as assertions; provides unit helpers (mL/min ↔ kg/s ↔ W/K) and the modal decomposition. Runnable on its own — it prints the modes, the open-guard DC gains and a corner sweep.</w:t>
            </w:r>
          </w:p>
        </w:tc>
      </w:tr>
      <w:tr>
        <w:tc>
          <w:tcPr>
            <w:tcW w:type="dxa" w:w="1832"/>
          </w:tcPr>
          <w:p>
            <w:pPr>
              <w:spacing w:after="20" w:before="20"/>
            </w:pPr>
            <w:r/>
            <w:r>
              <w:rPr>
                <w:rFonts w:ascii="Consolas" w:hAnsi="Consolas"/>
                <w:sz w:val="18"/>
              </w:rPr>
              <w:t>calorimetry_sim.py</w:t>
            </w:r>
          </w:p>
        </w:tc>
        <w:tc>
          <w:tcPr>
            <w:tcW w:type="dxa" w:w="7197"/>
          </w:tcPr>
          <w:p>
            <w:pPr>
              <w:spacing w:after="20" w:before="20"/>
            </w:pPr>
            <w:r/>
            <w:r>
              <w:rPr>
                <w:b/>
                <w:sz w:val="18"/>
              </w:rPr>
              <w:t>The main script.</w:t>
            </w:r>
            <w:r>
              <w:rPr>
                <w:sz w:val="18"/>
              </w:rPr>
              <w:t xml:space="preserve"> Wraps the guard PI, saturation and anti-windup around that plant, integrates the resulting 4-state system, rebuilds every probe signal from the trajectory, prints the probe map and writes the figures.</w:t>
            </w:r>
          </w:p>
        </w:tc>
      </w:tr>
      <w:tr>
        <w:tc>
          <w:tcPr>
            <w:tcW w:type="dxa" w:w="1832"/>
          </w:tcPr>
          <w:p>
            <w:pPr>
              <w:spacing w:after="20" w:before="20"/>
            </w:pPr>
            <w:r/>
            <w:r>
              <w:rPr>
                <w:rFonts w:ascii="Consolas" w:hAnsi="Consolas"/>
                <w:sz w:val="18"/>
              </w:rPr>
              <w:t>params.yaml</w:t>
            </w:r>
          </w:p>
        </w:tc>
        <w:tc>
          <w:tcPr>
            <w:tcW w:type="dxa" w:w="7197"/>
          </w:tcPr>
          <w:p>
            <w:pPr>
              <w:spacing w:after="20" w:before="20"/>
            </w:pPr>
            <w:r/>
            <w:r>
              <w:rPr>
                <w:sz w:val="18"/>
              </w:rPr>
              <w:t>Every parameter, with its kind tag. Nothing numeric is hard-coded in either script.</w:t>
            </w:r>
          </w:p>
        </w:tc>
      </w:tr>
    </w:tbl>
    <w:p>
      <w:pPr>
        <w:spacing w:before="60" w:after="200"/>
        <w:jc w:val="left"/>
      </w:pPr>
      <w:r>
        <w:rPr>
          <w:i/>
          <w:sz w:val="18"/>
        </w:rPr>
        <w:t xml:space="preserve">Table 22. The three source files, in </w:t>
      </w:r>
      <w:r>
        <w:rPr>
          <w:rFonts w:ascii="Consolas" w:hAnsi="Consolas"/>
          <w:i/>
          <w:sz w:val="18"/>
        </w:rPr>
        <w:t>~/roboteq/python/</w:t>
      </w:r>
      <w:r>
        <w:rPr>
          <w:i/>
          <w:sz w:val="18"/>
        </w:rPr>
        <w:t>.</w:t>
      </w:r>
    </w:p>
    <w:p>
      <w:pPr>
        <w:spacing w:after="0" w:before="0" w:line="240" w:lineRule="auto"/>
        <w:ind w:left="288"/>
      </w:pPr>
      <w:r>
        <w:rPr>
          <w:rFonts w:ascii="Consolas" w:hAnsi="Consolas"/>
          <w:sz w:val="18"/>
        </w:rPr>
        <w:t>$ cd ~/roboteq/python</w:t>
      </w:r>
    </w:p>
    <w:p>
      <w:pPr>
        <w:spacing w:after="0" w:before="0" w:line="240" w:lineRule="auto"/>
        <w:ind w:left="288"/>
      </w:pPr>
      <w:r>
        <w:rPr>
          <w:rFonts w:ascii="Consolas" w:hAnsi="Consolas"/>
          <w:sz w:val="18"/>
        </w:rPr>
        <w:t>$ python calorimetry_sim.py            # uses the defaults at the top of the file</w:t>
      </w:r>
    </w:p>
    <w:p>
      <w:pPr>
        <w:spacing w:after="160" w:before="0" w:line="240" w:lineRule="auto"/>
        <w:ind w:left="288"/>
      </w:pPr>
      <w:r>
        <w:rPr>
          <w:rFonts w:ascii="Consolas" w:hAnsi="Consolas"/>
          <w:sz w:val="18"/>
        </w:rPr>
        <w:t>$ python calorimetry_sim.py 300 12     # or: P_DUT = 300 W, water dT = 12 K</w:t>
      </w:r>
    </w:p>
    <w:p>
      <w:pPr>
        <w:spacing w:after="120"/>
      </w:pPr>
      <w:r>
        <w:t xml:space="preserve">Dependencies are </w:t>
      </w:r>
      <w:r>
        <w:rPr>
          <w:rFonts w:ascii="Consolas" w:hAnsi="Consolas"/>
          <w:sz w:val="19"/>
        </w:rPr>
        <w:t>numpy</w:t>
      </w:r>
      <w:r>
        <w:t xml:space="preserve">, </w:t>
      </w:r>
      <w:r>
        <w:rPr>
          <w:rFonts w:ascii="Consolas" w:hAnsi="Consolas"/>
          <w:sz w:val="19"/>
        </w:rPr>
        <w:t>matplotlib</w:t>
      </w:r>
      <w:r>
        <w:t xml:space="preserve">, </w:t>
      </w:r>
      <w:r>
        <w:rPr>
          <w:rFonts w:ascii="Consolas" w:hAnsi="Consolas"/>
          <w:sz w:val="19"/>
        </w:rPr>
        <w:t>pyyaml</w:t>
      </w:r>
      <w:r>
        <w:t xml:space="preserve"> and </w:t>
      </w:r>
      <w:r>
        <w:rPr>
          <w:rFonts w:ascii="Consolas" w:hAnsi="Consolas"/>
          <w:sz w:val="19"/>
        </w:rPr>
        <w:t>python-control</w:t>
      </w:r>
      <w:r>
        <w:t xml:space="preserve">. The script checks for all four against the interpreter that is actually running it and prints the exact </w:t>
      </w:r>
      <w:r>
        <w:rPr>
          <w:rFonts w:ascii="Consolas" w:hAnsi="Consolas"/>
          <w:sz w:val="19"/>
        </w:rPr>
        <w:t>pip</w:t>
      </w:r>
      <w:r>
        <w:t xml:space="preserve"> line to fix a missing one, because the common failure here is having the packages installed against a different Python than the one being invoked. It also verifies that its output directory is writable before doing any work, and reports the size and wall-clock timestamp of every figure it writes — so that a figure that did not change can be distinguished from a viewer that is caching.</w:t>
      </w:r>
    </w:p>
    <w:p>
      <w:pPr>
        <w:pStyle w:val="Heading2"/>
      </w:pPr>
      <w:r>
        <w:t>The parameter file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2069"/>
            <w:shd w:val="clear" w:color="auto" w:fill="DEEAF6"/>
          </w:tcPr>
          <w:p>
            <w:pPr>
              <w:spacing w:after="20" w:before="20"/>
            </w:pPr>
            <w:r/>
            <w:r>
              <w:rPr>
                <w:b/>
                <w:sz w:val="17"/>
              </w:rPr>
              <w:t>Parameter</w:t>
            </w:r>
          </w:p>
        </w:tc>
        <w:tc>
          <w:tcPr>
            <w:tcW w:type="dxa" w:w="2069"/>
            <w:shd w:val="clear" w:color="auto" w:fill="DEEAF6"/>
          </w:tcPr>
          <w:p>
            <w:pPr>
              <w:spacing w:after="20" w:before="20"/>
            </w:pPr>
            <w:r/>
            <w:r>
              <w:rPr>
                <w:b/>
                <w:sz w:val="17"/>
              </w:rPr>
              <w:t>Value</w:t>
            </w:r>
          </w:p>
        </w:tc>
        <w:tc>
          <w:tcPr>
            <w:tcW w:type="dxa" w:w="1129"/>
            <w:shd w:val="clear" w:color="auto" w:fill="DEEAF6"/>
          </w:tcPr>
          <w:p>
            <w:pPr>
              <w:spacing w:after="20" w:before="20"/>
            </w:pPr>
            <w:r/>
            <w:r>
              <w:rPr>
                <w:b/>
                <w:sz w:val="17"/>
              </w:rPr>
              <w:t>Kind</w:t>
            </w:r>
          </w:p>
        </w:tc>
        <w:tc>
          <w:tcPr>
            <w:tcW w:type="dxa" w:w="3762"/>
            <w:shd w:val="clear" w:color="auto" w:fill="DEEAF6"/>
          </w:tcPr>
          <w:p>
            <w:pPr>
              <w:spacing w:after="20" w:before="20"/>
            </w:pPr>
            <w:r/>
            <w:r>
              <w:rPr>
                <w:b/>
                <w:sz w:val="17"/>
              </w:rPr>
              <w:t>Note</w:t>
            </w:r>
          </w:p>
        </w:tc>
      </w:tr>
      <w:tr>
        <w:tc>
          <w:tcPr>
            <w:tcW w:type="dxa" w:w="2069"/>
          </w:tcPr>
          <w:p>
            <w:pPr>
              <w:spacing w:after="20" w:before="20"/>
            </w:pPr>
            <w:r/>
            <w:r>
              <w:rPr>
                <w:rFonts w:ascii="Consolas" w:hAnsi="Consolas"/>
                <w:sz w:val="17"/>
              </w:rPr>
              <w:t>C_i</w:t>
            </w:r>
            <w:r>
              <w:rPr>
                <w:sz w:val="17"/>
              </w:rPr>
              <w:t xml:space="preserve">, </w:t>
            </w:r>
            <w:r>
              <w:rPr>
                <w:rFonts w:ascii="Consolas" w:hAnsi="Consolas"/>
                <w:sz w:val="17"/>
              </w:rPr>
              <w:t>C_w</w:t>
            </w:r>
            <w:r>
              <w:rPr>
                <w:sz w:val="17"/>
              </w:rPr>
              <w:t xml:space="preserve">, </w:t>
            </w:r>
            <w:r>
              <w:rPr>
                <w:rFonts w:ascii="Consolas" w:hAnsi="Consolas"/>
                <w:sz w:val="17"/>
              </w:rPr>
              <w:t>C_e</w:t>
            </w:r>
            <w:r>
              <w:rPr>
                <w:sz w:val="17"/>
              </w:rPr>
              <w:t xml:space="preserve">, </w:t>
            </w:r>
            <w:r>
              <w:rPr>
                <w:rFonts w:ascii="Consolas" w:hAnsi="Consolas"/>
                <w:sz w:val="17"/>
              </w:rPr>
              <w:t>C_r</w:t>
            </w:r>
          </w:p>
        </w:tc>
        <w:tc>
          <w:tcPr>
            <w:tcW w:type="dxa" w:w="2069"/>
          </w:tcPr>
          <w:p>
            <w:pPr>
              <w:spacing w:after="20" w:before="20"/>
            </w:pPr>
            <w:r/>
            <w:r>
              <w:rPr>
                <w:sz w:val="17"/>
              </w:rPr>
              <w:t>650, 1800, 300, 2000 J/K</w:t>
            </w:r>
          </w:p>
        </w:tc>
        <w:tc>
          <w:tcPr>
            <w:tcW w:type="dxa" w:w="1129"/>
          </w:tcPr>
          <w:p>
            <w:pPr>
              <w:spacing w:after="20" w:before="20"/>
            </w:pPr>
            <w:r/>
            <w:r>
              <w:rPr>
                <w:sz w:val="17"/>
              </w:rPr>
              <w:t>estimate</w:t>
            </w:r>
          </w:p>
        </w:tc>
        <w:tc>
          <w:tcPr>
            <w:tcW w:type="dxa" w:w="3762"/>
          </w:tcPr>
          <w:p>
            <w:pPr>
              <w:spacing w:after="20" w:before="20"/>
            </w:pPr>
            <w:r/>
            <w:r>
              <w:rPr>
                <w:sz w:val="17"/>
              </w:rPr>
              <w:t>Node capacitances; C</w:t>
            </w:r>
            <w:r>
              <w:rPr>
                <w:sz w:val="17"/>
                <w:vertAlign w:val="subscript"/>
              </w:rPr>
              <w:t>r</w:t>
            </w:r>
            <w:r>
              <w:rPr>
                <w:sz w:val="17"/>
              </w:rPr>
              <w:t xml:space="preserve"> is the reject-side reservoir</w:t>
            </w:r>
          </w:p>
        </w:tc>
      </w:tr>
      <w:tr>
        <w:tc>
          <w:tcPr>
            <w:tcW w:type="dxa" w:w="2069"/>
          </w:tcPr>
          <w:p>
            <w:pPr>
              <w:spacing w:after="20" w:before="20"/>
            </w:pPr>
            <w:r/>
            <w:r>
              <w:rPr>
                <w:rFonts w:ascii="Consolas" w:hAnsi="Consolas"/>
                <w:sz w:val="17"/>
              </w:rPr>
              <w:t>UA_rad</w:t>
            </w:r>
          </w:p>
        </w:tc>
        <w:tc>
          <w:tcPr>
            <w:tcW w:type="dxa" w:w="2069"/>
          </w:tcPr>
          <w:p>
            <w:pPr>
              <w:spacing w:after="20" w:before="20"/>
            </w:pPr>
            <w:r/>
            <w:r>
              <w:rPr>
                <w:sz w:val="17"/>
              </w:rPr>
              <w:t>30 W/K</w:t>
            </w:r>
          </w:p>
        </w:tc>
        <w:tc>
          <w:tcPr>
            <w:tcW w:type="dxa" w:w="1129"/>
          </w:tcPr>
          <w:p>
            <w:pPr>
              <w:spacing w:after="20" w:before="20"/>
            </w:pPr>
            <w:r/>
            <w:r>
              <w:rPr>
                <w:sz w:val="17"/>
              </w:rPr>
              <w:t>estimate</w:t>
            </w:r>
          </w:p>
        </w:tc>
        <w:tc>
          <w:tcPr>
            <w:tcW w:type="dxa" w:w="3762"/>
          </w:tcPr>
          <w:p>
            <w:pPr>
              <w:spacing w:after="20" w:before="20"/>
            </w:pPr>
            <w:r/>
            <w:r>
              <w:rPr>
                <w:sz w:val="17"/>
              </w:rPr>
              <w:t>Air ↔ water bridge</w:t>
            </w:r>
          </w:p>
        </w:tc>
      </w:tr>
      <w:tr>
        <w:tc>
          <w:tcPr>
            <w:tcW w:type="dxa" w:w="2069"/>
          </w:tcPr>
          <w:p>
            <w:pPr>
              <w:spacing w:after="20" w:before="20"/>
            </w:pPr>
            <w:r/>
            <w:r>
              <w:rPr>
                <w:rFonts w:ascii="Consolas" w:hAnsi="Consolas"/>
                <w:sz w:val="17"/>
              </w:rPr>
              <w:t>G_gap</w:t>
            </w:r>
          </w:p>
        </w:tc>
        <w:tc>
          <w:tcPr>
            <w:tcW w:type="dxa" w:w="2069"/>
          </w:tcPr>
          <w:p>
            <w:pPr>
              <w:spacing w:after="20" w:before="20"/>
            </w:pPr>
            <w:r/>
            <w:r>
              <w:rPr>
                <w:sz w:val="17"/>
              </w:rPr>
              <w:t>0.56 W/K</w:t>
            </w:r>
          </w:p>
        </w:tc>
        <w:tc>
          <w:tcPr>
            <w:tcW w:type="dxa" w:w="1129"/>
          </w:tcPr>
          <w:p>
            <w:pPr>
              <w:spacing w:after="20" w:before="20"/>
            </w:pPr>
            <w:r/>
            <w:r>
              <w:rPr>
                <w:sz w:val="17"/>
              </w:rPr>
              <w:t>estimate</w:t>
            </w:r>
          </w:p>
        </w:tc>
        <w:tc>
          <w:tcPr>
            <w:tcW w:type="dxa" w:w="3762"/>
          </w:tcPr>
          <w:p>
            <w:pPr>
              <w:spacing w:after="20" w:before="20"/>
            </w:pPr>
            <w:r/>
            <w:r>
              <w:rPr>
                <w:b/>
                <w:sz w:val="17"/>
              </w:rPr>
              <w:t>The leak</w:t>
            </w:r>
          </w:p>
        </w:tc>
      </w:tr>
      <w:tr>
        <w:tc>
          <w:tcPr>
            <w:tcW w:type="dxa" w:w="2069"/>
          </w:tcPr>
          <w:p>
            <w:pPr>
              <w:spacing w:after="20" w:before="20"/>
            </w:pPr>
            <w:r/>
            <w:r>
              <w:rPr>
                <w:rFonts w:ascii="Consolas" w:hAnsi="Consolas"/>
                <w:sz w:val="17"/>
              </w:rPr>
              <w:t>G_out</w:t>
            </w:r>
          </w:p>
        </w:tc>
        <w:tc>
          <w:tcPr>
            <w:tcW w:type="dxa" w:w="2069"/>
          </w:tcPr>
          <w:p>
            <w:pPr>
              <w:spacing w:after="20" w:before="20"/>
            </w:pPr>
            <w:r/>
            <w:r>
              <w:rPr>
                <w:sz w:val="17"/>
              </w:rPr>
              <w:t>0.45 W/K</w:t>
            </w:r>
          </w:p>
        </w:tc>
        <w:tc>
          <w:tcPr>
            <w:tcW w:type="dxa" w:w="1129"/>
          </w:tcPr>
          <w:p>
            <w:pPr>
              <w:spacing w:after="20" w:before="20"/>
            </w:pPr>
            <w:r/>
            <w:r>
              <w:rPr>
                <w:sz w:val="17"/>
              </w:rPr>
              <w:t>estimate</w:t>
            </w:r>
          </w:p>
        </w:tc>
        <w:tc>
          <w:tcPr>
            <w:tcW w:type="dxa" w:w="3762"/>
          </w:tcPr>
          <w:p>
            <w:pPr>
              <w:spacing w:after="20" w:before="20"/>
            </w:pPr>
            <w:r/>
            <w:r>
              <w:rPr>
                <w:sz w:val="17"/>
              </w:rPr>
              <w:t>Gap → ambient</w:t>
            </w:r>
          </w:p>
        </w:tc>
      </w:tr>
      <w:tr>
        <w:tc>
          <w:tcPr>
            <w:tcW w:type="dxa" w:w="2069"/>
          </w:tcPr>
          <w:p>
            <w:pPr>
              <w:spacing w:after="20" w:before="20"/>
            </w:pPr>
            <w:r/>
            <w:r>
              <w:rPr>
                <w:rFonts w:ascii="Consolas" w:hAnsi="Consolas"/>
                <w:sz w:val="17"/>
              </w:rPr>
              <w:t>alpha</w:t>
            </w:r>
          </w:p>
        </w:tc>
        <w:tc>
          <w:tcPr>
            <w:tcW w:type="dxa" w:w="2069"/>
          </w:tcPr>
          <w:p>
            <w:pPr>
              <w:spacing w:after="20" w:before="20"/>
            </w:pPr>
            <w:r/>
            <w:r>
              <w:rPr>
                <w:sz w:val="17"/>
              </w:rPr>
              <w:t>0.97</w:t>
            </w:r>
          </w:p>
        </w:tc>
        <w:tc>
          <w:tcPr>
            <w:tcW w:type="dxa" w:w="1129"/>
          </w:tcPr>
          <w:p>
            <w:pPr>
              <w:spacing w:after="20" w:before="20"/>
            </w:pPr>
            <w:r/>
            <w:r>
              <w:rPr>
                <w:sz w:val="17"/>
              </w:rPr>
              <w:t>design pick</w:t>
            </w:r>
          </w:p>
        </w:tc>
        <w:tc>
          <w:tcPr>
            <w:tcW w:type="dxa" w:w="3762"/>
          </w:tcPr>
          <w:p>
            <w:pPr>
              <w:spacing w:after="20" w:before="20"/>
            </w:pPr>
            <w:r/>
            <w:r>
              <w:rPr>
                <w:b/>
                <w:sz w:val="17"/>
              </w:rPr>
              <w:t>Stale — the shipping configuration is 0.0.</w:t>
            </w:r>
            <w:r>
              <w:rPr>
                <w:sz w:val="17"/>
              </w:rPr>
              <w:t xml:space="preserve"> See the note in §4.7</w:t>
            </w:r>
          </w:p>
        </w:tc>
      </w:tr>
      <w:tr>
        <w:tc>
          <w:tcPr>
            <w:tcW w:type="dxa" w:w="2069"/>
          </w:tcPr>
          <w:p>
            <w:pPr>
              <w:spacing w:after="20" w:before="20"/>
            </w:pPr>
            <w:r/>
            <w:r>
              <w:rPr>
                <w:rFonts w:ascii="Consolas" w:hAnsi="Consolas"/>
                <w:sz w:val="17"/>
              </w:rPr>
              <w:t>c_p_w</w:t>
            </w:r>
            <w:r>
              <w:rPr>
                <w:sz w:val="17"/>
              </w:rPr>
              <w:t xml:space="preserve">, </w:t>
            </w:r>
            <w:r>
              <w:rPr>
                <w:rFonts w:ascii="Consolas" w:hAnsi="Consolas"/>
                <w:sz w:val="17"/>
              </w:rPr>
              <w:t>rho_w</w:t>
            </w:r>
          </w:p>
        </w:tc>
        <w:tc>
          <w:tcPr>
            <w:tcW w:type="dxa" w:w="2069"/>
          </w:tcPr>
          <w:p>
            <w:pPr>
              <w:spacing w:after="20" w:before="20"/>
            </w:pPr>
            <w:r/>
            <w:r>
              <w:rPr>
                <w:sz w:val="17"/>
              </w:rPr>
              <w:t>4180 J/kg·K, 995 kg/m³</w:t>
            </w:r>
          </w:p>
        </w:tc>
        <w:tc>
          <w:tcPr>
            <w:tcW w:type="dxa" w:w="1129"/>
          </w:tcPr>
          <w:p>
            <w:pPr>
              <w:spacing w:after="20" w:before="20"/>
            </w:pPr>
            <w:r/>
            <w:r>
              <w:rPr>
                <w:sz w:val="17"/>
              </w:rPr>
              <w:t>property</w:t>
            </w:r>
          </w:p>
        </w:tc>
        <w:tc>
          <w:tcPr>
            <w:tcW w:type="dxa" w:w="3762"/>
          </w:tcPr>
          <w:p>
            <w:pPr>
              <w:spacing w:after="20" w:before="20"/>
            </w:pPr>
            <w:r/>
            <w:r>
              <w:rPr>
                <w:sz w:val="17"/>
              </w:rPr>
              <w:t>Water at ~305 K</w:t>
            </w:r>
          </w:p>
        </w:tc>
      </w:tr>
      <w:tr>
        <w:tc>
          <w:tcPr>
            <w:tcW w:type="dxa" w:w="2069"/>
          </w:tcPr>
          <w:p>
            <w:pPr>
              <w:spacing w:after="20" w:before="20"/>
            </w:pPr>
            <w:r/>
            <w:r>
              <w:rPr>
                <w:rFonts w:ascii="Consolas" w:hAnsi="Consolas"/>
                <w:sz w:val="17"/>
              </w:rPr>
              <w:t>mdot</w:t>
            </w:r>
          </w:p>
        </w:tc>
        <w:tc>
          <w:tcPr>
            <w:tcW w:type="dxa" w:w="2069"/>
          </w:tcPr>
          <w:p>
            <w:pPr>
              <w:spacing w:after="20" w:before="20"/>
            </w:pPr>
            <w:r/>
            <w:r>
              <w:rPr>
                <w:sz w:val="17"/>
              </w:rPr>
              <w:t>0.00358852 kg/s</w:t>
            </w:r>
          </w:p>
        </w:tc>
        <w:tc>
          <w:tcPr>
            <w:tcW w:type="dxa" w:w="1129"/>
          </w:tcPr>
          <w:p>
            <w:pPr>
              <w:spacing w:after="20" w:before="20"/>
            </w:pPr>
            <w:r/>
            <w:r>
              <w:rPr>
                <w:sz w:val="17"/>
              </w:rPr>
              <w:t>estimate</w:t>
            </w:r>
          </w:p>
        </w:tc>
        <w:tc>
          <w:tcPr>
            <w:tcW w:type="dxa" w:w="3762"/>
          </w:tcPr>
          <w:p>
            <w:pPr>
              <w:spacing w:after="20" w:before="20"/>
            </w:pPr>
            <w:r/>
            <w:r>
              <w:rPr>
                <w:sz w:val="17"/>
              </w:rPr>
              <w:t>Nominal only. Not a free parameter — the supervisor derives it per range as ṁ = P/(c</w:t>
            </w:r>
            <w:r>
              <w:rPr>
                <w:sz w:val="17"/>
                <w:vertAlign w:val="subscript"/>
              </w:rPr>
              <w:t>p</w:t>
            </w:r>
            <w:r>
              <w:rPr>
                <w:sz w:val="17"/>
              </w:rPr>
              <w:t>·ΔT</w:t>
            </w:r>
            <w:r>
              <w:rPr>
                <w:sz w:val="17"/>
                <w:vertAlign w:val="subscript"/>
              </w:rPr>
              <w:t>set</w:t>
            </w:r>
            <w:r>
              <w:rPr>
                <w:sz w:val="17"/>
              </w:rPr>
              <w:t>). This value is the 150 W / 10 K corner</w:t>
            </w:r>
          </w:p>
        </w:tc>
      </w:tr>
      <w:tr>
        <w:tc>
          <w:tcPr>
            <w:tcW w:type="dxa" w:w="2069"/>
          </w:tcPr>
          <w:p>
            <w:pPr>
              <w:spacing w:after="20" w:before="20"/>
            </w:pPr>
            <w:r/>
            <w:r>
              <w:rPr>
                <w:rFonts w:ascii="Consolas" w:hAnsi="Consolas"/>
                <w:sz w:val="17"/>
              </w:rPr>
              <w:t>ranges</w:t>
            </w:r>
          </w:p>
        </w:tc>
        <w:tc>
          <w:tcPr>
            <w:tcW w:type="dxa" w:w="2069"/>
          </w:tcPr>
          <w:p>
            <w:pPr>
              <w:spacing w:after="20" w:before="20"/>
            </w:pPr>
            <w:r/>
            <w:r>
              <w:rPr>
                <w:sz w:val="17"/>
              </w:rPr>
              <w:t>50 W → 5 K; 200 W → 10 K; 600 W → 25 K</w:t>
            </w:r>
          </w:p>
        </w:tc>
        <w:tc>
          <w:tcPr>
            <w:tcW w:type="dxa" w:w="1129"/>
          </w:tcPr>
          <w:p>
            <w:pPr>
              <w:spacing w:after="20" w:before="20"/>
            </w:pPr>
            <w:r/>
            <w:r>
              <w:rPr>
                <w:sz w:val="17"/>
              </w:rPr>
              <w:t>control</w:t>
            </w:r>
          </w:p>
        </w:tc>
        <w:tc>
          <w:tcPr>
            <w:tcW w:type="dxa" w:w="3762"/>
          </w:tcPr>
          <w:p>
            <w:pPr>
              <w:spacing w:after="20" w:before="20"/>
            </w:pPr>
            <w:r/>
            <w:r>
              <w:rPr>
                <w:sz w:val="17"/>
              </w:rPr>
              <w:t>The auto-ranging table</w:t>
            </w:r>
          </w:p>
        </w:tc>
      </w:tr>
      <w:tr>
        <w:tc>
          <w:tcPr>
            <w:tcW w:type="dxa" w:w="2069"/>
          </w:tcPr>
          <w:p>
            <w:pPr>
              <w:spacing w:after="20" w:before="20"/>
            </w:pPr>
            <w:r/>
            <w:r>
              <w:rPr>
                <w:rFonts w:ascii="Consolas" w:hAnsi="Consolas"/>
                <w:sz w:val="17"/>
              </w:rPr>
              <w:t>lambda_guard</w:t>
            </w:r>
          </w:p>
        </w:tc>
        <w:tc>
          <w:tcPr>
            <w:tcW w:type="dxa" w:w="2069"/>
          </w:tcPr>
          <w:p>
            <w:pPr>
              <w:spacing w:after="20" w:before="20"/>
            </w:pPr>
            <w:r/>
            <w:r>
              <w:rPr>
                <w:sz w:val="17"/>
              </w:rPr>
              <w:t>60 s</w:t>
            </w:r>
          </w:p>
        </w:tc>
        <w:tc>
          <w:tcPr>
            <w:tcW w:type="dxa" w:w="1129"/>
          </w:tcPr>
          <w:p>
            <w:pPr>
              <w:spacing w:after="20" w:before="20"/>
            </w:pPr>
            <w:r/>
            <w:r>
              <w:rPr>
                <w:sz w:val="17"/>
              </w:rPr>
              <w:t>control</w:t>
            </w:r>
          </w:p>
        </w:tc>
        <w:tc>
          <w:tcPr>
            <w:tcW w:type="dxa" w:w="3762"/>
          </w:tcPr>
          <w:p>
            <w:pPr>
              <w:spacing w:after="20" w:before="20"/>
            </w:pPr>
            <w:r/>
            <w:r>
              <w:rPr>
                <w:sz w:val="17"/>
              </w:rPr>
              <w:t>Guard closed-loop time constant</w:t>
            </w:r>
          </w:p>
        </w:tc>
      </w:tr>
      <w:tr>
        <w:tc>
          <w:tcPr>
            <w:tcW w:type="dxa" w:w="2069"/>
          </w:tcPr>
          <w:p>
            <w:pPr>
              <w:spacing w:after="20" w:before="20"/>
            </w:pPr>
            <w:r/>
            <w:r>
              <w:rPr>
                <w:rFonts w:ascii="Consolas" w:hAnsi="Consolas"/>
                <w:sz w:val="17"/>
              </w:rPr>
              <w:t>P_e_max</w:t>
            </w:r>
          </w:p>
        </w:tc>
        <w:tc>
          <w:tcPr>
            <w:tcW w:type="dxa" w:w="2069"/>
          </w:tcPr>
          <w:p>
            <w:pPr>
              <w:spacing w:after="20" w:before="20"/>
            </w:pPr>
            <w:r/>
            <w:r>
              <w:rPr>
                <w:sz w:val="17"/>
              </w:rPr>
              <w:t>100 W</w:t>
            </w:r>
          </w:p>
        </w:tc>
        <w:tc>
          <w:tcPr>
            <w:tcW w:type="dxa" w:w="1129"/>
          </w:tcPr>
          <w:p>
            <w:pPr>
              <w:spacing w:after="20" w:before="20"/>
            </w:pPr>
            <w:r/>
            <w:r>
              <w:rPr>
                <w:sz w:val="17"/>
              </w:rPr>
              <w:t>design pick</w:t>
            </w:r>
          </w:p>
        </w:tc>
        <w:tc>
          <w:tcPr>
            <w:tcW w:type="dxa" w:w="3762"/>
          </w:tcPr>
          <w:p>
            <w:pPr>
              <w:spacing w:after="20" w:before="20"/>
            </w:pPr>
            <w:r/>
            <w:r>
              <w:rPr>
                <w:sz w:val="17"/>
              </w:rPr>
              <w:t>Guard heater ceiling</w:t>
            </w:r>
          </w:p>
        </w:tc>
      </w:tr>
      <w:tr>
        <w:tc>
          <w:tcPr>
            <w:tcW w:type="dxa" w:w="2069"/>
          </w:tcPr>
          <w:p>
            <w:pPr>
              <w:spacing w:after="20" w:before="20"/>
            </w:pPr>
            <w:r/>
            <w:r>
              <w:rPr>
                <w:rFonts w:ascii="Consolas" w:hAnsi="Consolas"/>
                <w:sz w:val="17"/>
              </w:rPr>
              <w:t>P_acc</w:t>
            </w:r>
          </w:p>
        </w:tc>
        <w:tc>
          <w:tcPr>
            <w:tcW w:type="dxa" w:w="2069"/>
          </w:tcPr>
          <w:p>
            <w:pPr>
              <w:spacing w:after="20" w:before="20"/>
            </w:pPr>
            <w:r/>
            <w:r>
              <w:rPr>
                <w:sz w:val="17"/>
              </w:rPr>
              <w:t>1.0 W</w:t>
            </w:r>
          </w:p>
        </w:tc>
        <w:tc>
          <w:tcPr>
            <w:tcW w:type="dxa" w:w="1129"/>
          </w:tcPr>
          <w:p>
            <w:pPr>
              <w:spacing w:after="20" w:before="20"/>
            </w:pPr>
            <w:r/>
            <w:r>
              <w:rPr>
                <w:sz w:val="17"/>
              </w:rPr>
              <w:t>control</w:t>
            </w:r>
          </w:p>
        </w:tc>
        <w:tc>
          <w:tcPr>
            <w:tcW w:type="dxa" w:w="3762"/>
          </w:tcPr>
          <w:p>
            <w:pPr>
              <w:spacing w:after="20" w:before="20"/>
            </w:pPr>
            <w:r/>
            <w:r>
              <w:rPr>
                <w:sz w:val="17"/>
              </w:rPr>
              <w:t>Accuracy target</w:t>
            </w:r>
          </w:p>
        </w:tc>
      </w:tr>
      <w:tr>
        <w:tc>
          <w:tcPr>
            <w:tcW w:type="dxa" w:w="2069"/>
          </w:tcPr>
          <w:p>
            <w:pPr>
              <w:spacing w:after="20" w:before="20"/>
            </w:pPr>
            <w:r/>
            <w:r>
              <w:rPr>
                <w:rFonts w:ascii="Consolas" w:hAnsi="Consolas"/>
                <w:sz w:val="17"/>
              </w:rPr>
              <w:t>P_thr</w:t>
            </w:r>
          </w:p>
        </w:tc>
        <w:tc>
          <w:tcPr>
            <w:tcW w:type="dxa" w:w="2069"/>
          </w:tcPr>
          <w:p>
            <w:pPr>
              <w:spacing w:after="20" w:before="20"/>
            </w:pPr>
            <w:r/>
            <w:r>
              <w:rPr>
                <w:sz w:val="17"/>
              </w:rPr>
              <w:t>0.1 W</w:t>
            </w:r>
          </w:p>
        </w:tc>
        <w:tc>
          <w:tcPr>
            <w:tcW w:type="dxa" w:w="1129"/>
          </w:tcPr>
          <w:p>
            <w:pPr>
              <w:spacing w:after="20" w:before="20"/>
            </w:pPr>
            <w:r/>
            <w:r>
              <w:rPr>
                <w:sz w:val="17"/>
              </w:rPr>
              <w:t>control</w:t>
            </w:r>
          </w:p>
        </w:tc>
        <w:tc>
          <w:tcPr>
            <w:tcW w:type="dxa" w:w="3762"/>
          </w:tcPr>
          <w:p>
            <w:pPr>
              <w:spacing w:after="20" w:before="20"/>
            </w:pPr>
            <w:r/>
            <w:r>
              <w:rPr>
                <w:sz w:val="17"/>
              </w:rPr>
              <w:t>Residual threshold for the steady gate</w:t>
            </w:r>
          </w:p>
        </w:tc>
      </w:tr>
      <w:tr>
        <w:tc>
          <w:tcPr>
            <w:tcW w:type="dxa" w:w="2069"/>
          </w:tcPr>
          <w:p>
            <w:pPr>
              <w:spacing w:after="20" w:before="20"/>
            </w:pPr>
            <w:r/>
            <w:r>
              <w:rPr>
                <w:rFonts w:ascii="Consolas" w:hAnsi="Consolas"/>
                <w:sz w:val="17"/>
              </w:rPr>
              <w:t>sigma_pair_meter</w:t>
            </w:r>
            <w:r>
              <w:rPr>
                <w:sz w:val="17"/>
              </w:rPr>
              <w:t xml:space="preserve">, </w:t>
            </w:r>
            <w:r>
              <w:rPr>
                <w:rFonts w:ascii="Consolas" w:hAnsi="Consolas"/>
                <w:sz w:val="17"/>
              </w:rPr>
              <w:t>sigma_pair_guard</w:t>
            </w:r>
          </w:p>
        </w:tc>
        <w:tc>
          <w:tcPr>
            <w:tcW w:type="dxa" w:w="2069"/>
          </w:tcPr>
          <w:p>
            <w:pPr>
              <w:spacing w:after="20" w:before="20"/>
            </w:pPr>
            <w:r/>
            <w:r>
              <w:rPr>
                <w:sz w:val="17"/>
              </w:rPr>
              <w:t>20 mK each</w:t>
            </w:r>
          </w:p>
        </w:tc>
        <w:tc>
          <w:tcPr>
            <w:tcW w:type="dxa" w:w="1129"/>
          </w:tcPr>
          <w:p>
            <w:pPr>
              <w:spacing w:after="20" w:before="20"/>
            </w:pPr>
            <w:r/>
            <w:r>
              <w:rPr>
                <w:sz w:val="17"/>
              </w:rPr>
              <w:t>measurement</w:t>
            </w:r>
          </w:p>
        </w:tc>
        <w:tc>
          <w:tcPr>
            <w:tcW w:type="dxa" w:w="3762"/>
          </w:tcPr>
          <w:p>
            <w:pPr>
              <w:spacing w:after="20" w:before="20"/>
            </w:pPr>
            <w:r/>
            <w:r>
              <w:rPr>
                <w:sz w:val="17"/>
              </w:rPr>
              <w:t>Sensor-pair residuals after co-calibration</w:t>
            </w:r>
          </w:p>
        </w:tc>
      </w:tr>
      <w:tr>
        <w:tc>
          <w:tcPr>
            <w:tcW w:type="dxa" w:w="2069"/>
          </w:tcPr>
          <w:p>
            <w:pPr>
              <w:spacing w:after="20" w:before="20"/>
            </w:pPr>
            <w:r/>
            <w:r>
              <w:rPr>
                <w:rFonts w:ascii="Consolas" w:hAnsi="Consolas"/>
                <w:sz w:val="17"/>
              </w:rPr>
              <w:t>flow_cal_err</w:t>
            </w:r>
          </w:p>
        </w:tc>
        <w:tc>
          <w:tcPr>
            <w:tcW w:type="dxa" w:w="2069"/>
          </w:tcPr>
          <w:p>
            <w:pPr>
              <w:spacing w:after="20" w:before="20"/>
            </w:pPr>
            <w:r/>
            <w:r>
              <w:rPr>
                <w:sz w:val="17"/>
              </w:rPr>
              <w:t>0.5 %</w:t>
            </w:r>
          </w:p>
        </w:tc>
        <w:tc>
          <w:tcPr>
            <w:tcW w:type="dxa" w:w="1129"/>
          </w:tcPr>
          <w:p>
            <w:pPr>
              <w:spacing w:after="20" w:before="20"/>
            </w:pPr>
            <w:r/>
            <w:r>
              <w:rPr>
                <w:sz w:val="17"/>
              </w:rPr>
              <w:t>calibration</w:t>
            </w:r>
          </w:p>
        </w:tc>
        <w:tc>
          <w:tcPr>
            <w:tcW w:type="dxa" w:w="3762"/>
          </w:tcPr>
          <w:p>
            <w:pPr>
              <w:spacing w:after="20" w:before="20"/>
            </w:pPr>
            <w:r/>
            <w:r>
              <w:rPr>
                <w:sz w:val="17"/>
              </w:rPr>
              <w:t>Gravimetric flow calibration</w:t>
            </w:r>
          </w:p>
        </w:tc>
      </w:tr>
    </w:tbl>
    <w:p>
      <w:pPr>
        <w:spacing w:before="60" w:after="200"/>
        <w:jc w:val="left"/>
      </w:pPr>
      <w:r>
        <w:rPr>
          <w:i/>
          <w:sz w:val="18"/>
        </w:rPr>
        <w:t xml:space="preserve">Table 23. </w:t>
      </w:r>
      <w:r>
        <w:rPr>
          <w:rFonts w:ascii="Consolas" w:hAnsi="Consolas"/>
          <w:i/>
          <w:sz w:val="18"/>
        </w:rPr>
        <w:t>params.yaml</w:t>
      </w:r>
      <w:r>
        <w:rPr>
          <w:i/>
          <w:sz w:val="18"/>
        </w:rPr>
        <w:t>. Kind tags mark whether a number is a design choice, a material property, a control target, a sensor spec or a value that commissioning will replace.</w:t>
      </w:r>
    </w:p>
    <w:p>
      <w:pPr>
        <w:pStyle w:val="Heading2"/>
      </w:pPr>
      <w:r>
        <w:t>Code structure</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1935"/>
            <w:shd w:val="clear" w:color="auto" w:fill="DEEAF6"/>
          </w:tcPr>
          <w:p>
            <w:pPr>
              <w:spacing w:after="20" w:before="20"/>
            </w:pPr>
            <w:r/>
            <w:r>
              <w:rPr>
                <w:b/>
                <w:sz w:val="18"/>
              </w:rPr>
              <w:t>Function</w:t>
            </w:r>
          </w:p>
        </w:tc>
        <w:tc>
          <w:tcPr>
            <w:tcW w:type="dxa" w:w="7094"/>
            <w:shd w:val="clear" w:color="auto" w:fill="DEEAF6"/>
          </w:tcPr>
          <w:p>
            <w:pPr>
              <w:spacing w:after="20" w:before="20"/>
            </w:pPr>
            <w:r/>
            <w:r>
              <w:rPr>
                <w:b/>
                <w:sz w:val="18"/>
              </w:rPr>
              <w:t>What it does</w:t>
            </w:r>
          </w:p>
        </w:tc>
      </w:tr>
      <w:tr>
        <w:tc>
          <w:tcPr>
            <w:tcW w:type="dxa" w:w="1935"/>
          </w:tcPr>
          <w:p>
            <w:pPr>
              <w:spacing w:after="20" w:before="20"/>
            </w:pPr>
            <w:r/>
            <w:r>
              <w:rPr>
                <w:rFonts w:ascii="Consolas" w:hAnsi="Consolas"/>
                <w:sz w:val="18"/>
              </w:rPr>
              <w:t>build_matrices(mcp)</w:t>
            </w:r>
          </w:p>
        </w:tc>
        <w:tc>
          <w:tcPr>
            <w:tcW w:type="dxa" w:w="7094"/>
          </w:tcPr>
          <w:p>
            <w:pPr>
              <w:spacing w:after="20" w:before="20"/>
            </w:pPr>
            <w:r/>
            <w:r>
              <w:rPr>
                <w:sz w:val="18"/>
              </w:rPr>
              <w:t>Returns the six blocks at a frozen advection conductance. ṁ is bilinear — it multiplies a state — so the model is LTI only at a fixed flow, and a new plant is built per operating point.</w:t>
            </w:r>
          </w:p>
        </w:tc>
      </w:tr>
      <w:tr>
        <w:tc>
          <w:tcPr>
            <w:tcW w:type="dxa" w:w="1935"/>
          </w:tcPr>
          <w:p>
            <w:pPr>
              <w:spacing w:after="20" w:before="20"/>
            </w:pPr>
            <w:r/>
            <w:r>
              <w:rPr>
                <w:rFonts w:ascii="Consolas" w:hAnsi="Consolas"/>
                <w:sz w:val="18"/>
              </w:rPr>
              <w:t>audit(A, mcp)</w:t>
            </w:r>
          </w:p>
        </w:tc>
        <w:tc>
          <w:tcPr>
            <w:tcW w:type="dxa" w:w="7094"/>
          </w:tcPr>
          <w:p>
            <w:pPr>
              <w:spacing w:after="20" w:before="20"/>
            </w:pPr>
            <w:r/>
            <w:r>
              <w:rPr>
                <w:sz w:val="18"/>
              </w:rPr>
              <w:t xml:space="preserve">The seven structural assertions of Table 17. Runs on every plant build. Documented as </w:t>
            </w:r>
            <w:r>
              <w:rPr>
                <w:b/>
                <w:sz w:val="18"/>
              </w:rPr>
              <w:t>open-loop only</w:t>
            </w:r>
            <w:r>
              <w:rPr>
                <w:sz w:val="18"/>
              </w:rPr>
              <w:t>: the closed loop legitimately grows a complex pair, so running this on A</w:t>
            </w:r>
            <w:r>
              <w:rPr>
                <w:sz w:val="18"/>
                <w:vertAlign w:val="subscript"/>
              </w:rPr>
              <w:t>cl</w:t>
            </w:r>
            <w:r>
              <w:rPr>
                <w:sz w:val="18"/>
              </w:rPr>
              <w:t xml:space="preserve"> would fail for the wrong reason.</w:t>
            </w:r>
          </w:p>
        </w:tc>
      </w:tr>
      <w:tr>
        <w:tc>
          <w:tcPr>
            <w:tcW w:type="dxa" w:w="1935"/>
          </w:tcPr>
          <w:p>
            <w:pPr>
              <w:spacing w:after="20" w:before="20"/>
            </w:pPr>
            <w:r/>
            <w:r>
              <w:rPr>
                <w:rFonts w:ascii="Consolas" w:hAnsi="Consolas"/>
                <w:sz w:val="18"/>
              </w:rPr>
              <w:t>build_plant(mcp)</w:t>
            </w:r>
          </w:p>
        </w:tc>
        <w:tc>
          <w:tcPr>
            <w:tcW w:type="dxa" w:w="7094"/>
          </w:tcPr>
          <w:p>
            <w:pPr>
              <w:spacing w:after="20" w:before="20"/>
            </w:pPr>
            <w:r/>
            <w:r>
              <w:rPr>
                <w:sz w:val="18"/>
              </w:rPr>
              <w:t xml:space="preserve">Wraps the matrices as a named </w:t>
            </w:r>
            <w:r>
              <w:rPr>
                <w:rFonts w:ascii="Consolas" w:hAnsi="Consolas"/>
                <w:sz w:val="18"/>
              </w:rPr>
              <w:t>python-control</w:t>
            </w:r>
            <w:r>
              <w:rPr>
                <w:sz w:val="18"/>
              </w:rPr>
              <w:t xml:space="preserve"> state-space object, and asserts that ṁc</w:t>
            </w:r>
            <w:r>
              <w:rPr>
                <w:sz w:val="18"/>
                <w:vertAlign w:val="subscript"/>
              </w:rPr>
              <w:t>p</w:t>
            </w:r>
            <w:r>
              <w:rPr>
                <w:sz w:val="18"/>
              </w:rPr>
              <w:t xml:space="preserve"> is inside the design sweep — a units check that catches a flow entered in the wrong unit before it can produce plausible-looking nonsense.</w:t>
            </w:r>
          </w:p>
        </w:tc>
      </w:tr>
      <w:tr>
        <w:tc>
          <w:tcPr>
            <w:tcW w:type="dxa" w:w="1935"/>
          </w:tcPr>
          <w:p>
            <w:pPr>
              <w:spacing w:after="20" w:before="20"/>
            </w:pPr>
            <w:r/>
            <w:r>
              <w:rPr>
                <w:rFonts w:ascii="Consolas" w:hAnsi="Consolas"/>
                <w:sz w:val="18"/>
              </w:rPr>
              <w:t>modes(A)</w:t>
            </w:r>
          </w:p>
        </w:tc>
        <w:tc>
          <w:tcPr>
            <w:tcW w:type="dxa" w:w="7094"/>
          </w:tcPr>
          <w:p>
            <w:pPr>
              <w:spacing w:after="20" w:before="20"/>
            </w:pPr>
            <w:r/>
            <w:r>
              <w:rPr>
                <w:sz w:val="18"/>
              </w:rPr>
              <w:t>Eigenvalues as time constants, slowest first, each with its normalised eigenvector — Table 18.</w:t>
            </w:r>
          </w:p>
        </w:tc>
      </w:tr>
      <w:tr>
        <w:tc>
          <w:tcPr>
            <w:tcW w:type="dxa" w:w="1935"/>
          </w:tcPr>
          <w:p>
            <w:pPr>
              <w:spacing w:after="20" w:before="20"/>
            </w:pPr>
            <w:r/>
            <w:r>
              <w:rPr>
                <w:rFonts w:ascii="Consolas" w:hAnsi="Consolas"/>
                <w:sz w:val="18"/>
              </w:rPr>
              <w:t>GuardPI</w:t>
            </w:r>
          </w:p>
        </w:tc>
        <w:tc>
          <w:tcPr>
            <w:tcW w:type="dxa" w:w="7094"/>
          </w:tcPr>
          <w:p>
            <w:pPr>
              <w:spacing w:after="20" w:before="20"/>
            </w:pPr>
            <w:r/>
            <w:r>
              <w:rPr>
                <w:sz w:val="18"/>
              </w:rPr>
              <w:t xml:space="preserve">The controller: λ-tuned PI, output saturation with a floor of zero, and back-calculation anti-windup whose correction term is exactly zero when the output is not clipped. Gains are derived in </w:t>
            </w:r>
            <w:r>
              <w:rPr>
                <w:rFonts w:ascii="Consolas" w:hAnsi="Consolas"/>
                <w:sz w:val="18"/>
              </w:rPr>
              <w:t>__init__</w:t>
            </w:r>
            <w:r>
              <w:rPr>
                <w:sz w:val="18"/>
              </w:rPr>
              <w:t xml:space="preserve"> from the plant constants, not typed in.</w:t>
            </w:r>
          </w:p>
        </w:tc>
      </w:tr>
      <w:tr>
        <w:tc>
          <w:tcPr>
            <w:tcW w:type="dxa" w:w="1935"/>
          </w:tcPr>
          <w:p>
            <w:pPr>
              <w:spacing w:after="20" w:before="20"/>
            </w:pPr>
            <w:r/>
            <w:r>
              <w:rPr>
                <w:rFonts w:ascii="Consolas" w:hAnsi="Consolas"/>
                <w:sz w:val="18"/>
              </w:rPr>
              <w:t>simulate(...)</w:t>
            </w:r>
          </w:p>
        </w:tc>
        <w:tc>
          <w:tcPr>
            <w:tcW w:type="dxa" w:w="7094"/>
          </w:tcPr>
          <w:p>
            <w:pPr>
              <w:spacing w:after="20" w:before="20"/>
            </w:pPr>
            <w:r/>
            <w:r>
              <w:rPr>
                <w:sz w:val="18"/>
              </w:rPr>
              <w:t>Fixed-step RK4 over the 4-state system (3 plant states plus the guard integrator). Optionally pre-settles the rig with the DUT off for 30 000 s first, so t = 0 is a parked machine and the trace is a clean step response rather than a cold-start artefact. Returns a dictionary of named probe traces rebuilt from the stored trajectory.</w:t>
            </w:r>
          </w:p>
        </w:tc>
      </w:tr>
      <w:tr>
        <w:tc>
          <w:tcPr>
            <w:tcW w:type="dxa" w:w="1935"/>
          </w:tcPr>
          <w:p>
            <w:pPr>
              <w:spacing w:after="20" w:before="20"/>
            </w:pPr>
            <w:r/>
            <w:r>
              <w:rPr>
                <w:rFonts w:ascii="Consolas" w:hAnsi="Consolas"/>
                <w:sz w:val="18"/>
              </w:rPr>
              <w:t>demo_windup(...)</w:t>
            </w:r>
          </w:p>
        </w:tc>
        <w:tc>
          <w:tcPr>
            <w:tcW w:type="dxa" w:w="7094"/>
          </w:tcPr>
          <w:p>
            <w:pPr>
              <w:spacing w:after="20" w:before="20"/>
            </w:pPr>
            <w:r/>
            <w:r>
              <w:rPr>
                <w:sz w:val="18"/>
              </w:rPr>
              <w:t xml:space="preserve">Steps the load, then dumps it, at four actuator ceilings. The ceilings are </w:t>
            </w:r>
            <w:r>
              <w:rPr>
                <w:b/>
                <w:sz w:val="18"/>
              </w:rPr>
              <w:t>derived from the operating point</w:t>
            </w:r>
            <w:r>
              <w:rPr>
                <w:sz w:val="18"/>
              </w:rPr>
              <w:t xml:space="preserve"> rather than hard-coded, so the demonstration keeps its meaning when the power or ΔT is changed.</w:t>
            </w:r>
          </w:p>
        </w:tc>
      </w:tr>
    </w:tbl>
    <w:p>
      <w:pPr>
        <w:spacing w:before="60" w:after="200"/>
        <w:jc w:val="left"/>
      </w:pPr>
      <w:r>
        <w:rPr>
          <w:i/>
          <w:sz w:val="18"/>
        </w:rPr>
        <w:t>Table 24. The main entry points.</w:t>
      </w:r>
    </w:p>
    <w:p>
      <w:pPr>
        <w:pStyle w:val="Heading2"/>
      </w:pPr>
      <w:r>
        <w:t>The probe map</w:t>
      </w:r>
    </w:p>
    <w:p>
      <w:pPr>
        <w:spacing w:after="120"/>
      </w:pPr>
      <w:r>
        <w:t>Every signal the model exposes is rebuilt after integration and reported as a named probe, with its peak and its final value. The list is deliberately the same set of signals that the firmware will expose in telemetry, so that simulation traces and bench traces can be compared line for line.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1523"/>
            <w:shd w:val="clear" w:color="auto" w:fill="DEEAF6"/>
          </w:tcPr>
          <w:p>
            <w:pPr>
              <w:spacing w:after="20" w:before="20"/>
            </w:pPr>
            <w:r/>
            <w:r>
              <w:rPr>
                <w:b/>
                <w:sz w:val="17"/>
              </w:rPr>
              <w:t>Probe</w:t>
            </w:r>
          </w:p>
        </w:tc>
        <w:tc>
          <w:tcPr>
            <w:tcW w:type="dxa" w:w="2393"/>
            <w:shd w:val="clear" w:color="auto" w:fill="DEEAF6"/>
          </w:tcPr>
          <w:p>
            <w:pPr>
              <w:spacing w:after="20" w:before="20"/>
            </w:pPr>
            <w:r/>
            <w:r>
              <w:rPr>
                <w:b/>
                <w:sz w:val="17"/>
              </w:rPr>
              <w:t>Expression</w:t>
            </w:r>
          </w:p>
        </w:tc>
        <w:tc>
          <w:tcPr>
            <w:tcW w:type="dxa" w:w="4351"/>
            <w:shd w:val="clear" w:color="auto" w:fill="DEEAF6"/>
          </w:tcPr>
          <w:p>
            <w:pPr>
              <w:spacing w:after="20" w:before="20"/>
            </w:pPr>
            <w:r/>
            <w:r>
              <w:rPr>
                <w:b/>
                <w:sz w:val="17"/>
              </w:rPr>
              <w:t>What it tells you</w:t>
            </w:r>
          </w:p>
        </w:tc>
        <w:tc>
          <w:tcPr>
            <w:tcW w:type="dxa" w:w="761"/>
            <w:shd w:val="clear" w:color="auto" w:fill="DEEAF6"/>
          </w:tcPr>
          <w:p>
            <w:pPr>
              <w:spacing w:after="20" w:before="20"/>
            </w:pPr>
            <w:r/>
            <w:r>
              <w:rPr>
                <w:b/>
                <w:sz w:val="17"/>
              </w:rPr>
              <w:t>Unit</w:t>
            </w:r>
          </w:p>
        </w:tc>
      </w:tr>
      <w:tr>
        <w:tc>
          <w:tcPr>
            <w:tcW w:type="dxa" w:w="1523"/>
          </w:tcPr>
          <w:p>
            <w:pPr>
              <w:spacing w:after="20" w:before="20"/>
            </w:pPr>
            <w:r/>
            <w:r>
              <w:rPr>
                <w:rFonts w:ascii="Consolas" w:hAnsi="Consolas"/>
                <w:sz w:val="17"/>
              </w:rPr>
              <w:t>P_meas</w:t>
            </w:r>
          </w:p>
        </w:tc>
        <w:tc>
          <w:tcPr>
            <w:tcW w:type="dxa" w:w="2393"/>
          </w:tcPr>
          <w:p>
            <w:pPr>
              <w:spacing w:after="20" w:before="20"/>
            </w:pPr>
            <w:r/>
            <w:r>
              <w:rPr>
                <w:sz w:val="17"/>
              </w:rPr>
              <w:t>ṁc</w:t>
            </w:r>
            <w:r>
              <w:rPr>
                <w:sz w:val="17"/>
                <w:vertAlign w:val="subscript"/>
              </w:rPr>
              <w:t>p</w:t>
            </w:r>
            <w:r>
              <w:rPr>
                <w:sz w:val="17"/>
              </w:rPr>
              <w:t>·(θ</w:t>
            </w:r>
            <w:r>
              <w:rPr>
                <w:sz w:val="17"/>
                <w:vertAlign w:val="subscript"/>
              </w:rPr>
              <w:t>w</w:t>
            </w:r>
            <w:r>
              <w:rPr>
                <w:sz w:val="17"/>
              </w:rPr>
              <w:t xml:space="preserve"> − θ</w:t>
            </w:r>
            <w:r>
              <w:rPr>
                <w:sz w:val="17"/>
                <w:vertAlign w:val="subscript"/>
              </w:rPr>
              <w:t>rail</w:t>
            </w:r>
            <w:r>
              <w:rPr>
                <w:sz w:val="17"/>
              </w:rPr>
              <w:t>) − P</w:t>
            </w:r>
            <w:r>
              <w:rPr>
                <w:sz w:val="17"/>
                <w:vertAlign w:val="subscript"/>
              </w:rPr>
              <w:t>aux</w:t>
            </w:r>
          </w:p>
        </w:tc>
        <w:tc>
          <w:tcPr>
            <w:tcW w:type="dxa" w:w="4351"/>
          </w:tcPr>
          <w:p>
            <w:pPr>
              <w:spacing w:after="20" w:before="20"/>
            </w:pPr>
            <w:r/>
            <w:r>
              <w:rPr>
                <w:sz w:val="17"/>
              </w:rPr>
              <w:t>The reported reading</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eps</w:t>
            </w:r>
          </w:p>
        </w:tc>
        <w:tc>
          <w:tcPr>
            <w:tcW w:type="dxa" w:w="2393"/>
          </w:tcPr>
          <w:p>
            <w:pPr>
              <w:spacing w:after="20" w:before="20"/>
            </w:pPr>
            <w:r/>
            <w:r>
              <w:rPr>
                <w:sz w:val="17"/>
              </w:rPr>
              <w:t>P</w:t>
            </w:r>
            <w:r>
              <w:rPr>
                <w:sz w:val="17"/>
                <w:vertAlign w:val="subscript"/>
              </w:rPr>
              <w:t>meas</w:t>
            </w:r>
            <w:r>
              <w:rPr>
                <w:sz w:val="17"/>
              </w:rPr>
              <w:t xml:space="preserve"> − P</w:t>
            </w:r>
            <w:r>
              <w:rPr>
                <w:sz w:val="17"/>
                <w:vertAlign w:val="subscript"/>
              </w:rPr>
              <w:t>DUT</w:t>
            </w:r>
          </w:p>
        </w:tc>
        <w:tc>
          <w:tcPr>
            <w:tcW w:type="dxa" w:w="4351"/>
          </w:tcPr>
          <w:p>
            <w:pPr>
              <w:spacing w:after="20" w:before="20"/>
            </w:pPr>
            <w:r/>
            <w:r>
              <w:rPr>
                <w:b/>
                <w:sz w:val="17"/>
              </w:rPr>
              <w:t>The error trace — the reason to build the model at all</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e</w:t>
            </w:r>
          </w:p>
        </w:tc>
        <w:tc>
          <w:tcPr>
            <w:tcW w:type="dxa" w:w="2393"/>
          </w:tcPr>
          <w:p>
            <w:pPr>
              <w:spacing w:after="20" w:before="20"/>
            </w:pPr>
            <w:r/>
            <w:r>
              <w:rPr>
                <w:sz w:val="17"/>
              </w:rPr>
              <w:t>θ</w:t>
            </w:r>
            <w:r>
              <w:rPr>
                <w:sz w:val="17"/>
                <w:vertAlign w:val="subscript"/>
              </w:rPr>
              <w:t>i</w:t>
            </w:r>
            <w:r>
              <w:rPr>
                <w:sz w:val="17"/>
              </w:rPr>
              <w:t xml:space="preserve"> − θ</w:t>
            </w:r>
            <w:r>
              <w:rPr>
                <w:sz w:val="17"/>
                <w:vertAlign w:val="subscript"/>
              </w:rPr>
              <w:t>e</w:t>
            </w:r>
          </w:p>
        </w:tc>
        <w:tc>
          <w:tcPr>
            <w:tcW w:type="dxa" w:w="4351"/>
          </w:tcPr>
          <w:p>
            <w:pPr>
              <w:spacing w:after="20" w:before="20"/>
            </w:pPr>
            <w:r/>
            <w:r>
              <w:rPr>
                <w:sz w:val="17"/>
              </w:rPr>
              <w:t>The null error the guard controller acts on</w:t>
            </w:r>
          </w:p>
        </w:tc>
        <w:tc>
          <w:tcPr>
            <w:tcW w:type="dxa" w:w="761"/>
          </w:tcPr>
          <w:p>
            <w:pPr>
              <w:spacing w:after="20" w:before="20"/>
            </w:pPr>
            <w:r/>
            <w:r>
              <w:rPr>
                <w:sz w:val="17"/>
              </w:rPr>
              <w:t>K</w:t>
            </w:r>
          </w:p>
        </w:tc>
      </w:tr>
      <w:tr>
        <w:tc>
          <w:tcPr>
            <w:tcW w:type="dxa" w:w="1523"/>
          </w:tcPr>
          <w:p>
            <w:pPr>
              <w:spacing w:after="20" w:before="20"/>
            </w:pPr>
            <w:r/>
            <w:r>
              <w:rPr>
                <w:rFonts w:ascii="Consolas" w:hAnsi="Consolas"/>
                <w:sz w:val="17"/>
              </w:rPr>
              <w:t>P_leak</w:t>
            </w:r>
          </w:p>
        </w:tc>
        <w:tc>
          <w:tcPr>
            <w:tcW w:type="dxa" w:w="2393"/>
          </w:tcPr>
          <w:p>
            <w:pPr>
              <w:spacing w:after="20" w:before="20"/>
            </w:pPr>
            <w:r/>
            <w:r>
              <w:rPr>
                <w:sz w:val="17"/>
              </w:rPr>
              <w:t>G</w:t>
            </w:r>
            <w:r>
              <w:rPr>
                <w:sz w:val="17"/>
                <w:vertAlign w:val="subscript"/>
              </w:rPr>
              <w:t>gap</w:t>
            </w:r>
            <w:r>
              <w:rPr>
                <w:sz w:val="17"/>
              </w:rPr>
              <w:t>·e</w:t>
            </w:r>
          </w:p>
        </w:tc>
        <w:tc>
          <w:tcPr>
            <w:tcW w:type="dxa" w:w="4351"/>
          </w:tcPr>
          <w:p>
            <w:pPr>
              <w:spacing w:after="20" w:before="20"/>
            </w:pPr>
            <w:r/>
            <w:r>
              <w:rPr>
                <w:sz w:val="17"/>
              </w:rPr>
              <w:t>The leak, in watts</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P_e</w:t>
            </w:r>
          </w:p>
        </w:tc>
        <w:tc>
          <w:tcPr>
            <w:tcW w:type="dxa" w:w="2393"/>
          </w:tcPr>
          <w:p>
            <w:pPr>
              <w:spacing w:after="20" w:before="20"/>
            </w:pPr>
            <w:r/>
            <w:r>
              <w:rPr>
                <w:sz w:val="17"/>
              </w:rPr>
              <w:t>Controller output after the limiter</w:t>
            </w:r>
          </w:p>
        </w:tc>
        <w:tc>
          <w:tcPr>
            <w:tcW w:type="dxa" w:w="4351"/>
          </w:tcPr>
          <w:p>
            <w:pPr>
              <w:spacing w:after="20" w:before="20"/>
            </w:pPr>
            <w:r/>
            <w:r>
              <w:rPr>
                <w:sz w:val="17"/>
              </w:rPr>
              <w:t>Actuator demand against its ceiling</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v</w:t>
            </w:r>
          </w:p>
        </w:tc>
        <w:tc>
          <w:tcPr>
            <w:tcW w:type="dxa" w:w="2393"/>
          </w:tcPr>
          <w:p>
            <w:pPr>
              <w:spacing w:after="20" w:before="20"/>
            </w:pPr>
            <w:r/>
            <w:r>
              <w:rPr>
                <w:sz w:val="17"/>
              </w:rPr>
              <w:t>Controller output before the limiter</w:t>
            </w:r>
          </w:p>
        </w:tc>
        <w:tc>
          <w:tcPr>
            <w:tcW w:type="dxa" w:w="4351"/>
          </w:tcPr>
          <w:p>
            <w:pPr>
              <w:spacing w:after="20" w:before="20"/>
            </w:pPr>
            <w:r/>
            <w:r>
              <w:rPr>
                <w:sz w:val="17"/>
              </w:rPr>
              <w:t>Saturation shows up as v ≠ P</w:t>
            </w:r>
            <w:r>
              <w:rPr>
                <w:sz w:val="17"/>
                <w:vertAlign w:val="subscript"/>
              </w:rPr>
              <w:t>e</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P_rad</w:t>
            </w:r>
          </w:p>
        </w:tc>
        <w:tc>
          <w:tcPr>
            <w:tcW w:type="dxa" w:w="2393"/>
          </w:tcPr>
          <w:p>
            <w:pPr>
              <w:spacing w:after="20" w:before="20"/>
            </w:pPr>
            <w:r/>
            <w:r>
              <w:rPr>
                <w:sz w:val="17"/>
              </w:rPr>
              <w:t>UA</w:t>
            </w:r>
            <w:r>
              <w:rPr>
                <w:sz w:val="17"/>
                <w:vertAlign w:val="subscript"/>
              </w:rPr>
              <w:t>rad</w:t>
            </w:r>
            <w:r>
              <w:rPr>
                <w:sz w:val="17"/>
              </w:rPr>
              <w:t>·(θ</w:t>
            </w:r>
            <w:r>
              <w:rPr>
                <w:sz w:val="17"/>
                <w:vertAlign w:val="subscript"/>
              </w:rPr>
              <w:t>i</w:t>
            </w:r>
            <w:r>
              <w:rPr>
                <w:sz w:val="17"/>
              </w:rPr>
              <w:t xml:space="preserve"> − θ</w:t>
            </w:r>
            <w:r>
              <w:rPr>
                <w:sz w:val="17"/>
                <w:vertAlign w:val="subscript"/>
              </w:rPr>
              <w:t>w</w:t>
            </w:r>
            <w:r>
              <w:rPr>
                <w:sz w:val="17"/>
              </w:rPr>
              <w:t>)</w:t>
            </w:r>
          </w:p>
        </w:tc>
        <w:tc>
          <w:tcPr>
            <w:tcW w:type="dxa" w:w="4351"/>
          </w:tcPr>
          <w:p>
            <w:pPr>
              <w:spacing w:after="20" w:before="20"/>
            </w:pPr>
            <w:r/>
            <w:r>
              <w:rPr>
                <w:sz w:val="17"/>
              </w:rPr>
              <w:t>Watts crossing the pickup radiator</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P_adv</w:t>
            </w:r>
          </w:p>
        </w:tc>
        <w:tc>
          <w:tcPr>
            <w:tcW w:type="dxa" w:w="2393"/>
          </w:tcPr>
          <w:p>
            <w:pPr>
              <w:spacing w:after="20" w:before="20"/>
            </w:pPr>
            <w:r/>
            <w:r>
              <w:rPr>
                <w:sz w:val="17"/>
              </w:rPr>
              <w:t>ṁc</w:t>
            </w:r>
            <w:r>
              <w:rPr>
                <w:sz w:val="17"/>
                <w:vertAlign w:val="subscript"/>
              </w:rPr>
              <w:t>p</w:t>
            </w:r>
            <w:r>
              <w:rPr>
                <w:sz w:val="17"/>
              </w:rPr>
              <w:t>·(θ</w:t>
            </w:r>
            <w:r>
              <w:rPr>
                <w:sz w:val="17"/>
                <w:vertAlign w:val="subscript"/>
              </w:rPr>
              <w:t>w</w:t>
            </w:r>
            <w:r>
              <w:rPr>
                <w:sz w:val="17"/>
              </w:rPr>
              <w:t xml:space="preserve"> − θ</w:t>
            </w:r>
            <w:r>
              <w:rPr>
                <w:sz w:val="17"/>
                <w:vertAlign w:val="subscript"/>
              </w:rPr>
              <w:t>rail</w:t>
            </w:r>
            <w:r>
              <w:rPr>
                <w:sz w:val="17"/>
              </w:rPr>
              <w:t>)</w:t>
            </w:r>
          </w:p>
        </w:tc>
        <w:tc>
          <w:tcPr>
            <w:tcW w:type="dxa" w:w="4351"/>
          </w:tcPr>
          <w:p>
            <w:pPr>
              <w:spacing w:after="20" w:before="20"/>
            </w:pPr>
            <w:r/>
            <w:r>
              <w:rPr>
                <w:sz w:val="17"/>
              </w:rPr>
              <w:t>Watts carried by the flow</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P_out</w:t>
            </w:r>
          </w:p>
        </w:tc>
        <w:tc>
          <w:tcPr>
            <w:tcW w:type="dxa" w:w="2393"/>
          </w:tcPr>
          <w:p>
            <w:pPr>
              <w:spacing w:after="20" w:before="20"/>
            </w:pPr>
            <w:r/>
            <w:r>
              <w:rPr>
                <w:sz w:val="17"/>
              </w:rPr>
              <w:t>G</w:t>
            </w:r>
            <w:r>
              <w:rPr>
                <w:sz w:val="17"/>
                <w:vertAlign w:val="subscript"/>
              </w:rPr>
              <w:t>out</w:t>
            </w:r>
            <w:r>
              <w:rPr>
                <w:sz w:val="17"/>
              </w:rPr>
              <w:t>·θ</w:t>
            </w:r>
            <w:r>
              <w:rPr>
                <w:sz w:val="17"/>
                <w:vertAlign w:val="subscript"/>
              </w:rPr>
              <w:t>e</w:t>
            </w:r>
          </w:p>
        </w:tc>
        <w:tc>
          <w:tcPr>
            <w:tcW w:type="dxa" w:w="4351"/>
          </w:tcPr>
          <w:p>
            <w:pPr>
              <w:spacing w:after="20" w:before="20"/>
            </w:pPr>
            <w:r/>
            <w:r>
              <w:rPr>
                <w:sz w:val="17"/>
              </w:rPr>
              <w:t>Watts lost to ambient — unmetered</w:t>
            </w:r>
          </w:p>
        </w:tc>
        <w:tc>
          <w:tcPr>
            <w:tcW w:type="dxa" w:w="761"/>
          </w:tcPr>
          <w:p>
            <w:pPr>
              <w:spacing w:after="20" w:before="20"/>
            </w:pPr>
            <w:r/>
            <w:r>
              <w:rPr>
                <w:sz w:val="17"/>
              </w:rPr>
              <w:t>W</w:t>
            </w:r>
          </w:p>
        </w:tc>
      </w:tr>
      <w:tr>
        <w:tc>
          <w:tcPr>
            <w:tcW w:type="dxa" w:w="1523"/>
          </w:tcPr>
          <w:p>
            <w:pPr>
              <w:spacing w:after="20" w:before="20"/>
            </w:pPr>
            <w:r/>
            <w:r>
              <w:rPr>
                <w:rFonts w:ascii="Consolas" w:hAnsi="Consolas"/>
                <w:sz w:val="17"/>
              </w:rPr>
              <w:t>dT_w</w:t>
            </w:r>
          </w:p>
        </w:tc>
        <w:tc>
          <w:tcPr>
            <w:tcW w:type="dxa" w:w="2393"/>
          </w:tcPr>
          <w:p>
            <w:pPr>
              <w:spacing w:after="20" w:before="20"/>
            </w:pPr>
            <w:r/>
            <w:r>
              <w:rPr>
                <w:sz w:val="17"/>
              </w:rPr>
              <w:t>θ</w:t>
            </w:r>
            <w:r>
              <w:rPr>
                <w:sz w:val="17"/>
                <w:vertAlign w:val="subscript"/>
              </w:rPr>
              <w:t>w</w:t>
            </w:r>
            <w:r>
              <w:rPr>
                <w:sz w:val="17"/>
              </w:rPr>
              <w:t xml:space="preserve"> − θ</w:t>
            </w:r>
            <w:r>
              <w:rPr>
                <w:sz w:val="17"/>
                <w:vertAlign w:val="subscript"/>
              </w:rPr>
              <w:t>rail</w:t>
            </w:r>
          </w:p>
        </w:tc>
        <w:tc>
          <w:tcPr>
            <w:tcW w:type="dxa" w:w="4351"/>
          </w:tcPr>
          <w:p>
            <w:pPr>
              <w:spacing w:after="20" w:before="20"/>
            </w:pPr>
            <w:r/>
            <w:r>
              <w:rPr>
                <w:sz w:val="17"/>
              </w:rPr>
              <w:t>The auto-range variable</w:t>
            </w:r>
          </w:p>
        </w:tc>
        <w:tc>
          <w:tcPr>
            <w:tcW w:type="dxa" w:w="761"/>
          </w:tcPr>
          <w:p>
            <w:pPr>
              <w:spacing w:after="20" w:before="20"/>
            </w:pPr>
            <w:r/>
            <w:r>
              <w:rPr>
                <w:sz w:val="17"/>
              </w:rPr>
              <w:t>K</w:t>
            </w:r>
          </w:p>
        </w:tc>
      </w:tr>
      <w:tr>
        <w:tc>
          <w:tcPr>
            <w:tcW w:type="dxa" w:w="1523"/>
          </w:tcPr>
          <w:p>
            <w:pPr>
              <w:spacing w:after="20" w:before="20"/>
            </w:pPr>
            <w:r/>
            <w:r>
              <w:rPr>
                <w:rFonts w:ascii="Consolas" w:hAnsi="Consolas"/>
                <w:sz w:val="17"/>
              </w:rPr>
              <w:t>th_i</w:t>
            </w:r>
            <w:r>
              <w:rPr>
                <w:sz w:val="17"/>
              </w:rPr>
              <w:t xml:space="preserve">, </w:t>
            </w:r>
            <w:r>
              <w:rPr>
                <w:rFonts w:ascii="Consolas" w:hAnsi="Consolas"/>
                <w:sz w:val="17"/>
              </w:rPr>
              <w:t>th_w</w:t>
            </w:r>
            <w:r>
              <w:rPr>
                <w:sz w:val="17"/>
              </w:rPr>
              <w:t xml:space="preserve">, </w:t>
            </w:r>
            <w:r>
              <w:rPr>
                <w:rFonts w:ascii="Consolas" w:hAnsi="Consolas"/>
                <w:sz w:val="17"/>
              </w:rPr>
              <w:t>th_e</w:t>
            </w:r>
          </w:p>
        </w:tc>
        <w:tc>
          <w:tcPr>
            <w:tcW w:type="dxa" w:w="2393"/>
          </w:tcPr>
          <w:p>
            <w:pPr>
              <w:spacing w:after="20" w:before="20"/>
            </w:pPr>
            <w:r/>
            <w:r>
              <w:rPr>
                <w:sz w:val="17"/>
              </w:rPr>
              <w:t>States</w:t>
            </w:r>
          </w:p>
        </w:tc>
        <w:tc>
          <w:tcPr>
            <w:tcW w:type="dxa" w:w="4351"/>
          </w:tcPr>
          <w:p>
            <w:pPr>
              <w:spacing w:after="20" w:before="20"/>
            </w:pPr>
            <w:r/>
            <w:r>
              <w:rPr>
                <w:sz w:val="17"/>
              </w:rPr>
              <w:t>Node temperatures above ambient</w:t>
            </w:r>
          </w:p>
        </w:tc>
        <w:tc>
          <w:tcPr>
            <w:tcW w:type="dxa" w:w="761"/>
          </w:tcPr>
          <w:p>
            <w:pPr>
              <w:spacing w:after="20" w:before="20"/>
            </w:pPr>
            <w:r/>
            <w:r>
              <w:rPr>
                <w:sz w:val="17"/>
              </w:rPr>
              <w:t>K</w:t>
            </w:r>
          </w:p>
        </w:tc>
      </w:tr>
      <w:tr>
        <w:tc>
          <w:tcPr>
            <w:tcW w:type="dxa" w:w="1523"/>
          </w:tcPr>
          <w:p>
            <w:pPr>
              <w:spacing w:after="20" w:before="20"/>
            </w:pPr>
            <w:r/>
            <w:r>
              <w:rPr>
                <w:rFonts w:ascii="Consolas" w:hAnsi="Consolas"/>
                <w:sz w:val="17"/>
              </w:rPr>
              <w:t>x_I</w:t>
            </w:r>
          </w:p>
        </w:tc>
        <w:tc>
          <w:tcPr>
            <w:tcW w:type="dxa" w:w="2393"/>
          </w:tcPr>
          <w:p>
            <w:pPr>
              <w:spacing w:after="20" w:before="20"/>
            </w:pPr>
            <w:r/>
            <w:r>
              <w:rPr>
                <w:sz w:val="17"/>
              </w:rPr>
              <w:t>Guard integrator state</w:t>
            </w:r>
          </w:p>
        </w:tc>
        <w:tc>
          <w:tcPr>
            <w:tcW w:type="dxa" w:w="4351"/>
          </w:tcPr>
          <w:p>
            <w:pPr>
              <w:spacing w:after="20" w:before="20"/>
            </w:pPr>
            <w:r/>
            <w:r>
              <w:rPr>
                <w:sz w:val="17"/>
              </w:rPr>
              <w:t>Windup detector</w:t>
            </w:r>
          </w:p>
        </w:tc>
        <w:tc>
          <w:tcPr>
            <w:tcW w:type="dxa" w:w="761"/>
          </w:tcPr>
          <w:p>
            <w:pPr>
              <w:spacing w:after="20" w:before="20"/>
            </w:pPr>
            <w:r/>
            <w:r>
              <w:rPr>
                <w:sz w:val="17"/>
              </w:rPr>
              <w:t>K·s</w:t>
            </w:r>
          </w:p>
        </w:tc>
      </w:tr>
      <w:tr>
        <w:tc>
          <w:tcPr>
            <w:tcW w:type="dxa" w:w="1523"/>
          </w:tcPr>
          <w:p>
            <w:pPr>
              <w:spacing w:after="20" w:before="20"/>
            </w:pPr>
            <w:r/>
            <w:r>
              <w:rPr>
                <w:rFonts w:ascii="Consolas" w:hAnsi="Consolas"/>
                <w:sz w:val="17"/>
              </w:rPr>
              <w:t>sat_hi</w:t>
            </w:r>
            <w:r>
              <w:rPr>
                <w:sz w:val="17"/>
              </w:rPr>
              <w:t xml:space="preserve">, </w:t>
            </w:r>
            <w:r>
              <w:rPr>
                <w:rFonts w:ascii="Consolas" w:hAnsi="Consolas"/>
                <w:sz w:val="17"/>
              </w:rPr>
              <w:t>sat_lo</w:t>
            </w:r>
          </w:p>
        </w:tc>
        <w:tc>
          <w:tcPr>
            <w:tcW w:type="dxa" w:w="2393"/>
          </w:tcPr>
          <w:p>
            <w:pPr>
              <w:spacing w:after="20" w:before="20"/>
            </w:pPr>
            <w:r/>
            <w:r>
              <w:rPr>
                <w:sz w:val="17"/>
              </w:rPr>
              <w:t>Booleans</w:t>
            </w:r>
          </w:p>
        </w:tc>
        <w:tc>
          <w:tcPr>
            <w:tcW w:type="dxa" w:w="4351"/>
          </w:tcPr>
          <w:p>
            <w:pPr>
              <w:spacing w:after="20" w:before="20"/>
            </w:pPr>
            <w:r/>
            <w:r>
              <w:rPr>
                <w:sz w:val="17"/>
              </w:rPr>
              <w:t>Pinned at the ceiling / at zero</w:t>
            </w:r>
          </w:p>
        </w:tc>
        <w:tc>
          <w:tcPr>
            <w:tcW w:type="dxa" w:w="761"/>
          </w:tcPr>
          <w:p>
            <w:pPr>
              <w:spacing w:after="20" w:before="20"/>
            </w:pPr>
            <w:r/>
            <w:r>
              <w:rPr>
                <w:sz w:val="17"/>
              </w:rPr>
              <w:t>—</w:t>
            </w:r>
          </w:p>
        </w:tc>
      </w:tr>
    </w:tbl>
    <w:p>
      <w:pPr>
        <w:spacing w:before="60" w:after="200"/>
        <w:jc w:val="left"/>
      </w:pPr>
      <w:r>
        <w:rPr>
          <w:i/>
          <w:sz w:val="18"/>
        </w:rPr>
        <w:t>Table 25. The probe map.</w:t>
      </w:r>
    </w:p>
    <w:p>
      <w:pPr>
        <w:pStyle w:val="Heading2"/>
      </w:pPr>
      <w:r>
        <w:t>Simulation results</w:t>
      </w:r>
    </w:p>
    <w:p>
      <w:pPr>
        <w:spacing w:after="120"/>
      </w:pPr>
      <w:r>
        <w:t xml:space="preserve">The figures below are the direct output of </w:t>
      </w:r>
      <w:r>
        <w:rPr>
          <w:rFonts w:ascii="Consolas" w:hAnsi="Consolas"/>
          <w:sz w:val="19"/>
        </w:rPr>
        <w:t>calorimetry_sim.py</w:t>
      </w:r>
      <w:r>
        <w:t xml:space="preserve">. All were run in the block-engaged configuration (α = 0.97), which is the script's default; as established in §6.5 this changes the </w:t>
      </w:r>
      <w:r>
        <w:rPr>
          <w:b/>
        </w:rPr>
        <w:t>transient shape</w:t>
      </w:r>
      <w:r>
        <w:t xml:space="preserve"> but leaves the steady-state reading exactly unchanged, so the conclusions transfer to the built α = 0 rig. §7.7 gives the shipping-configuration numbers.</w:t>
      </w:r>
    </w:p>
    <w:p>
      <w:pPr>
        <w:spacing w:after="120"/>
      </w:pPr>
      <w:r>
        <w:t>Each response figure has the same six panels:</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1972"/>
            <w:shd w:val="clear" w:color="auto" w:fill="DEEAF6"/>
          </w:tcPr>
          <w:p>
            <w:pPr>
              <w:spacing w:after="20" w:before="20"/>
            </w:pPr>
            <w:r/>
            <w:r>
              <w:rPr>
                <w:b/>
                <w:sz w:val="17"/>
              </w:rPr>
              <w:t>Panel</w:t>
            </w:r>
          </w:p>
        </w:tc>
        <w:tc>
          <w:tcPr>
            <w:tcW w:type="dxa" w:w="3321"/>
            <w:shd w:val="clear" w:color="auto" w:fill="DEEAF6"/>
          </w:tcPr>
          <w:p>
            <w:pPr>
              <w:spacing w:after="20" w:before="20"/>
            </w:pPr>
            <w:r/>
            <w:r>
              <w:rPr>
                <w:b/>
                <w:sz w:val="17"/>
              </w:rPr>
              <w:t>Shows</w:t>
            </w:r>
          </w:p>
        </w:tc>
        <w:tc>
          <w:tcPr>
            <w:tcW w:type="dxa" w:w="3736"/>
            <w:shd w:val="clear" w:color="auto" w:fill="DEEAF6"/>
          </w:tcPr>
          <w:p>
            <w:pPr>
              <w:spacing w:after="20" w:before="20"/>
            </w:pPr>
            <w:r/>
            <w:r>
              <w:rPr>
                <w:b/>
                <w:sz w:val="17"/>
              </w:rPr>
              <w:t>What to look for</w:t>
            </w:r>
          </w:p>
        </w:tc>
      </w:tr>
      <w:tr>
        <w:tc>
          <w:tcPr>
            <w:tcW w:type="dxa" w:w="1972"/>
          </w:tcPr>
          <w:p>
            <w:pPr>
              <w:spacing w:after="20" w:before="20"/>
            </w:pPr>
            <w:r/>
            <w:r>
              <w:rPr>
                <w:b/>
                <w:sz w:val="17"/>
              </w:rPr>
              <w:t>Top left</w:t>
            </w:r>
            <w:r>
              <w:rPr>
                <w:sz w:val="17"/>
              </w:rPr>
              <w:t xml:space="preserve"> — the measurement</w:t>
            </w:r>
          </w:p>
        </w:tc>
        <w:tc>
          <w:tcPr>
            <w:tcW w:type="dxa" w:w="3321"/>
          </w:tcPr>
          <w:p>
            <w:pPr>
              <w:spacing w:after="20" w:before="20"/>
            </w:pPr>
            <w:r/>
            <w:r>
              <w:rPr>
                <w:sz w:val="17"/>
              </w:rPr>
              <w:t>P</w:t>
            </w:r>
            <w:r>
              <w:rPr>
                <w:sz w:val="17"/>
                <w:vertAlign w:val="subscript"/>
              </w:rPr>
              <w:t>DUT</w:t>
            </w:r>
            <w:r>
              <w:rPr>
                <w:sz w:val="17"/>
              </w:rPr>
              <w:t xml:space="preserve"> (dashed, the truth) against P</w:t>
            </w:r>
            <w:r>
              <w:rPr>
                <w:sz w:val="17"/>
                <w:vertAlign w:val="subscript"/>
              </w:rPr>
              <w:t>meas</w:t>
            </w:r>
            <w:r>
              <w:rPr>
                <w:sz w:val="17"/>
              </w:rPr>
              <w:t xml:space="preserve"> (solid, the reading)</w:t>
            </w:r>
          </w:p>
        </w:tc>
        <w:tc>
          <w:tcPr>
            <w:tcW w:type="dxa" w:w="3736"/>
          </w:tcPr>
          <w:p>
            <w:pPr>
              <w:spacing w:after="20" w:before="20"/>
            </w:pPr>
            <w:r/>
            <w:r>
              <w:rPr>
                <w:sz w:val="17"/>
              </w:rPr>
              <w:t>That the reading converges onto the truth, and how long that takes</w:t>
            </w:r>
          </w:p>
        </w:tc>
      </w:tr>
      <w:tr>
        <w:tc>
          <w:tcPr>
            <w:tcW w:type="dxa" w:w="1972"/>
          </w:tcPr>
          <w:p>
            <w:pPr>
              <w:spacing w:after="20" w:before="20"/>
            </w:pPr>
            <w:r/>
            <w:r>
              <w:rPr>
                <w:b/>
                <w:sz w:val="17"/>
              </w:rPr>
              <w:t>Top centre</w:t>
            </w:r>
            <w:r>
              <w:rPr>
                <w:sz w:val="17"/>
              </w:rPr>
              <w:t xml:space="preserve"> — eps = reading − truth</w:t>
            </w:r>
          </w:p>
        </w:tc>
        <w:tc>
          <w:tcPr>
            <w:tcW w:type="dxa" w:w="3321"/>
          </w:tcPr>
          <w:p>
            <w:pPr>
              <w:spacing w:after="20" w:before="20"/>
            </w:pPr>
            <w:r/>
            <w:r>
              <w:rPr>
                <w:sz w:val="17"/>
              </w:rPr>
              <w:t>The error trace, with the ±1 W target marked. The y-axis is clipped because the t = 0 transient runs far off scale</w:t>
            </w:r>
          </w:p>
        </w:tc>
        <w:tc>
          <w:tcPr>
            <w:tcW w:type="dxa" w:w="3736"/>
          </w:tcPr>
          <w:p>
            <w:pPr>
              <w:spacing w:after="20" w:before="20"/>
            </w:pPr>
            <w:r/>
            <w:r>
              <w:rPr>
                <w:sz w:val="17"/>
              </w:rPr>
              <w:t>The minute at which the error first enters the ±1 W band, and that it then goes to zero rather than to a small constant</w:t>
            </w:r>
          </w:p>
        </w:tc>
      </w:tr>
      <w:tr>
        <w:tc>
          <w:tcPr>
            <w:tcW w:type="dxa" w:w="1972"/>
          </w:tcPr>
          <w:p>
            <w:pPr>
              <w:spacing w:after="20" w:before="20"/>
            </w:pPr>
            <w:r/>
            <w:r>
              <w:rPr>
                <w:b/>
                <w:sz w:val="17"/>
              </w:rPr>
              <w:t>Top right</w:t>
            </w:r>
            <w:r>
              <w:rPr>
                <w:sz w:val="17"/>
              </w:rPr>
              <w:t xml:space="preserve"> — node temperatures</w:t>
            </w:r>
          </w:p>
        </w:tc>
        <w:tc>
          <w:tcPr>
            <w:tcW w:type="dxa" w:w="3321"/>
          </w:tcPr>
          <w:p>
            <w:pPr>
              <w:spacing w:after="20" w:before="20"/>
            </w:pPr>
            <w:r/>
            <w:r>
              <w:rPr>
                <w:sz w:val="17"/>
              </w:rPr>
              <w:t>θ</w:t>
            </w:r>
            <w:r>
              <w:rPr>
                <w:sz w:val="17"/>
                <w:vertAlign w:val="subscript"/>
              </w:rPr>
              <w:t>i</w:t>
            </w:r>
            <w:r>
              <w:rPr>
                <w:sz w:val="17"/>
              </w:rPr>
              <w:t xml:space="preserve"> (air), θ</w:t>
            </w:r>
            <w:r>
              <w:rPr>
                <w:sz w:val="17"/>
                <w:vertAlign w:val="subscript"/>
              </w:rPr>
              <w:t>w</w:t>
            </w:r>
            <w:r>
              <w:rPr>
                <w:sz w:val="17"/>
              </w:rPr>
              <w:t xml:space="preserve"> (water), θ</w:t>
            </w:r>
            <w:r>
              <w:rPr>
                <w:sz w:val="17"/>
                <w:vertAlign w:val="subscript"/>
              </w:rPr>
              <w:t>e</w:t>
            </w:r>
            <w:r>
              <w:rPr>
                <w:sz w:val="17"/>
              </w:rPr>
              <w:t xml:space="preserve"> (guard) and the inlet rail, all in kelvin above ambient</w:t>
            </w:r>
          </w:p>
        </w:tc>
        <w:tc>
          <w:tcPr>
            <w:tcW w:type="dxa" w:w="3736"/>
          </w:tcPr>
          <w:p>
            <w:pPr>
              <w:spacing w:after="20" w:before="20"/>
            </w:pPr>
            <w:r/>
            <w:r>
              <w:rPr>
                <w:sz w:val="17"/>
              </w:rPr>
              <w:t>That θ</w:t>
            </w:r>
            <w:r>
              <w:rPr>
                <w:sz w:val="17"/>
                <w:vertAlign w:val="subscript"/>
              </w:rPr>
              <w:t>e</w:t>
            </w:r>
            <w:r>
              <w:rPr>
                <w:sz w:val="17"/>
              </w:rPr>
              <w:t xml:space="preserve"> tracks θ</w:t>
            </w:r>
            <w:r>
              <w:rPr>
                <w:sz w:val="17"/>
                <w:vertAlign w:val="subscript"/>
              </w:rPr>
              <w:t>i</w:t>
            </w:r>
            <w:r>
              <w:rPr>
                <w:sz w:val="17"/>
              </w:rPr>
              <w:t xml:space="preserve"> — the guard doing its job — and where the chamber settles relative to the rail</w:t>
            </w:r>
          </w:p>
        </w:tc>
      </w:tr>
      <w:tr>
        <w:tc>
          <w:tcPr>
            <w:tcW w:type="dxa" w:w="1972"/>
          </w:tcPr>
          <w:p>
            <w:pPr>
              <w:spacing w:after="20" w:before="20"/>
            </w:pPr>
            <w:r/>
            <w:r>
              <w:rPr>
                <w:b/>
                <w:sz w:val="17"/>
              </w:rPr>
              <w:t>Bottom left</w:t>
            </w:r>
            <w:r>
              <w:rPr>
                <w:sz w:val="17"/>
              </w:rPr>
              <w:t xml:space="preserve"> — guard null error</w:t>
            </w:r>
          </w:p>
        </w:tc>
        <w:tc>
          <w:tcPr>
            <w:tcW w:type="dxa" w:w="3321"/>
          </w:tcPr>
          <w:p>
            <w:pPr>
              <w:spacing w:after="20" w:before="20"/>
            </w:pPr>
            <w:r/>
            <w:r>
              <w:rPr>
                <w:sz w:val="17"/>
              </w:rPr>
              <w:t>e = θ</w:t>
            </w:r>
            <w:r>
              <w:rPr>
                <w:sz w:val="17"/>
                <w:vertAlign w:val="subscript"/>
              </w:rPr>
              <w:t>i</w:t>
            </w:r>
            <w:r>
              <w:rPr>
                <w:sz w:val="17"/>
              </w:rPr>
              <w:t xml:space="preserve"> − θ</w:t>
            </w:r>
            <w:r>
              <w:rPr>
                <w:sz w:val="17"/>
                <w:vertAlign w:val="subscript"/>
              </w:rPr>
              <w:t>e</w:t>
            </w:r>
            <w:r>
              <w:rPr>
                <w:sz w:val="17"/>
              </w:rPr>
              <w:t xml:space="preserve"> against the 1.79 K null gate</w:t>
            </w:r>
          </w:p>
        </w:tc>
        <w:tc>
          <w:tcPr>
            <w:tcW w:type="dxa" w:w="3736"/>
          </w:tcPr>
          <w:p>
            <w:pPr>
              <w:spacing w:after="20" w:before="20"/>
            </w:pPr>
            <w:r/>
            <w:r>
              <w:rPr>
                <w:sz w:val="17"/>
              </w:rPr>
              <w:t>The transient overshoot, whether it breaches the gate, and how fast it returns</w:t>
            </w:r>
          </w:p>
        </w:tc>
      </w:tr>
      <w:tr>
        <w:tc>
          <w:tcPr>
            <w:tcW w:type="dxa" w:w="1972"/>
          </w:tcPr>
          <w:p>
            <w:pPr>
              <w:spacing w:after="20" w:before="20"/>
            </w:pPr>
            <w:r/>
            <w:r>
              <w:rPr>
                <w:b/>
                <w:sz w:val="17"/>
              </w:rPr>
              <w:t>Bottom centre</w:t>
            </w:r>
            <w:r>
              <w:rPr>
                <w:sz w:val="17"/>
              </w:rPr>
              <w:t xml:space="preserve"> — actuator</w:t>
            </w:r>
          </w:p>
        </w:tc>
        <w:tc>
          <w:tcPr>
            <w:tcW w:type="dxa" w:w="3321"/>
          </w:tcPr>
          <w:p>
            <w:pPr>
              <w:spacing w:after="20" w:before="20"/>
            </w:pPr>
            <w:r/>
            <w:r>
              <w:rPr>
                <w:sz w:val="17"/>
              </w:rPr>
              <w:t>Demand v (dashed) against delivered P</w:t>
            </w:r>
            <w:r>
              <w:rPr>
                <w:sz w:val="17"/>
                <w:vertAlign w:val="subscript"/>
              </w:rPr>
              <w:t>e</w:t>
            </w:r>
            <w:r>
              <w:rPr>
                <w:sz w:val="17"/>
              </w:rPr>
              <w:t xml:space="preserve"> (solid), with P</w:t>
            </w:r>
            <w:r>
              <w:rPr>
                <w:sz w:val="17"/>
                <w:vertAlign w:val="subscript"/>
              </w:rPr>
              <w:t>max</w:t>
            </w:r>
            <w:r>
              <w:rPr>
                <w:sz w:val="17"/>
              </w:rPr>
              <w:t xml:space="preserve"> marked</w:t>
            </w:r>
          </w:p>
        </w:tc>
        <w:tc>
          <w:tcPr>
            <w:tcW w:type="dxa" w:w="3736"/>
          </w:tcPr>
          <w:p>
            <w:pPr>
              <w:spacing w:after="20" w:before="20"/>
            </w:pPr>
            <w:r/>
            <w:r>
              <w:rPr>
                <w:sz w:val="17"/>
              </w:rPr>
              <w:t>Saturation, which shows as the two curves separating. Also the steady guard power, which is what sizes the heater</w:t>
            </w:r>
          </w:p>
        </w:tc>
      </w:tr>
      <w:tr>
        <w:tc>
          <w:tcPr>
            <w:tcW w:type="dxa" w:w="1972"/>
          </w:tcPr>
          <w:p>
            <w:pPr>
              <w:spacing w:after="20" w:before="20"/>
            </w:pPr>
            <w:r/>
            <w:r>
              <w:rPr>
                <w:b/>
                <w:sz w:val="17"/>
              </w:rPr>
              <w:t>Bottom right</w:t>
            </w:r>
            <w:r>
              <w:rPr>
                <w:sz w:val="17"/>
              </w:rPr>
              <w:t xml:space="preserve"> — where the watts go</w:t>
            </w:r>
          </w:p>
        </w:tc>
        <w:tc>
          <w:tcPr>
            <w:tcW w:type="dxa" w:w="3321"/>
          </w:tcPr>
          <w:p>
            <w:pPr>
              <w:spacing w:after="20" w:before="20"/>
            </w:pPr>
            <w:r/>
            <w:r>
              <w:rPr>
                <w:sz w:val="17"/>
              </w:rPr>
              <w:t>P</w:t>
            </w:r>
            <w:r>
              <w:rPr>
                <w:sz w:val="17"/>
                <w:vertAlign w:val="subscript"/>
              </w:rPr>
              <w:t>rad</w:t>
            </w:r>
            <w:r>
              <w:rPr>
                <w:sz w:val="17"/>
              </w:rPr>
              <w:t xml:space="preserve"> (air→water), P</w:t>
            </w:r>
            <w:r>
              <w:rPr>
                <w:sz w:val="17"/>
                <w:vertAlign w:val="subscript"/>
              </w:rPr>
              <w:t>adv</w:t>
            </w:r>
            <w:r>
              <w:rPr>
                <w:sz w:val="17"/>
              </w:rPr>
              <w:t xml:space="preserve"> (the reading), P</w:t>
            </w:r>
            <w:r>
              <w:rPr>
                <w:sz w:val="17"/>
                <w:vertAlign w:val="subscript"/>
              </w:rPr>
              <w:t>leak</w:t>
            </w:r>
            <w:r>
              <w:rPr>
                <w:sz w:val="17"/>
              </w:rPr>
              <w:t xml:space="preserve"> (air→gap), P</w:t>
            </w:r>
            <w:r>
              <w:rPr>
                <w:sz w:val="17"/>
                <w:vertAlign w:val="subscript"/>
              </w:rPr>
              <w:t>out</w:t>
            </w:r>
            <w:r>
              <w:rPr>
                <w:sz w:val="17"/>
              </w:rPr>
              <w:t xml:space="preserve"> (gap→ambient)</w:t>
            </w:r>
          </w:p>
        </w:tc>
        <w:tc>
          <w:tcPr>
            <w:tcW w:type="dxa" w:w="3736"/>
          </w:tcPr>
          <w:p>
            <w:pPr>
              <w:spacing w:after="20" w:before="20"/>
            </w:pPr>
            <w:r/>
            <w:r>
              <w:rPr>
                <w:sz w:val="17"/>
              </w:rPr>
              <w:t>That P</w:t>
            </w:r>
            <w:r>
              <w:rPr>
                <w:sz w:val="17"/>
                <w:vertAlign w:val="subscript"/>
              </w:rPr>
              <w:t>adv</w:t>
            </w:r>
            <w:r>
              <w:rPr>
                <w:sz w:val="17"/>
              </w:rPr>
              <w:t xml:space="preserve"> converges to the DUT power, that P</w:t>
            </w:r>
            <w:r>
              <w:rPr>
                <w:sz w:val="17"/>
                <w:vertAlign w:val="subscript"/>
              </w:rPr>
              <w:t>leak</w:t>
            </w:r>
            <w:r>
              <w:rPr>
                <w:sz w:val="17"/>
              </w:rPr>
              <w:t xml:space="preserve"> collapses to zero, and that P</w:t>
            </w:r>
            <w:r>
              <w:rPr>
                <w:sz w:val="17"/>
                <w:vertAlign w:val="subscript"/>
              </w:rPr>
              <w:t>out</w:t>
            </w:r>
            <w:r>
              <w:rPr>
                <w:sz w:val="17"/>
              </w:rPr>
              <w:t xml:space="preserve"> is non-zero but harmless</w:t>
            </w:r>
          </w:p>
        </w:tc>
      </w:tr>
    </w:tbl>
    <w:p>
      <w:pPr>
        <w:spacing w:before="60" w:after="200"/>
        <w:jc w:val="left"/>
      </w:pPr>
      <w:r>
        <w:rPr>
          <w:i/>
          <w:sz w:val="18"/>
        </w:rPr>
        <w:t>Table 26. How to read the six-panel response figures.</w:t>
      </w:r>
    </w:p>
    <w:p>
      <w:pPr>
        <w:pStyle w:val="Heading3"/>
      </w:pPr>
      <w:r>
        <w:t>Nominal operating point — 150 W at 10 K water rise</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response_150W_dT10K.png"/>
                    <pic:cNvPicPr/>
                  </pic:nvPicPr>
                  <pic:blipFill>
                    <a:blip r:embed="rId16"/>
                    <a:stretch>
                      <a:fillRect/>
                    </a:stretch>
                  </pic:blipFill>
                  <pic:spPr>
                    <a:xfrm>
                      <a:off x="0" y="0"/>
                      <a:ext cx="5669280" cy="2834640"/>
                    </a:xfrm>
                    <a:prstGeom prst="rect"/>
                  </pic:spPr>
                </pic:pic>
              </a:graphicData>
            </a:graphic>
          </wp:inline>
        </w:drawing>
      </w:r>
    </w:p>
    <w:p>
      <w:pPr>
        <w:spacing w:after="240"/>
        <w:jc w:val="left"/>
      </w:pPr>
      <w:r>
        <w:rPr>
          <w:b/>
          <w:sz w:val="18"/>
        </w:rPr>
        <w:t>Figure 1.</w:t>
      </w:r>
      <w:r>
        <w:rPr>
          <w:sz w:val="18"/>
        </w:rPr>
        <w:t xml:space="preserve"> </w:t>
      </w:r>
      <w:r>
        <w:rPr>
          <w:b/>
          <w:sz w:val="18"/>
        </w:rPr>
        <w:t>Closed-loop step response at the nominal point: P</w:t>
      </w:r>
      <w:r>
        <w:rPr>
          <w:b/>
          <w:sz w:val="18"/>
          <w:vertAlign w:val="subscript"/>
        </w:rPr>
        <w:t>DUT</w:t>
      </w:r>
      <w:r>
        <w:rPr>
          <w:b/>
          <w:sz w:val="18"/>
        </w:rPr>
        <w:t xml:space="preserve"> = 150 W, ΔT</w:t>
      </w:r>
      <w:r>
        <w:rPr>
          <w:b/>
          <w:sz w:val="18"/>
          <w:vertAlign w:val="subscript"/>
        </w:rPr>
        <w:t>set</w:t>
      </w:r>
      <w:r>
        <w:rPr>
          <w:b/>
          <w:sz w:val="18"/>
        </w:rPr>
        <w:t xml:space="preserve"> = 10 K, ṁc</w:t>
      </w:r>
      <w:r>
        <w:rPr>
          <w:b/>
          <w:sz w:val="18"/>
          <w:vertAlign w:val="subscript"/>
        </w:rPr>
        <w:t>p</w:t>
      </w:r>
      <w:r>
        <w:rPr>
          <w:b/>
          <w:sz w:val="18"/>
        </w:rPr>
        <w:t xml:space="preserve"> = 15 W/K (216 mL/min).</w:t>
      </w:r>
      <w:r>
        <w:rPr>
          <w:sz w:val="18"/>
        </w:rPr>
        <w:t xml:space="preserve"> The reading reaches 1 % of final in </w:t>
      </w:r>
      <w:r>
        <w:rPr>
          <w:b/>
          <w:sz w:val="18"/>
        </w:rPr>
        <w:t>12.9 min</w:t>
      </w:r>
      <w:r>
        <w:rPr>
          <w:sz w:val="18"/>
        </w:rPr>
        <w:t xml:space="preserve"> and enters the ±1 W band at about 14 min. The guard null error peaks at </w:t>
      </w:r>
      <w:r>
        <w:rPr>
          <w:b/>
          <w:sz w:val="18"/>
        </w:rPr>
        <w:t>1.76 K</w:t>
      </w:r>
      <w:r>
        <w:rPr>
          <w:sz w:val="18"/>
        </w:rPr>
        <w:t xml:space="preserve">, just under the 1.79 K gate, and the leak peaks at 0.99 W before collapsing. Steady guard power is </w:t>
      </w:r>
      <w:r>
        <w:rPr>
          <w:b/>
          <w:sz w:val="18"/>
        </w:rPr>
        <w:t>6.8 W</w:t>
      </w:r>
      <w:r>
        <w:rPr>
          <w:sz w:val="18"/>
        </w:rPr>
        <w:t>, against a 100 W ceiling — the actuator never comes close to saturating, and demand and delivered power are indistinguishable in the bottom-centre panel. In the bottom-right panel, note that P</w:t>
      </w:r>
      <w:r>
        <w:rPr>
          <w:sz w:val="18"/>
          <w:vertAlign w:val="subscript"/>
        </w:rPr>
        <w:t>rad</w:t>
      </w:r>
      <w:r>
        <w:rPr>
          <w:sz w:val="18"/>
        </w:rPr>
        <w:t xml:space="preserve"> goes sharply </w:t>
      </w:r>
      <w:r>
        <w:rPr>
          <w:b/>
          <w:sz w:val="18"/>
        </w:rPr>
        <w:t>negative</w:t>
      </w:r>
      <w:r>
        <w:rPr>
          <w:sz w:val="18"/>
        </w:rPr>
        <w:t xml:space="preserve"> in the first seconds: the water starts at the inlet rail temperature, below the chamber, so heat initially flows from water to air until the radiator bridge equalises. Note also that P</w:t>
      </w:r>
      <w:r>
        <w:rPr>
          <w:sz w:val="18"/>
          <w:vertAlign w:val="subscript"/>
        </w:rPr>
        <w:t>out</w:t>
      </w:r>
      <w:r>
        <w:rPr>
          <w:sz w:val="18"/>
        </w:rPr>
        <w:t xml:space="preserve"> settles to exactly the same value as the guard heater power — in steady state, with the leak nulled, the guard heater supplies precisely what the gap loses to the room, and none of it touches the reading.</w:t>
      </w:r>
    </w:p>
    <w:p>
      <w:pPr>
        <w:pStyle w:val="Heading3"/>
      </w:pPr>
      <w:r>
        <w:t>Same power, lower flow — the flow/settling trade</w:t>
      </w:r>
    </w:p>
    <w:p>
      <w:pPr>
        <w:spacing w:after="120"/>
      </w:pPr>
      <w:r>
        <w:t>Running the same 150 W at a larger water ΔT means less flow, which is attractive for the ΔT-pair error budget but slow, because τ</w:t>
      </w:r>
      <w:r>
        <w:rPr>
          <w:vertAlign w:val="subscript"/>
        </w:rPr>
        <w:t>slow</w:t>
      </w:r>
      <w:r>
        <w:t xml:space="preserve"> = (C</w:t>
      </w:r>
      <w:r>
        <w:rPr>
          <w:vertAlign w:val="subscript"/>
        </w:rPr>
        <w:t>i</w:t>
      </w:r>
      <w:r>
        <w:t xml:space="preserve"> + C</w:t>
      </w:r>
      <w:r>
        <w:rPr>
          <w:vertAlign w:val="subscript"/>
        </w:rPr>
        <w:t>w</w:t>
      </w:r>
      <w:r>
        <w:t>)/ṁc</w:t>
      </w:r>
      <w:r>
        <w:rPr>
          <w:vertAlign w:val="subscript"/>
        </w:rPr>
        <w:t>p</w:t>
      </w:r>
      <w:r>
        <w:t>. Figures 2 and 3 are the same load at 15 K and 20 K.</w:t>
      </w:r>
    </w:p>
    <w:p>
      <w:pPr>
        <w:spacing w:before="160" w:after="40"/>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response_150W_dT15K.png"/>
                    <pic:cNvPicPr/>
                  </pic:nvPicPr>
                  <pic:blipFill>
                    <a:blip r:embed="rId17"/>
                    <a:stretch>
                      <a:fillRect/>
                    </a:stretch>
                  </pic:blipFill>
                  <pic:spPr>
                    <a:xfrm>
                      <a:off x="0" y="0"/>
                      <a:ext cx="5669280" cy="2834640"/>
                    </a:xfrm>
                    <a:prstGeom prst="rect"/>
                  </pic:spPr>
                </pic:pic>
              </a:graphicData>
            </a:graphic>
          </wp:inline>
        </w:drawing>
      </w:r>
    </w:p>
    <w:p>
      <w:pPr>
        <w:spacing w:after="240"/>
        <w:jc w:val="left"/>
      </w:pPr>
      <w:r>
        <w:rPr>
          <w:b/>
          <w:sz w:val="18"/>
        </w:rPr>
        <w:t>Figure 2.</w:t>
      </w:r>
      <w:r>
        <w:rPr>
          <w:sz w:val="18"/>
        </w:rPr>
        <w:t xml:space="preserve"> </w:t>
      </w:r>
      <w:r>
        <w:rPr>
          <w:b/>
          <w:sz w:val="18"/>
        </w:rPr>
        <w:t>150 W at ΔT</w:t>
      </w:r>
      <w:r>
        <w:rPr>
          <w:b/>
          <w:sz w:val="18"/>
          <w:vertAlign w:val="subscript"/>
        </w:rPr>
        <w:t>set</w:t>
      </w:r>
      <w:r>
        <w:rPr>
          <w:b/>
          <w:sz w:val="18"/>
        </w:rPr>
        <w:t xml:space="preserve"> = 15 K, ṁc</w:t>
      </w:r>
      <w:r>
        <w:rPr>
          <w:b/>
          <w:sz w:val="18"/>
          <w:vertAlign w:val="subscript"/>
        </w:rPr>
        <w:t>p</w:t>
      </w:r>
      <w:r>
        <w:rPr>
          <w:b/>
          <w:sz w:val="18"/>
        </w:rPr>
        <w:t xml:space="preserve"> = 10 W/K (144 mL/min).</w:t>
      </w:r>
      <w:r>
        <w:rPr>
          <w:sz w:val="18"/>
        </w:rPr>
        <w:t xml:space="preserve"> Settling stretches to </w:t>
      </w:r>
      <w:r>
        <w:rPr>
          <w:b/>
          <w:sz w:val="18"/>
        </w:rPr>
        <w:t>19.1 min</w:t>
      </w:r>
      <w:r>
        <w:rPr>
          <w:sz w:val="18"/>
        </w:rPr>
        <w:t xml:space="preserve"> and the null error peaks at </w:t>
      </w:r>
      <w:r>
        <w:rPr>
          <w:b/>
          <w:sz w:val="18"/>
        </w:rPr>
        <w:t>1.98 K</w:t>
      </w:r>
      <w:r>
        <w:rPr>
          <w:sz w:val="18"/>
        </w:rPr>
        <w:t>, now above the 1.79 K gate. Steady guard power rises to 9.1 W because the chamber sits higher above ambient (θ</w:t>
      </w:r>
      <w:r>
        <w:rPr>
          <w:sz w:val="18"/>
          <w:vertAlign w:val="subscript"/>
        </w:rPr>
        <w:t>i</w:t>
      </w:r>
      <w:r>
        <w:rPr>
          <w:sz w:val="18"/>
        </w:rPr>
        <w:t xml:space="preserve"> ≈ 20 K rather than 15 K), so the gap loses more through G</w:t>
      </w:r>
      <w:r>
        <w:rPr>
          <w:sz w:val="18"/>
          <w:vertAlign w:val="subscript"/>
        </w:rPr>
        <w:t>out</w:t>
      </w:r>
      <w:r>
        <w:rPr>
          <w:sz w:val="18"/>
        </w:rPr>
        <w:t xml:space="preserve"> and the guard has to replace it.</w:t>
      </w:r>
    </w:p>
    <w:p>
      <w:pPr>
        <w:spacing w:before="16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response_150W_dT20K.png"/>
                    <pic:cNvPicPr/>
                  </pic:nvPicPr>
                  <pic:blipFill>
                    <a:blip r:embed="rId18"/>
                    <a:stretch>
                      <a:fillRect/>
                    </a:stretch>
                  </pic:blipFill>
                  <pic:spPr>
                    <a:xfrm>
                      <a:off x="0" y="0"/>
                      <a:ext cx="5669280" cy="2834640"/>
                    </a:xfrm>
                    <a:prstGeom prst="rect"/>
                  </pic:spPr>
                </pic:pic>
              </a:graphicData>
            </a:graphic>
          </wp:inline>
        </w:drawing>
      </w:r>
    </w:p>
    <w:p>
      <w:pPr>
        <w:spacing w:after="240"/>
        <w:jc w:val="left"/>
      </w:pPr>
      <w:r>
        <w:rPr>
          <w:b/>
          <w:sz w:val="18"/>
        </w:rPr>
        <w:t>Figure 3.</w:t>
      </w:r>
      <w:r>
        <w:rPr>
          <w:sz w:val="18"/>
        </w:rPr>
        <w:t xml:space="preserve"> </w:t>
      </w:r>
      <w:r>
        <w:rPr>
          <w:b/>
          <w:sz w:val="18"/>
        </w:rPr>
        <w:t>150 W at ΔT</w:t>
      </w:r>
      <w:r>
        <w:rPr>
          <w:b/>
          <w:sz w:val="18"/>
          <w:vertAlign w:val="subscript"/>
        </w:rPr>
        <w:t>set</w:t>
      </w:r>
      <w:r>
        <w:rPr>
          <w:b/>
          <w:sz w:val="18"/>
        </w:rPr>
        <w:t xml:space="preserve"> = 20 K, ṁc</w:t>
      </w:r>
      <w:r>
        <w:rPr>
          <w:b/>
          <w:sz w:val="18"/>
          <w:vertAlign w:val="subscript"/>
        </w:rPr>
        <w:t>p</w:t>
      </w:r>
      <w:r>
        <w:rPr>
          <w:b/>
          <w:sz w:val="18"/>
        </w:rPr>
        <w:t xml:space="preserve"> = 7.5 W/K (108 mL/min).</w:t>
      </w:r>
      <w:r>
        <w:rPr>
          <w:sz w:val="18"/>
        </w:rPr>
        <w:t xml:space="preserve"> Settling </w:t>
      </w:r>
      <w:r>
        <w:rPr>
          <w:b/>
          <w:sz w:val="18"/>
        </w:rPr>
        <w:t>25.4 min</w:t>
      </w:r>
      <w:r>
        <w:rPr>
          <w:sz w:val="18"/>
        </w:rPr>
        <w:t xml:space="preserve">, null-error peak </w:t>
      </w:r>
      <w:r>
        <w:rPr>
          <w:b/>
          <w:sz w:val="18"/>
        </w:rPr>
        <w:t>2.12 K</w:t>
      </w:r>
      <w:r>
        <w:rPr>
          <w:sz w:val="18"/>
        </w:rPr>
        <w:t xml:space="preserve">, steady guard power </w:t>
      </w:r>
      <w:r>
        <w:rPr>
          <w:b/>
          <w:sz w:val="18"/>
        </w:rPr>
        <w:t>11.3 W</w:t>
      </w:r>
      <w:r>
        <w:rPr>
          <w:sz w:val="18"/>
        </w:rPr>
        <w:t xml:space="preserve">. Comparing Figures 1–3 gives the trade in one line: </w:t>
      </w:r>
      <w:r>
        <w:rPr>
          <w:b/>
          <w:sz w:val="18"/>
        </w:rPr>
        <w:t>halving the flow doubles the settling time, raises the transient null error and raises the guard's steady power, while improving the ΔT-pair error by the same factor of two.</w:t>
      </w:r>
      <w:r>
        <w:rPr>
          <w:sz w:val="18"/>
        </w:rPr>
        <w:t xml:space="preserve"> The auto-ranging rule in </w:t>
      </w:r>
      <w:r>
        <w:rPr>
          <w:rFonts w:ascii="Consolas" w:hAnsi="Consolas"/>
          <w:sz w:val="18"/>
        </w:rPr>
        <w:t>params.yaml</w:t>
      </w:r>
      <w:r>
        <w:rPr>
          <w:sz w:val="18"/>
        </w:rPr>
        <w:t xml:space="preserve"> exists to place this trade per operating point rather than fixing it once.</w:t>
      </w:r>
    </w:p>
    <w:p>
      <w:pPr>
        <w:pStyle w:val="Heading3"/>
      </w:pPr>
      <w:r>
        <w:t>Top of the envelope — 200 W</w:t>
      </w:r>
    </w:p>
    <w:p>
      <w:pPr>
        <w:spacing w:before="160" w:after="4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response_200W_dT8K.png"/>
                    <pic:cNvPicPr/>
                  </pic:nvPicPr>
                  <pic:blipFill>
                    <a:blip r:embed="rId19"/>
                    <a:stretch>
                      <a:fillRect/>
                    </a:stretch>
                  </pic:blipFill>
                  <pic:spPr>
                    <a:xfrm>
                      <a:off x="0" y="0"/>
                      <a:ext cx="5669280" cy="2834640"/>
                    </a:xfrm>
                    <a:prstGeom prst="rect"/>
                  </pic:spPr>
                </pic:pic>
              </a:graphicData>
            </a:graphic>
          </wp:inline>
        </w:drawing>
      </w:r>
    </w:p>
    <w:p>
      <w:pPr>
        <w:spacing w:after="240"/>
        <w:jc w:val="left"/>
      </w:pPr>
      <w:r>
        <w:rPr>
          <w:b/>
          <w:sz w:val="18"/>
        </w:rPr>
        <w:t>Figure 4.</w:t>
      </w:r>
      <w:r>
        <w:rPr>
          <w:sz w:val="18"/>
        </w:rPr>
        <w:t xml:space="preserve"> </w:t>
      </w:r>
      <w:r>
        <w:rPr>
          <w:b/>
          <w:sz w:val="18"/>
        </w:rPr>
        <w:t>200 W at ΔT</w:t>
      </w:r>
      <w:r>
        <w:rPr>
          <w:b/>
          <w:sz w:val="18"/>
          <w:vertAlign w:val="subscript"/>
        </w:rPr>
        <w:t>set</w:t>
      </w:r>
      <w:r>
        <w:rPr>
          <w:b/>
          <w:sz w:val="18"/>
        </w:rPr>
        <w:t xml:space="preserve"> = 8 K, ṁc</w:t>
      </w:r>
      <w:r>
        <w:rPr>
          <w:b/>
          <w:sz w:val="18"/>
          <w:vertAlign w:val="subscript"/>
        </w:rPr>
        <w:t>p</w:t>
      </w:r>
      <w:r>
        <w:rPr>
          <w:b/>
          <w:sz w:val="18"/>
        </w:rPr>
        <w:t xml:space="preserve"> = 25 W/K (361 mL/min).</w:t>
      </w:r>
      <w:r>
        <w:rPr>
          <w:sz w:val="18"/>
        </w:rPr>
        <w:t xml:space="preserve"> The fastest corner in the set: </w:t>
      </w:r>
      <w:r>
        <w:rPr>
          <w:b/>
          <w:sz w:val="18"/>
        </w:rPr>
        <w:t>8.0 min</w:t>
      </w:r>
      <w:r>
        <w:rPr>
          <w:sz w:val="18"/>
        </w:rPr>
        <w:t xml:space="preserve"> to 1 %, inside the ±1 W band by about 9 min. Guard power is only </w:t>
      </w:r>
      <w:r>
        <w:rPr>
          <w:b/>
          <w:sz w:val="18"/>
        </w:rPr>
        <w:t>5.9 W</w:t>
      </w:r>
      <w:r>
        <w:rPr>
          <w:sz w:val="18"/>
        </w:rPr>
        <w:t xml:space="preserve"> steady, because the high flow pins the chamber lower (θ</w:t>
      </w:r>
      <w:r>
        <w:rPr>
          <w:sz w:val="18"/>
          <w:vertAlign w:val="subscript"/>
        </w:rPr>
        <w:t>i</w:t>
      </w:r>
      <w:r>
        <w:rPr>
          <w:sz w:val="18"/>
        </w:rPr>
        <w:t xml:space="preserve"> ≈ 13 K above ambient). The null error still peaks at 1.95 K, above the gate — the transient overshoot is driven by the mismatch between the fast chamber and the slow guard shell, not by the power level, and it is present at every corner.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The transient null error breaches the gate at and above ~100 W</w:t>
            </w:r>
          </w:p>
          <w:p>
            <w:pPr>
              <w:spacing w:after="40"/>
            </w:pPr>
            <w:r>
              <w:rPr>
                <w:sz w:val="19"/>
              </w:rPr>
              <w:t>This is a genuine finding of the simulation and does not appear anywhere in the hand analysis, because it only exists once the guard is a real loop with a real τ</w:t>
            </w:r>
            <w:r>
              <w:rPr>
                <w:sz w:val="19"/>
                <w:vertAlign w:val="subscript"/>
              </w:rPr>
              <w:t>e</w:t>
            </w:r>
            <w:r>
              <w:rPr>
                <w:sz w:val="19"/>
              </w:rPr>
              <w:t xml:space="preserve"> instead of an assumed perfect null. The mechanism is a 20-to-1 speed mismatch: the chamber's fast mode is ~15 s while the guard shell's open-loop τ</w:t>
            </w:r>
            <w:r>
              <w:rPr>
                <w:sz w:val="19"/>
                <w:vertAlign w:val="subscript"/>
              </w:rPr>
              <w:t>e</w:t>
            </w:r>
            <w:r>
              <w:rPr>
                <w:sz w:val="19"/>
              </w:rPr>
              <w:t xml:space="preserve"> is 297 s, so the guard is chasing a reference that moves far faster than it can follow. </w:t>
            </w:r>
            <w:r>
              <w:rPr>
                <w:b/>
                <w:sz w:val="19"/>
              </w:rPr>
              <w:t>It is a transient, so it does not bias a logged point</w:t>
            </w:r>
            <w:r>
              <w:rPr>
                <w:sz w:val="19"/>
              </w:rPr>
              <w:t xml:space="preserve"> — the null gate holds the reading until e is back inside 1.79 K. What it costs is schedule, and what it forbids is logging early. The candidate fix is to ramp the load and the feedforward together rather than stepping them, which is a sequencer change, not a model change.</w:t>
            </w:r>
          </w:p>
        </w:tc>
      </w:tr>
    </w:tbl>
    <w:p>
      <w:pPr>
        <w:spacing w:after="80"/>
      </w:pPr>
    </w:p>
    <w:p>
      <w:pPr>
        <w:pStyle w:val="Heading3"/>
      </w:pPr>
      <w:r>
        <w:t>Actuator sizing, saturation and anti-windup</w:t>
      </w:r>
    </w:p>
    <w:p>
      <w:pPr>
        <w:spacing w:after="120"/>
      </w:pPr>
      <w:r>
        <w:t xml:space="preserve">The last pair of figures answers a hardware question: how big does the guard heater have to be, and what happens if it is undersized. The load is stepped to the corner power, then </w:t>
      </w:r>
      <w:r>
        <w:rPr>
          <w:b/>
        </w:rPr>
        <w:t>dumped to 15 W</w:t>
      </w:r>
      <w:r>
        <w:t xml:space="preserve"> partway through — the error reverses sign at that moment, which is precisely when a wound-up integrator shows itself. Four configurations are overlaid: the heater as designed (100 W), a marginal ceiling between the steady and peak demand with anti-windup on and off, and a deliberately undersized one below the steady demand.</w:t>
      </w:r>
    </w:p>
    <w:p>
      <w:pPr>
        <w:spacing w:before="160" w:after="40"/>
        <w:jc w:val="center"/>
      </w:pPr>
      <w:r>
        <w:drawing>
          <wp:inline xmlns:a="http://schemas.openxmlformats.org/drawingml/2006/main" xmlns:pic="http://schemas.openxmlformats.org/drawingml/2006/picture">
            <wp:extent cx="5669280" cy="1587398"/>
            <wp:docPr id="5" name="Picture 5"/>
            <wp:cNvGraphicFramePr>
              <a:graphicFrameLocks noChangeAspect="1"/>
            </wp:cNvGraphicFramePr>
            <a:graphic>
              <a:graphicData uri="http://schemas.openxmlformats.org/drawingml/2006/picture">
                <pic:pic>
                  <pic:nvPicPr>
                    <pic:cNvPr id="0" name="windup_150W_dT20K.png"/>
                    <pic:cNvPicPr/>
                  </pic:nvPicPr>
                  <pic:blipFill>
                    <a:blip r:embed="rId20"/>
                    <a:stretch>
                      <a:fillRect/>
                    </a:stretch>
                  </pic:blipFill>
                  <pic:spPr>
                    <a:xfrm>
                      <a:off x="0" y="0"/>
                      <a:ext cx="5669280" cy="1587398"/>
                    </a:xfrm>
                    <a:prstGeom prst="rect"/>
                  </pic:spPr>
                </pic:pic>
              </a:graphicData>
            </a:graphic>
          </wp:inline>
        </w:drawing>
      </w:r>
    </w:p>
    <w:p>
      <w:pPr>
        <w:spacing w:after="240"/>
        <w:jc w:val="left"/>
      </w:pPr>
      <w:r>
        <w:rPr>
          <w:b/>
          <w:sz w:val="18"/>
        </w:rPr>
        <w:t>Figure 5.</w:t>
      </w:r>
      <w:r>
        <w:rPr>
          <w:sz w:val="18"/>
        </w:rPr>
        <w:t xml:space="preserve"> </w:t>
      </w:r>
      <w:r>
        <w:rPr>
          <w:b/>
          <w:sz w:val="18"/>
        </w:rPr>
        <w:t>Saturation and anti-windup at 150 W / 20 K, load dumped to 15 W at 25 min.</w:t>
      </w:r>
      <w:r>
        <w:rPr>
          <w:sz w:val="18"/>
        </w:rPr>
        <w:t xml:space="preserve"> Steady guard demand at this corner is 11.5 W with a transient peak of 16.6 W. </w:t>
      </w:r>
      <w:r>
        <w:rPr>
          <w:b/>
          <w:sz w:val="18"/>
        </w:rPr>
        <w:t>Blue, 100 W as designed:</w:t>
      </w:r>
      <w:r>
        <w:rPr>
          <w:sz w:val="18"/>
        </w:rPr>
        <w:t xml:space="preserve"> never saturates, null error stays small, recovery after the dump takes 4.2 min. </w:t>
      </w:r>
      <w:r>
        <w:rPr>
          <w:b/>
          <w:sz w:val="18"/>
        </w:rPr>
        <w:t>Orange and green, 13.3 W marginal:</w:t>
      </w:r>
      <w:r>
        <w:rPr>
          <w:sz w:val="18"/>
        </w:rPr>
        <w:t xml:space="preserve"> clipped 24 % of the run; the two traces are nearly indistinguishable, so with a ceiling this close to the demand, anti-windup is barely exercised (peak integrator 1 442 vs 1 473 K·s, recovery 5.2 vs 5.3 min). </w:t>
      </w:r>
      <w:r>
        <w:rPr>
          <w:b/>
          <w:sz w:val="18"/>
        </w:rPr>
        <w:t>Red, 8.0 W undersized:</w:t>
      </w:r>
      <w:r>
        <w:rPr>
          <w:sz w:val="18"/>
        </w:rPr>
        <w:t xml:space="preserve"> clipped 48 % of the run, the integrator winds to 6 418 K·s — more than eight times the healthy case — the null error swings ±6 K, and recovery takes </w:t>
      </w:r>
      <w:r>
        <w:rPr>
          <w:b/>
          <w:sz w:val="18"/>
        </w:rPr>
        <w:t>22.4 min</w:t>
      </w:r>
      <w:r>
        <w:rPr>
          <w:sz w:val="18"/>
        </w:rPr>
        <w:t xml:space="preserve"> against 4.2. That is a sizing failure, and no amount of controller tuning fixes it.</w:t>
      </w:r>
    </w:p>
    <w:p>
      <w:pPr>
        <w:spacing w:before="160" w:after="40"/>
        <w:jc w:val="center"/>
      </w:pPr>
      <w:r>
        <w:drawing>
          <wp:inline xmlns:a="http://schemas.openxmlformats.org/drawingml/2006/main" xmlns:pic="http://schemas.openxmlformats.org/drawingml/2006/picture">
            <wp:extent cx="5669280" cy="1587398"/>
            <wp:docPr id="6" name="Picture 6"/>
            <wp:cNvGraphicFramePr>
              <a:graphicFrameLocks noChangeAspect="1"/>
            </wp:cNvGraphicFramePr>
            <a:graphic>
              <a:graphicData uri="http://schemas.openxmlformats.org/drawingml/2006/picture">
                <pic:pic>
                  <pic:nvPicPr>
                    <pic:cNvPr id="0" name="windup_200W_dT8K.png"/>
                    <pic:cNvPicPr/>
                  </pic:nvPicPr>
                  <pic:blipFill>
                    <a:blip r:embed="rId21"/>
                    <a:stretch>
                      <a:fillRect/>
                    </a:stretch>
                  </pic:blipFill>
                  <pic:spPr>
                    <a:xfrm>
                      <a:off x="0" y="0"/>
                      <a:ext cx="5669280" cy="1587398"/>
                    </a:xfrm>
                    <a:prstGeom prst="rect"/>
                  </pic:spPr>
                </pic:pic>
              </a:graphicData>
            </a:graphic>
          </wp:inline>
        </w:drawing>
      </w:r>
    </w:p>
    <w:p>
      <w:pPr>
        <w:spacing w:after="240"/>
        <w:jc w:val="left"/>
      </w:pPr>
      <w:r>
        <w:rPr>
          <w:b/>
          <w:sz w:val="18"/>
        </w:rPr>
        <w:t>Figure 6.</w:t>
      </w:r>
      <w:r>
        <w:rPr>
          <w:sz w:val="18"/>
        </w:rPr>
        <w:t xml:space="preserve"> </w:t>
      </w:r>
      <w:r>
        <w:rPr>
          <w:b/>
          <w:sz w:val="18"/>
        </w:rPr>
        <w:t>The same study at 200 W / 8 K.</w:t>
      </w:r>
      <w:r>
        <w:rPr>
          <w:sz w:val="18"/>
        </w:rPr>
        <w:t xml:space="preserve"> Steady demand 5.9 W, transient peak 14.1 W — note that the steady demand is </w:t>
      </w:r>
      <w:r>
        <w:rPr>
          <w:i/>
          <w:sz w:val="18"/>
        </w:rPr>
        <w:t>lower</w:t>
      </w:r>
      <w:r>
        <w:rPr>
          <w:sz w:val="18"/>
        </w:rPr>
        <w:t xml:space="preserve"> here than at 150 W / 20 K, because the high flow keeps the chamber cooler, while the transient peak is similar. An undersized 4.2 W heater is clipped for 58.7 % of the run and takes 17.4 min to recover. </w:t>
      </w:r>
      <w:r>
        <w:rPr>
          <w:b/>
          <w:sz w:val="18"/>
        </w:rPr>
        <w:t>The design conclusion is that the guard heater must be sized against the transient peak, not the steady demand</w:t>
      </w:r>
      <w:r>
        <w:rPr>
          <w:sz w:val="18"/>
        </w:rPr>
        <w:t xml:space="preserve"> — roughly a factor of 2.5 apart at these corners. The specified 100 W barrel resistor gives about 6× margin over the worst transient peak seen, which also covers its second role as the guard-side preheat element.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Why every configuration has a slow tail after the load dump</w:t>
            </w:r>
          </w:p>
          <w:p>
            <w:pPr>
              <w:spacing w:after="40"/>
            </w:pPr>
            <w:r>
              <w:rPr>
                <w:sz w:val="19"/>
              </w:rPr>
              <w:t xml:space="preserve">In all four traces the delivered power sits at exactly zero for several minutes after the dump, and the null error takes minutes to come back. That is not a controller problem: </w:t>
            </w:r>
            <w:r>
              <w:rPr>
                <w:b/>
                <w:sz w:val="19"/>
              </w:rPr>
              <w:t>heaters cannot cool.</w:t>
            </w:r>
            <w:r>
              <w:rPr>
                <w:sz w:val="19"/>
              </w:rPr>
              <w:t xml:space="preserve"> Once the demand goes negative the output is pinned at the floor and the gap can only bleed its stored energy off through G</w:t>
            </w:r>
            <w:r>
              <w:rPr>
                <w:sz w:val="19"/>
                <w:vertAlign w:val="subscript"/>
              </w:rPr>
              <w:t>out</w:t>
            </w:r>
            <w:r>
              <w:rPr>
                <w:sz w:val="19"/>
              </w:rPr>
              <w:t xml:space="preserve">, at its own τ. The consequence for the test sequence is that </w:t>
            </w:r>
            <w:r>
              <w:rPr>
                <w:b/>
                <w:sz w:val="19"/>
              </w:rPr>
              <w:t>stepping the load down is slower than stepping it up</w:t>
            </w:r>
            <w:r>
              <w:rPr>
                <w:sz w:val="19"/>
              </w:rPr>
              <w:t>, so a load map should be swept upward wherever possible.</w:t>
            </w:r>
          </w:p>
        </w:tc>
      </w:tr>
    </w:tbl>
    <w:p>
      <w:pPr>
        <w:spacing w:after="80"/>
      </w:pPr>
    </w:p>
    <w:p>
      <w:pPr>
        <w:pStyle w:val="Heading2"/>
      </w:pPr>
      <w:r>
        <w:t>Corner sweep — the shipping configuration</w:t>
      </w:r>
    </w:p>
    <w:p>
      <w:pPr>
        <w:spacing w:after="120"/>
      </w:pPr>
      <w:r>
        <w:t xml:space="preserve">The table below is the model run at </w:t>
      </w:r>
      <w:r>
        <w:rPr>
          <w:b/>
        </w:rPr>
        <w:t>α = 0, the built rig</w:t>
      </w:r>
      <w:r>
        <w:t>, across the design envelope. It is the single most useful output of the simulation, because it is what sets the test schedule.</w:t>
      </w:r>
    </w:p>
    <w:tbl>
      <w:tblPr>
        <w:tblStyle w:val="TableGrid"/>
        <w:tblW w:type="auto" w:w="0"/>
        <w:jc w:val="center"/>
        <w:tblLayout w:type="fixed"/>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821"/>
            <w:shd w:val="clear" w:color="auto" w:fill="DEEAF6"/>
          </w:tcPr>
          <w:p>
            <w:pPr>
              <w:spacing w:after="20" w:before="20"/>
            </w:pPr>
            <w:r/>
            <w:r>
              <w:rPr>
                <w:b/>
                <w:sz w:val="17"/>
              </w:rPr>
              <w:t>P</w:t>
            </w:r>
            <w:r>
              <w:rPr>
                <w:b/>
                <w:sz w:val="17"/>
                <w:vertAlign w:val="subscript"/>
              </w:rPr>
              <w:t>DUT</w:t>
            </w:r>
          </w:p>
        </w:tc>
        <w:tc>
          <w:tcPr>
            <w:tcW w:type="dxa" w:w="739"/>
            <w:shd w:val="clear" w:color="auto" w:fill="DEEAF6"/>
          </w:tcPr>
          <w:p>
            <w:pPr>
              <w:spacing w:after="20" w:before="20"/>
            </w:pPr>
            <w:r/>
            <w:r>
              <w:rPr>
                <w:b/>
                <w:sz w:val="17"/>
              </w:rPr>
              <w:t>ΔT</w:t>
            </w:r>
            <w:r>
              <w:rPr>
                <w:b/>
                <w:sz w:val="17"/>
                <w:vertAlign w:val="subscript"/>
              </w:rPr>
              <w:t>set</w:t>
            </w:r>
          </w:p>
        </w:tc>
        <w:tc>
          <w:tcPr>
            <w:tcW w:type="dxa" w:w="821"/>
            <w:shd w:val="clear" w:color="auto" w:fill="DEEAF6"/>
          </w:tcPr>
          <w:p>
            <w:pPr>
              <w:spacing w:after="20" w:before="20"/>
            </w:pPr>
            <w:r/>
            <w:r>
              <w:rPr>
                <w:b/>
                <w:sz w:val="17"/>
              </w:rPr>
              <w:t>ṁc</w:t>
            </w:r>
            <w:r>
              <w:rPr>
                <w:b/>
                <w:sz w:val="17"/>
                <w:vertAlign w:val="subscript"/>
              </w:rPr>
              <w:t>p</w:t>
            </w:r>
          </w:p>
        </w:tc>
        <w:tc>
          <w:tcPr>
            <w:tcW w:type="dxa" w:w="903"/>
            <w:shd w:val="clear" w:color="auto" w:fill="DEEAF6"/>
          </w:tcPr>
          <w:p>
            <w:pPr>
              <w:spacing w:after="20" w:before="20"/>
            </w:pPr>
            <w:r/>
            <w:r>
              <w:rPr>
                <w:b/>
                <w:sz w:val="17"/>
              </w:rPr>
              <w:t>Flow</w:t>
            </w:r>
          </w:p>
        </w:tc>
        <w:tc>
          <w:tcPr>
            <w:tcW w:type="dxa" w:w="1231"/>
            <w:shd w:val="clear" w:color="auto" w:fill="DEEAF6"/>
          </w:tcPr>
          <w:p>
            <w:pPr>
              <w:spacing w:after="20" w:before="20"/>
            </w:pPr>
            <w:r/>
            <w:r>
              <w:rPr>
                <w:b/>
                <w:sz w:val="17"/>
              </w:rPr>
              <w:t>Gain, guard open</w:t>
            </w:r>
          </w:p>
        </w:tc>
        <w:tc>
          <w:tcPr>
            <w:tcW w:type="dxa" w:w="1067"/>
            <w:shd w:val="clear" w:color="auto" w:fill="DEEAF6"/>
          </w:tcPr>
          <w:p>
            <w:pPr>
              <w:spacing w:after="20" w:before="20"/>
            </w:pPr>
            <w:r/>
            <w:r>
              <w:rPr>
                <w:b/>
                <w:sz w:val="17"/>
              </w:rPr>
              <w:t>Gain, guard closed</w:t>
            </w:r>
          </w:p>
        </w:tc>
        <w:tc>
          <w:tcPr>
            <w:tcW w:type="dxa" w:w="985"/>
            <w:shd w:val="clear" w:color="auto" w:fill="DEEAF6"/>
          </w:tcPr>
          <w:p>
            <w:pPr>
              <w:spacing w:after="20" w:before="20"/>
            </w:pPr>
            <w:r/>
            <w:r>
              <w:rPr>
                <w:b/>
                <w:sz w:val="17"/>
              </w:rPr>
              <w:t>1 % settling</w:t>
            </w:r>
          </w:p>
        </w:tc>
        <w:tc>
          <w:tcPr>
            <w:tcW w:type="dxa" w:w="821"/>
            <w:shd w:val="clear" w:color="auto" w:fill="DEEAF6"/>
          </w:tcPr>
          <w:p>
            <w:pPr>
              <w:spacing w:after="20" w:before="20"/>
            </w:pPr>
            <w:r/>
            <w:r>
              <w:rPr>
                <w:b/>
                <w:sz w:val="17"/>
              </w:rPr>
              <w:t>Peak |e|</w:t>
            </w:r>
          </w:p>
        </w:tc>
        <w:tc>
          <w:tcPr>
            <w:tcW w:type="dxa" w:w="821"/>
            <w:shd w:val="clear" w:color="auto" w:fill="DEEAF6"/>
          </w:tcPr>
          <w:p>
            <w:pPr>
              <w:spacing w:after="20" w:before="20"/>
            </w:pPr>
            <w:r/>
            <w:r>
              <w:rPr>
                <w:b/>
                <w:sz w:val="17"/>
              </w:rPr>
              <w:t>Peak leak</w:t>
            </w:r>
          </w:p>
        </w:tc>
        <w:tc>
          <w:tcPr>
            <w:tcW w:type="dxa" w:w="821"/>
            <w:shd w:val="clear" w:color="auto" w:fill="DEEAF6"/>
          </w:tcPr>
          <w:p>
            <w:pPr>
              <w:spacing w:after="20" w:before="20"/>
            </w:pPr>
            <w:r/>
            <w:r>
              <w:rPr>
                <w:b/>
                <w:sz w:val="17"/>
              </w:rPr>
              <w:t>P</w:t>
            </w:r>
            <w:r>
              <w:rPr>
                <w:b/>
                <w:sz w:val="17"/>
                <w:vertAlign w:val="subscript"/>
              </w:rPr>
              <w:t>e</w:t>
            </w:r>
            <w:r>
              <w:rPr>
                <w:b/>
                <w:sz w:val="17"/>
              </w:rPr>
              <w:t xml:space="preserve"> steady</w:t>
            </w:r>
          </w:p>
        </w:tc>
      </w:tr>
      <w:tr>
        <w:tc>
          <w:tcPr>
            <w:tcW w:type="dxa" w:w="821"/>
          </w:tcPr>
          <w:p>
            <w:pPr>
              <w:spacing w:after="20" w:before="20"/>
            </w:pPr>
            <w:r/>
            <w:r>
              <w:rPr>
                <w:sz w:val="17"/>
              </w:rPr>
              <w:t>15 W</w:t>
            </w:r>
          </w:p>
        </w:tc>
        <w:tc>
          <w:tcPr>
            <w:tcW w:type="dxa" w:w="739"/>
          </w:tcPr>
          <w:p>
            <w:pPr>
              <w:spacing w:after="20" w:before="20"/>
            </w:pPr>
            <w:r/>
            <w:r>
              <w:rPr>
                <w:sz w:val="17"/>
              </w:rPr>
              <w:t>5 K</w:t>
            </w:r>
          </w:p>
        </w:tc>
        <w:tc>
          <w:tcPr>
            <w:tcW w:type="dxa" w:w="821"/>
          </w:tcPr>
          <w:p>
            <w:pPr>
              <w:spacing w:after="20" w:before="20"/>
            </w:pPr>
            <w:r/>
            <w:r>
              <w:rPr>
                <w:sz w:val="17"/>
              </w:rPr>
              <w:t>3.00 W/K</w:t>
            </w:r>
          </w:p>
        </w:tc>
        <w:tc>
          <w:tcPr>
            <w:tcW w:type="dxa" w:w="903"/>
          </w:tcPr>
          <w:p>
            <w:pPr>
              <w:spacing w:after="20" w:before="20"/>
            </w:pPr>
            <w:r/>
            <w:r>
              <w:rPr>
                <w:sz w:val="17"/>
              </w:rPr>
              <w:t>43 mL/min</w:t>
            </w:r>
          </w:p>
        </w:tc>
        <w:tc>
          <w:tcPr>
            <w:tcW w:type="dxa" w:w="1231"/>
          </w:tcPr>
          <w:p>
            <w:pPr>
              <w:spacing w:after="20" w:before="20"/>
            </w:pPr>
            <w:r/>
            <w:r>
              <w:rPr>
                <w:sz w:val="17"/>
              </w:rPr>
              <w:t>0.9162 (−8.4 %)</w:t>
            </w:r>
          </w:p>
        </w:tc>
        <w:tc>
          <w:tcPr>
            <w:tcW w:type="dxa" w:w="1067"/>
          </w:tcPr>
          <w:p>
            <w:pPr>
              <w:spacing w:after="20" w:before="20"/>
            </w:pPr>
            <w:r/>
            <w:r>
              <w:rPr>
                <w:b/>
                <w:sz w:val="17"/>
              </w:rPr>
              <w:t>1.000000</w:t>
            </w:r>
          </w:p>
        </w:tc>
        <w:tc>
          <w:tcPr>
            <w:tcW w:type="dxa" w:w="985"/>
          </w:tcPr>
          <w:p>
            <w:pPr>
              <w:spacing w:after="20" w:before="20"/>
            </w:pPr>
            <w:r/>
            <w:r>
              <w:rPr>
                <w:b/>
                <w:sz w:val="17"/>
              </w:rPr>
              <w:t>63.6 min</w:t>
            </w:r>
          </w:p>
        </w:tc>
        <w:tc>
          <w:tcPr>
            <w:tcW w:type="dxa" w:w="821"/>
          </w:tcPr>
          <w:p>
            <w:pPr>
              <w:spacing w:after="20" w:before="20"/>
            </w:pPr>
            <w:r/>
            <w:r>
              <w:rPr>
                <w:sz w:val="17"/>
              </w:rPr>
              <w:t>0.32 K ✓</w:t>
            </w:r>
          </w:p>
        </w:tc>
        <w:tc>
          <w:tcPr>
            <w:tcW w:type="dxa" w:w="821"/>
          </w:tcPr>
          <w:p>
            <w:pPr>
              <w:spacing w:after="20" w:before="20"/>
            </w:pPr>
            <w:r/>
            <w:r>
              <w:rPr>
                <w:sz w:val="17"/>
              </w:rPr>
              <w:t>0.18 W</w:t>
            </w:r>
          </w:p>
        </w:tc>
        <w:tc>
          <w:tcPr>
            <w:tcW w:type="dxa" w:w="821"/>
          </w:tcPr>
          <w:p>
            <w:pPr>
              <w:spacing w:after="20" w:before="20"/>
            </w:pPr>
            <w:r/>
            <w:r>
              <w:rPr>
                <w:sz w:val="17"/>
              </w:rPr>
              <w:t>4.7 W</w:t>
            </w:r>
          </w:p>
        </w:tc>
      </w:tr>
      <w:tr>
        <w:tc>
          <w:tcPr>
            <w:tcW w:type="dxa" w:w="821"/>
          </w:tcPr>
          <w:p>
            <w:pPr>
              <w:spacing w:after="20" w:before="20"/>
            </w:pPr>
            <w:r/>
            <w:r>
              <w:rPr>
                <w:sz w:val="17"/>
              </w:rPr>
              <w:t>50 W</w:t>
            </w:r>
          </w:p>
        </w:tc>
        <w:tc>
          <w:tcPr>
            <w:tcW w:type="dxa" w:w="739"/>
          </w:tcPr>
          <w:p>
            <w:pPr>
              <w:spacing w:after="20" w:before="20"/>
            </w:pPr>
            <w:r/>
            <w:r>
              <w:rPr>
                <w:sz w:val="17"/>
              </w:rPr>
              <w:t>8 K</w:t>
            </w:r>
          </w:p>
        </w:tc>
        <w:tc>
          <w:tcPr>
            <w:tcW w:type="dxa" w:w="821"/>
          </w:tcPr>
          <w:p>
            <w:pPr>
              <w:spacing w:after="20" w:before="20"/>
            </w:pPr>
            <w:r/>
            <w:r>
              <w:rPr>
                <w:sz w:val="17"/>
              </w:rPr>
              <w:t>6.25 W/K</w:t>
            </w:r>
          </w:p>
        </w:tc>
        <w:tc>
          <w:tcPr>
            <w:tcW w:type="dxa" w:w="903"/>
          </w:tcPr>
          <w:p>
            <w:pPr>
              <w:spacing w:after="20" w:before="20"/>
            </w:pPr>
            <w:r/>
            <w:r>
              <w:rPr>
                <w:sz w:val="17"/>
              </w:rPr>
              <w:t>90 mL/min</w:t>
            </w:r>
          </w:p>
        </w:tc>
        <w:tc>
          <w:tcPr>
            <w:tcW w:type="dxa" w:w="1231"/>
          </w:tcPr>
          <w:p>
            <w:pPr>
              <w:spacing w:after="20" w:before="20"/>
            </w:pPr>
            <w:r/>
            <w:r>
              <w:rPr>
                <w:sz w:val="17"/>
              </w:rPr>
              <w:t>0.9540 (−4.6 %)</w:t>
            </w:r>
          </w:p>
        </w:tc>
        <w:tc>
          <w:tcPr>
            <w:tcW w:type="dxa" w:w="1067"/>
          </w:tcPr>
          <w:p>
            <w:pPr>
              <w:spacing w:after="20" w:before="20"/>
            </w:pPr>
            <w:r/>
            <w:r>
              <w:rPr>
                <w:b/>
                <w:sz w:val="17"/>
              </w:rPr>
              <w:t>1.000000</w:t>
            </w:r>
          </w:p>
        </w:tc>
        <w:tc>
          <w:tcPr>
            <w:tcW w:type="dxa" w:w="985"/>
          </w:tcPr>
          <w:p>
            <w:pPr>
              <w:spacing w:after="20" w:before="20"/>
            </w:pPr>
            <w:r/>
            <w:r>
              <w:rPr>
                <w:sz w:val="17"/>
              </w:rPr>
              <w:t>30.8 min</w:t>
            </w:r>
          </w:p>
        </w:tc>
        <w:tc>
          <w:tcPr>
            <w:tcW w:type="dxa" w:w="821"/>
          </w:tcPr>
          <w:p>
            <w:pPr>
              <w:spacing w:after="20" w:before="20"/>
            </w:pPr>
            <w:r/>
            <w:r>
              <w:rPr>
                <w:sz w:val="17"/>
              </w:rPr>
              <w:t>1.07 K ✓</w:t>
            </w:r>
          </w:p>
        </w:tc>
        <w:tc>
          <w:tcPr>
            <w:tcW w:type="dxa" w:w="821"/>
          </w:tcPr>
          <w:p>
            <w:pPr>
              <w:spacing w:after="20" w:before="20"/>
            </w:pPr>
            <w:r/>
            <w:r>
              <w:rPr>
                <w:sz w:val="17"/>
              </w:rPr>
              <w:t>0.60 W</w:t>
            </w:r>
          </w:p>
        </w:tc>
        <w:tc>
          <w:tcPr>
            <w:tcW w:type="dxa" w:w="821"/>
          </w:tcPr>
          <w:p>
            <w:pPr>
              <w:spacing w:after="20" w:before="20"/>
            </w:pPr>
            <w:r/>
            <w:r>
              <w:rPr>
                <w:sz w:val="17"/>
              </w:rPr>
              <w:t>6.6 W</w:t>
            </w:r>
          </w:p>
        </w:tc>
      </w:tr>
      <w:tr>
        <w:tc>
          <w:tcPr>
            <w:tcW w:type="dxa" w:w="821"/>
          </w:tcPr>
          <w:p>
            <w:pPr>
              <w:spacing w:after="20" w:before="20"/>
            </w:pPr>
            <w:r/>
            <w:r>
              <w:rPr>
                <w:sz w:val="17"/>
              </w:rPr>
              <w:t>100 W</w:t>
            </w:r>
          </w:p>
        </w:tc>
        <w:tc>
          <w:tcPr>
            <w:tcW w:type="dxa" w:w="739"/>
          </w:tcPr>
          <w:p>
            <w:pPr>
              <w:spacing w:after="20" w:before="20"/>
            </w:pPr>
            <w:r/>
            <w:r>
              <w:rPr>
                <w:sz w:val="17"/>
              </w:rPr>
              <w:t>10 K</w:t>
            </w:r>
          </w:p>
        </w:tc>
        <w:tc>
          <w:tcPr>
            <w:tcW w:type="dxa" w:w="821"/>
          </w:tcPr>
          <w:p>
            <w:pPr>
              <w:spacing w:after="20" w:before="20"/>
            </w:pPr>
            <w:r/>
            <w:r>
              <w:rPr>
                <w:sz w:val="17"/>
              </w:rPr>
              <w:t>10.0 W/K</w:t>
            </w:r>
          </w:p>
        </w:tc>
        <w:tc>
          <w:tcPr>
            <w:tcW w:type="dxa" w:w="903"/>
          </w:tcPr>
          <w:p>
            <w:pPr>
              <w:spacing w:after="20" w:before="20"/>
            </w:pPr>
            <w:r/>
            <w:r>
              <w:rPr>
                <w:sz w:val="17"/>
              </w:rPr>
              <w:t>144 mL/min</w:t>
            </w:r>
          </w:p>
        </w:tc>
        <w:tc>
          <w:tcPr>
            <w:tcW w:type="dxa" w:w="1231"/>
          </w:tcPr>
          <w:p>
            <w:pPr>
              <w:spacing w:after="20" w:before="20"/>
            </w:pPr>
            <w:r/>
            <w:r>
              <w:rPr>
                <w:sz w:val="17"/>
              </w:rPr>
              <w:t>0.9678 (−3.2 %)</w:t>
            </w:r>
          </w:p>
        </w:tc>
        <w:tc>
          <w:tcPr>
            <w:tcW w:type="dxa" w:w="1067"/>
          </w:tcPr>
          <w:p>
            <w:pPr>
              <w:spacing w:after="20" w:before="20"/>
            </w:pPr>
            <w:r/>
            <w:r>
              <w:rPr>
                <w:b/>
                <w:sz w:val="17"/>
              </w:rPr>
              <w:t>1.000000</w:t>
            </w:r>
          </w:p>
        </w:tc>
        <w:tc>
          <w:tcPr>
            <w:tcW w:type="dxa" w:w="985"/>
          </w:tcPr>
          <w:p>
            <w:pPr>
              <w:spacing w:after="20" w:before="20"/>
            </w:pPr>
            <w:r/>
            <w:r>
              <w:rPr>
                <w:sz w:val="17"/>
              </w:rPr>
              <w:t>19.4 min</w:t>
            </w:r>
          </w:p>
        </w:tc>
        <w:tc>
          <w:tcPr>
            <w:tcW w:type="dxa" w:w="821"/>
          </w:tcPr>
          <w:p>
            <w:pPr>
              <w:spacing w:after="20" w:before="20"/>
            </w:pPr>
            <w:r/>
            <w:r>
              <w:rPr>
                <w:sz w:val="17"/>
              </w:rPr>
              <w:t>2.13 K ✗</w:t>
            </w:r>
          </w:p>
        </w:tc>
        <w:tc>
          <w:tcPr>
            <w:tcW w:type="dxa" w:w="821"/>
          </w:tcPr>
          <w:p>
            <w:pPr>
              <w:spacing w:after="20" w:before="20"/>
            </w:pPr>
            <w:r/>
            <w:r>
              <w:rPr>
                <w:sz w:val="17"/>
              </w:rPr>
              <w:t>1.19 W</w:t>
            </w:r>
          </w:p>
        </w:tc>
        <w:tc>
          <w:tcPr>
            <w:tcW w:type="dxa" w:w="821"/>
          </w:tcPr>
          <w:p>
            <w:pPr>
              <w:spacing w:after="20" w:before="20"/>
            </w:pPr>
            <w:r/>
            <w:r>
              <w:rPr>
                <w:sz w:val="17"/>
              </w:rPr>
              <w:t>8.3 W</w:t>
            </w:r>
          </w:p>
        </w:tc>
      </w:tr>
      <w:tr>
        <w:tc>
          <w:tcPr>
            <w:tcW w:type="dxa" w:w="821"/>
          </w:tcPr>
          <w:p>
            <w:pPr>
              <w:spacing w:after="20" w:before="20"/>
            </w:pPr>
            <w:r/>
            <w:r>
              <w:rPr>
                <w:sz w:val="17"/>
              </w:rPr>
              <w:t>150 W</w:t>
            </w:r>
          </w:p>
        </w:tc>
        <w:tc>
          <w:tcPr>
            <w:tcW w:type="dxa" w:w="739"/>
          </w:tcPr>
          <w:p>
            <w:pPr>
              <w:spacing w:after="20" w:before="20"/>
            </w:pPr>
            <w:r/>
            <w:r>
              <w:rPr>
                <w:sz w:val="17"/>
              </w:rPr>
              <w:t>10 K</w:t>
            </w:r>
          </w:p>
        </w:tc>
        <w:tc>
          <w:tcPr>
            <w:tcW w:type="dxa" w:w="821"/>
          </w:tcPr>
          <w:p>
            <w:pPr>
              <w:spacing w:after="20" w:before="20"/>
            </w:pPr>
            <w:r/>
            <w:r>
              <w:rPr>
                <w:sz w:val="17"/>
              </w:rPr>
              <w:t>15.0 W/K</w:t>
            </w:r>
          </w:p>
        </w:tc>
        <w:tc>
          <w:tcPr>
            <w:tcW w:type="dxa" w:w="903"/>
          </w:tcPr>
          <w:p>
            <w:pPr>
              <w:spacing w:after="20" w:before="20"/>
            </w:pPr>
            <w:r/>
            <w:r>
              <w:rPr>
                <w:sz w:val="17"/>
              </w:rPr>
              <w:t>216 mL/min</w:t>
            </w:r>
          </w:p>
        </w:tc>
        <w:tc>
          <w:tcPr>
            <w:tcW w:type="dxa" w:w="1231"/>
          </w:tcPr>
          <w:p>
            <w:pPr>
              <w:spacing w:after="20" w:before="20"/>
            </w:pPr>
            <w:r/>
            <w:r>
              <w:rPr>
                <w:sz w:val="17"/>
              </w:rPr>
              <w:t>0.9757 (−2.4 %)</w:t>
            </w:r>
          </w:p>
        </w:tc>
        <w:tc>
          <w:tcPr>
            <w:tcW w:type="dxa" w:w="1067"/>
          </w:tcPr>
          <w:p>
            <w:pPr>
              <w:spacing w:after="20" w:before="20"/>
            </w:pPr>
            <w:r/>
            <w:r>
              <w:rPr>
                <w:b/>
                <w:sz w:val="17"/>
              </w:rPr>
              <w:t>1.000000</w:t>
            </w:r>
          </w:p>
        </w:tc>
        <w:tc>
          <w:tcPr>
            <w:tcW w:type="dxa" w:w="985"/>
          </w:tcPr>
          <w:p>
            <w:pPr>
              <w:spacing w:after="20" w:before="20"/>
            </w:pPr>
            <w:r/>
            <w:r>
              <w:rPr>
                <w:sz w:val="17"/>
              </w:rPr>
              <w:t>13.2 min</w:t>
            </w:r>
          </w:p>
        </w:tc>
        <w:tc>
          <w:tcPr>
            <w:tcW w:type="dxa" w:w="821"/>
          </w:tcPr>
          <w:p>
            <w:pPr>
              <w:spacing w:after="20" w:before="20"/>
            </w:pPr>
            <w:r/>
            <w:r>
              <w:rPr>
                <w:sz w:val="17"/>
              </w:rPr>
              <w:t>3.16 K ✗</w:t>
            </w:r>
          </w:p>
        </w:tc>
        <w:tc>
          <w:tcPr>
            <w:tcW w:type="dxa" w:w="821"/>
          </w:tcPr>
          <w:p>
            <w:pPr>
              <w:spacing w:after="20" w:before="20"/>
            </w:pPr>
            <w:r/>
            <w:r>
              <w:rPr>
                <w:sz w:val="17"/>
              </w:rPr>
              <w:t>1.77 W</w:t>
            </w:r>
          </w:p>
        </w:tc>
        <w:tc>
          <w:tcPr>
            <w:tcW w:type="dxa" w:w="821"/>
          </w:tcPr>
          <w:p>
            <w:pPr>
              <w:spacing w:after="20" w:before="20"/>
            </w:pPr>
            <w:r/>
            <w:r>
              <w:rPr>
                <w:sz w:val="17"/>
              </w:rPr>
              <w:t>9.0 W</w:t>
            </w:r>
          </w:p>
        </w:tc>
      </w:tr>
      <w:tr>
        <w:tc>
          <w:tcPr>
            <w:tcW w:type="dxa" w:w="821"/>
          </w:tcPr>
          <w:p>
            <w:pPr>
              <w:spacing w:after="20" w:before="20"/>
            </w:pPr>
            <w:r/>
            <w:r>
              <w:rPr>
                <w:sz w:val="17"/>
              </w:rPr>
              <w:t>200 W</w:t>
            </w:r>
          </w:p>
        </w:tc>
        <w:tc>
          <w:tcPr>
            <w:tcW w:type="dxa" w:w="739"/>
          </w:tcPr>
          <w:p>
            <w:pPr>
              <w:spacing w:after="20" w:before="20"/>
            </w:pPr>
            <w:r/>
            <w:r>
              <w:rPr>
                <w:sz w:val="17"/>
              </w:rPr>
              <w:t>10 K</w:t>
            </w:r>
          </w:p>
        </w:tc>
        <w:tc>
          <w:tcPr>
            <w:tcW w:type="dxa" w:w="821"/>
          </w:tcPr>
          <w:p>
            <w:pPr>
              <w:spacing w:after="20" w:before="20"/>
            </w:pPr>
            <w:r/>
            <w:r>
              <w:rPr>
                <w:sz w:val="17"/>
              </w:rPr>
              <w:t>20.0 W/K</w:t>
            </w:r>
          </w:p>
        </w:tc>
        <w:tc>
          <w:tcPr>
            <w:tcW w:type="dxa" w:w="903"/>
          </w:tcPr>
          <w:p>
            <w:pPr>
              <w:spacing w:after="20" w:before="20"/>
            </w:pPr>
            <w:r/>
            <w:r>
              <w:rPr>
                <w:sz w:val="17"/>
              </w:rPr>
              <w:t>289 mL/min</w:t>
            </w:r>
          </w:p>
        </w:tc>
        <w:tc>
          <w:tcPr>
            <w:tcW w:type="dxa" w:w="1231"/>
          </w:tcPr>
          <w:p>
            <w:pPr>
              <w:spacing w:after="20" w:before="20"/>
            </w:pPr>
            <w:r/>
            <w:r>
              <w:rPr>
                <w:sz w:val="17"/>
              </w:rPr>
              <w:t>0.9796 (−2.0 %)</w:t>
            </w:r>
          </w:p>
        </w:tc>
        <w:tc>
          <w:tcPr>
            <w:tcW w:type="dxa" w:w="1067"/>
          </w:tcPr>
          <w:p>
            <w:pPr>
              <w:spacing w:after="20" w:before="20"/>
            </w:pPr>
            <w:r/>
            <w:r>
              <w:rPr>
                <w:b/>
                <w:sz w:val="17"/>
              </w:rPr>
              <w:t>1.000000</w:t>
            </w:r>
          </w:p>
        </w:tc>
        <w:tc>
          <w:tcPr>
            <w:tcW w:type="dxa" w:w="985"/>
          </w:tcPr>
          <w:p>
            <w:pPr>
              <w:spacing w:after="20" w:before="20"/>
            </w:pPr>
            <w:r/>
            <w:r>
              <w:rPr>
                <w:sz w:val="17"/>
              </w:rPr>
              <w:t>10.1 min</w:t>
            </w:r>
          </w:p>
        </w:tc>
        <w:tc>
          <w:tcPr>
            <w:tcW w:type="dxa" w:w="821"/>
          </w:tcPr>
          <w:p>
            <w:pPr>
              <w:spacing w:after="20" w:before="20"/>
            </w:pPr>
            <w:r/>
            <w:r>
              <w:rPr>
                <w:sz w:val="17"/>
              </w:rPr>
              <w:t>4.18 K ✗</w:t>
            </w:r>
          </w:p>
        </w:tc>
        <w:tc>
          <w:tcPr>
            <w:tcW w:type="dxa" w:w="821"/>
          </w:tcPr>
          <w:p>
            <w:pPr>
              <w:spacing w:after="20" w:before="20"/>
            </w:pPr>
            <w:r/>
            <w:r>
              <w:rPr>
                <w:sz w:val="17"/>
              </w:rPr>
              <w:t>2.34 W</w:t>
            </w:r>
          </w:p>
        </w:tc>
        <w:tc>
          <w:tcPr>
            <w:tcW w:type="dxa" w:w="821"/>
          </w:tcPr>
          <w:p>
            <w:pPr>
              <w:spacing w:after="20" w:before="20"/>
            </w:pPr>
            <w:r/>
            <w:r>
              <w:rPr>
                <w:sz w:val="17"/>
              </w:rPr>
              <w:t>9.8 W</w:t>
            </w:r>
          </w:p>
        </w:tc>
      </w:tr>
    </w:tbl>
    <w:p>
      <w:pPr>
        <w:spacing w:before="60" w:after="200"/>
        <w:jc w:val="left"/>
      </w:pPr>
      <w:r>
        <w:rPr>
          <w:i/>
          <w:sz w:val="18"/>
        </w:rPr>
        <w:t xml:space="preserve">Table 27. Closed-loop corner sweep at α = 0, flow matched to the load, step from a parked rig. ✓/✗ marks the 1.79 K null gate on the </w:t>
      </w:r>
      <w:r>
        <w:rPr>
          <w:b/>
          <w:i/>
          <w:sz w:val="18"/>
        </w:rPr>
        <w:t>transient</w:t>
      </w:r>
      <w:r>
        <w:rPr>
          <w:i/>
          <w:sz w:val="18"/>
        </w:rPr>
        <w:t xml:space="preserve"> peak; every corner satisfies it in steady state, which is what the logged point depends on.</w:t>
      </w:r>
    </w:p>
    <w:p>
      <w:pPr>
        <w:spacing w:after="120"/>
      </w:pPr>
      <w:r>
        <w:t>Three readings, two of which are warnings:</w:t>
      </w:r>
    </w:p>
    <w:p>
      <w:pPr>
        <w:spacing w:after="60" w:before="0"/>
        <w:ind w:left="720" w:hanging="360"/>
      </w:pPr>
      <w:r>
        <w:t>•</w:t>
        <w:tab/>
      </w:r>
      <w:r>
        <w:rPr>
          <w:b/>
        </w:rPr>
        <w:t>The closed-loop gain is exactly 1 at every corner.</w:t>
      </w:r>
      <w:r>
        <w:t xml:space="preserve"> Five different flows, five different plants, one answer. This is the central result of the whole modelling effort: the instrument is unbiased by construction, not by calibration.</w:t>
      </w:r>
    </w:p>
    <w:p>
      <w:pPr>
        <w:spacing w:after="60" w:before="0"/>
        <w:ind w:left="720" w:hanging="360"/>
      </w:pPr>
      <w:r>
        <w:t>•</w:t>
        <w:tab/>
      </w:r>
      <w:r>
        <w:rPr>
          <w:b/>
        </w:rPr>
        <w:t>The cold corner is an hour.</w:t>
      </w:r>
      <w:r>
        <w:t xml:space="preserve"> 63.6 min at 15 W. The mechanism is not the foam — it is that (C</w:t>
      </w:r>
      <w:r>
        <w:rPr>
          <w:vertAlign w:val="subscript"/>
        </w:rPr>
        <w:t>i</w:t>
      </w:r>
      <w:r>
        <w:t xml:space="preserve"> + C</w:t>
      </w:r>
      <w:r>
        <w:rPr>
          <w:vertAlign w:val="subscript"/>
        </w:rPr>
        <w:t>w</w:t>
      </w:r>
      <w:r>
        <w:t>) ≈ 2.45 kJ/K has to be swept out through only 3 W/K of advection at 43 mL/min. Three levers exist, cheapest first: raise the flow and accept a smaller water ΔT; reduce C</w:t>
      </w:r>
      <w:r>
        <w:rPr>
          <w:vertAlign w:val="subscript"/>
        </w:rPr>
        <w:t>w</w:t>
      </w:r>
      <w:r>
        <w:t xml:space="preserve"> (every kJ/K removed is worth roughly five minutes); or estimate the steady value from the transient instead of waiting for it, which is a firmware change rather than a hardware one and is discussed in §7.9.2.</w:t>
      </w:r>
    </w:p>
    <w:p>
      <w:pPr>
        <w:spacing w:after="60" w:before="0"/>
        <w:ind w:left="720" w:hanging="360"/>
      </w:pPr>
      <w:r>
        <w:t>•</w:t>
        <w:tab/>
      </w:r>
      <w:r>
        <w:rPr>
          <w:b/>
        </w:rPr>
        <w:t>The transient null error grows with power</w:t>
      </w:r>
      <w:r>
        <w:t xml:space="preserve"> and crosses the gate above about 100 W. As established above, it costs schedule rather than accuracy.</w:t>
      </w:r>
    </w:p>
    <w:p>
      <w:pPr>
        <w:pStyle w:val="Heading2"/>
      </w:pPr>
      <w:r>
        <w:t>Ablation — what the guard is actually worth</w:t>
      </w:r>
    </w:p>
    <w:p>
      <w:pPr>
        <w:spacing w:after="120"/>
      </w:pPr>
      <w:r>
        <w:t>Same plant, same operating point, three guard configurations: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val="true"/>
        </w:trPr>
        <w:tc>
          <w:tcPr>
            <w:tcW w:type="dxa" w:w="2176"/>
            <w:shd w:val="clear" w:color="auto" w:fill="DEEAF6"/>
          </w:tcPr>
          <w:p>
            <w:pPr>
              <w:spacing w:after="20" w:before="20"/>
            </w:pPr>
            <w:r/>
            <w:r>
              <w:rPr>
                <w:b/>
                <w:sz w:val="18"/>
              </w:rPr>
              <w:t>Guard configuration</w:t>
            </w:r>
          </w:p>
        </w:tc>
        <w:tc>
          <w:tcPr>
            <w:tcW w:type="dxa" w:w="1632"/>
            <w:shd w:val="clear" w:color="auto" w:fill="DEEAF6"/>
          </w:tcPr>
          <w:p>
            <w:pPr>
              <w:spacing w:after="20" w:before="20"/>
            </w:pPr>
            <w:r/>
            <w:r>
              <w:rPr>
                <w:b/>
                <w:sz w:val="18"/>
              </w:rPr>
              <w:t>DC gain P</w:t>
            </w:r>
            <w:r>
              <w:rPr>
                <w:b/>
                <w:sz w:val="18"/>
                <w:vertAlign w:val="subscript"/>
              </w:rPr>
              <w:t>DUT</w:t>
            </w:r>
            <w:r>
              <w:rPr>
                <w:b/>
                <w:sz w:val="18"/>
              </w:rPr>
              <w:t xml:space="preserve"> → P̂</w:t>
            </w:r>
          </w:p>
        </w:tc>
        <w:tc>
          <w:tcPr>
            <w:tcW w:type="dxa" w:w="1088"/>
            <w:shd w:val="clear" w:color="auto" w:fill="DEEAF6"/>
          </w:tcPr>
          <w:p>
            <w:pPr>
              <w:spacing w:after="20" w:before="20"/>
            </w:pPr>
            <w:r/>
            <w:r>
              <w:rPr>
                <w:b/>
                <w:sz w:val="18"/>
              </w:rPr>
              <w:t>Deficit</w:t>
            </w:r>
          </w:p>
        </w:tc>
        <w:tc>
          <w:tcPr>
            <w:tcW w:type="dxa" w:w="1305"/>
            <w:shd w:val="clear" w:color="auto" w:fill="DEEAF6"/>
          </w:tcPr>
          <w:p>
            <w:pPr>
              <w:spacing w:after="20" w:before="20"/>
            </w:pPr>
            <w:r/>
            <w:r>
              <w:rPr>
                <w:b/>
                <w:sz w:val="18"/>
              </w:rPr>
              <w:t>Error at 150 W</w:t>
            </w:r>
          </w:p>
        </w:tc>
        <w:tc>
          <w:tcPr>
            <w:tcW w:type="dxa" w:w="1523"/>
            <w:shd w:val="clear" w:color="auto" w:fill="DEEAF6"/>
          </w:tcPr>
          <w:p>
            <w:pPr>
              <w:spacing w:after="20" w:before="20"/>
            </w:pPr>
            <w:r/>
            <w:r>
              <w:rPr>
                <w:b/>
                <w:sz w:val="18"/>
              </w:rPr>
              <w:t>Steady null error e</w:t>
            </w:r>
            <w:r>
              <w:rPr>
                <w:b/>
                <w:sz w:val="18"/>
                <w:vertAlign w:val="subscript"/>
              </w:rPr>
              <w:t>ss</w:t>
            </w:r>
          </w:p>
        </w:tc>
        <w:tc>
          <w:tcPr>
            <w:tcW w:type="dxa" w:w="1305"/>
            <w:shd w:val="clear" w:color="auto" w:fill="DEEAF6"/>
          </w:tcPr>
          <w:p>
            <w:pPr>
              <w:spacing w:after="20" w:before="20"/>
            </w:pPr>
            <w:r/>
            <w:r>
              <w:rPr>
                <w:b/>
                <w:sz w:val="18"/>
              </w:rPr>
              <w:t>G</w:t>
            </w:r>
            <w:r>
              <w:rPr>
                <w:b/>
                <w:sz w:val="18"/>
                <w:vertAlign w:val="subscript"/>
              </w:rPr>
              <w:t>gap</w:t>
            </w:r>
            <w:r>
              <w:rPr>
                <w:b/>
                <w:sz w:val="18"/>
              </w:rPr>
              <w:t>·e</w:t>
            </w:r>
            <w:r>
              <w:rPr>
                <w:b/>
                <w:sz w:val="18"/>
                <w:vertAlign w:val="subscript"/>
              </w:rPr>
              <w:t>ss</w:t>
            </w:r>
          </w:p>
        </w:tc>
      </w:tr>
      <w:tr>
        <w:tc>
          <w:tcPr>
            <w:tcW w:type="dxa" w:w="2176"/>
          </w:tcPr>
          <w:p>
            <w:pPr>
              <w:spacing w:after="20" w:before="20"/>
            </w:pPr>
            <w:r/>
            <w:r>
              <w:rPr>
                <w:b/>
                <w:sz w:val="18"/>
              </w:rPr>
              <w:t>PI — integral action</w:t>
            </w:r>
          </w:p>
        </w:tc>
        <w:tc>
          <w:tcPr>
            <w:tcW w:type="dxa" w:w="1632"/>
          </w:tcPr>
          <w:p>
            <w:pPr>
              <w:spacing w:after="20" w:before="20"/>
            </w:pPr>
            <w:r/>
            <w:r>
              <w:rPr>
                <w:b/>
                <w:sz w:val="18"/>
              </w:rPr>
              <w:t>1.000000</w:t>
            </w:r>
          </w:p>
        </w:tc>
        <w:tc>
          <w:tcPr>
            <w:tcW w:type="dxa" w:w="1088"/>
          </w:tcPr>
          <w:p>
            <w:pPr>
              <w:spacing w:after="20" w:before="20"/>
            </w:pPr>
            <w:r/>
            <w:r>
              <w:rPr>
                <w:sz w:val="18"/>
              </w:rPr>
              <w:t>0.0000 %</w:t>
            </w:r>
          </w:p>
        </w:tc>
        <w:tc>
          <w:tcPr>
            <w:tcW w:type="dxa" w:w="1305"/>
          </w:tcPr>
          <w:p>
            <w:pPr>
              <w:spacing w:after="20" w:before="20"/>
            </w:pPr>
            <w:r/>
            <w:r>
              <w:rPr>
                <w:b/>
                <w:sz w:val="18"/>
              </w:rPr>
              <w:t>0.000 W</w:t>
            </w:r>
          </w:p>
        </w:tc>
        <w:tc>
          <w:tcPr>
            <w:tcW w:type="dxa" w:w="1523"/>
          </w:tcPr>
          <w:p>
            <w:pPr>
              <w:spacing w:after="20" w:before="20"/>
            </w:pPr>
            <w:r/>
            <w:r>
              <w:rPr>
                <w:sz w:val="18"/>
              </w:rPr>
              <w:t>0.00000 K</w:t>
            </w:r>
          </w:p>
        </w:tc>
        <w:tc>
          <w:tcPr>
            <w:tcW w:type="dxa" w:w="1305"/>
          </w:tcPr>
          <w:p>
            <w:pPr>
              <w:spacing w:after="20" w:before="20"/>
            </w:pPr>
            <w:r/>
            <w:r>
              <w:rPr>
                <w:sz w:val="18"/>
              </w:rPr>
              <w:t>0.0000 W</w:t>
            </w:r>
          </w:p>
        </w:tc>
      </w:tr>
      <w:tr>
        <w:tc>
          <w:tcPr>
            <w:tcW w:type="dxa" w:w="2176"/>
          </w:tcPr>
          <w:p>
            <w:pPr>
              <w:spacing w:after="20" w:before="20"/>
            </w:pPr>
            <w:r/>
            <w:r>
              <w:rPr>
                <w:sz w:val="18"/>
              </w:rPr>
              <w:t>P-only (K</w:t>
            </w:r>
            <w:r>
              <w:rPr>
                <w:sz w:val="18"/>
                <w:vertAlign w:val="subscript"/>
              </w:rPr>
              <w:t>i</w:t>
            </w:r>
            <w:r>
              <w:rPr>
                <w:sz w:val="18"/>
              </w:rPr>
              <w:t xml:space="preserve"> = 0)</w:t>
            </w:r>
          </w:p>
        </w:tc>
        <w:tc>
          <w:tcPr>
            <w:tcW w:type="dxa" w:w="1632"/>
          </w:tcPr>
          <w:p>
            <w:pPr>
              <w:spacing w:after="20" w:before="20"/>
            </w:pPr>
            <w:r/>
            <w:r>
              <w:rPr>
                <w:sz w:val="18"/>
              </w:rPr>
              <w:t>0.994433</w:t>
            </w:r>
          </w:p>
        </w:tc>
        <w:tc>
          <w:tcPr>
            <w:tcW w:type="dxa" w:w="1088"/>
          </w:tcPr>
          <w:p>
            <w:pPr>
              <w:spacing w:after="20" w:before="20"/>
            </w:pPr>
            <w:r/>
            <w:r>
              <w:rPr>
                <w:sz w:val="18"/>
              </w:rPr>
              <w:t>0.5567 %</w:t>
            </w:r>
          </w:p>
        </w:tc>
        <w:tc>
          <w:tcPr>
            <w:tcW w:type="dxa" w:w="1305"/>
          </w:tcPr>
          <w:p>
            <w:pPr>
              <w:spacing w:after="20" w:before="20"/>
            </w:pPr>
            <w:r/>
            <w:r>
              <w:rPr>
                <w:sz w:val="18"/>
              </w:rPr>
              <w:t>0.835 W</w:t>
            </w:r>
          </w:p>
        </w:tc>
        <w:tc>
          <w:tcPr>
            <w:tcW w:type="dxa" w:w="1523"/>
          </w:tcPr>
          <w:p>
            <w:pPr>
              <w:spacing w:after="20" w:before="20"/>
            </w:pPr>
            <w:r/>
            <w:r>
              <w:rPr>
                <w:sz w:val="18"/>
              </w:rPr>
              <w:t>1.49125 K</w:t>
            </w:r>
          </w:p>
        </w:tc>
        <w:tc>
          <w:tcPr>
            <w:tcW w:type="dxa" w:w="1305"/>
          </w:tcPr>
          <w:p>
            <w:pPr>
              <w:spacing w:after="20" w:before="20"/>
            </w:pPr>
            <w:r/>
            <w:r>
              <w:rPr>
                <w:sz w:val="18"/>
              </w:rPr>
              <w:t>0.8351 W</w:t>
            </w:r>
          </w:p>
        </w:tc>
      </w:tr>
      <w:tr>
        <w:tc>
          <w:tcPr>
            <w:tcW w:type="dxa" w:w="2176"/>
          </w:tcPr>
          <w:p>
            <w:pPr>
              <w:spacing w:after="20" w:before="20"/>
            </w:pPr>
            <w:r/>
            <w:r>
              <w:rPr>
                <w:b/>
                <w:sz w:val="18"/>
              </w:rPr>
              <w:t>Guard OFF (open loop)</w:t>
            </w:r>
          </w:p>
        </w:tc>
        <w:tc>
          <w:tcPr>
            <w:tcW w:type="dxa" w:w="1632"/>
          </w:tcPr>
          <w:p>
            <w:pPr>
              <w:spacing w:after="20" w:before="20"/>
            </w:pPr>
            <w:r/>
            <w:r>
              <w:rPr>
                <w:sz w:val="18"/>
              </w:rPr>
              <w:t>0.967543</w:t>
            </w:r>
          </w:p>
        </w:tc>
        <w:tc>
          <w:tcPr>
            <w:tcW w:type="dxa" w:w="1088"/>
          </w:tcPr>
          <w:p>
            <w:pPr>
              <w:spacing w:after="20" w:before="20"/>
            </w:pPr>
            <w:r/>
            <w:r>
              <w:rPr>
                <w:sz w:val="18"/>
              </w:rPr>
              <w:t>3.2457 %</w:t>
            </w:r>
          </w:p>
        </w:tc>
        <w:tc>
          <w:tcPr>
            <w:tcW w:type="dxa" w:w="1305"/>
          </w:tcPr>
          <w:p>
            <w:pPr>
              <w:spacing w:after="20" w:before="20"/>
            </w:pPr>
            <w:r/>
            <w:r>
              <w:rPr>
                <w:b/>
                <w:sz w:val="18"/>
              </w:rPr>
              <w:t>4.869 W</w:t>
            </w:r>
          </w:p>
        </w:tc>
        <w:tc>
          <w:tcPr>
            <w:tcW w:type="dxa" w:w="1523"/>
          </w:tcPr>
          <w:p>
            <w:pPr>
              <w:spacing w:after="20" w:before="20"/>
            </w:pPr>
            <w:r/>
            <w:r>
              <w:rPr>
                <w:sz w:val="18"/>
              </w:rPr>
              <w:t>8.69397 K</w:t>
            </w:r>
          </w:p>
        </w:tc>
        <w:tc>
          <w:tcPr>
            <w:tcW w:type="dxa" w:w="1305"/>
          </w:tcPr>
          <w:p>
            <w:pPr>
              <w:spacing w:after="20" w:before="20"/>
            </w:pPr>
            <w:r/>
            <w:r>
              <w:rPr>
                <w:sz w:val="18"/>
              </w:rPr>
              <w:t>4.8686 W</w:t>
            </w:r>
          </w:p>
        </w:tc>
      </w:tr>
    </w:tbl>
    <w:p>
      <w:pPr>
        <w:spacing w:before="60" w:after="200"/>
        <w:jc w:val="left"/>
      </w:pPr>
      <w:r>
        <w:rPr>
          <w:i/>
          <w:sz w:val="18"/>
        </w:rPr>
        <w:t>Table 28. Guard ablation at 150 W / 10 K, α = 0. The identity ε = G</w:t>
      </w:r>
      <w:r>
        <w:rPr>
          <w:i/>
          <w:sz w:val="18"/>
          <w:vertAlign w:val="subscript"/>
        </w:rPr>
        <w:t>gap</w:t>
      </w:r>
      <w:r>
        <w:rPr>
          <w:i/>
          <w:sz w:val="18"/>
        </w:rPr>
        <w:t>·e</w:t>
      </w:r>
      <w:r>
        <w:rPr>
          <w:i/>
          <w:sz w:val="18"/>
          <w:vertAlign w:val="subscript"/>
        </w:rPr>
        <w:t>ss</w:t>
      </w:r>
      <w:r>
        <w:rPr>
          <w:i/>
          <w:sz w:val="18"/>
        </w:rPr>
        <w:t xml:space="preserve"> holds exactly in the last two rows, which is a strong consistency check: the error in watts really is the null error in kelvin multiplied by the leak conductance.</w:t>
      </w:r>
    </w:p>
    <w:p>
      <w:pPr>
        <w:spacing w:after="120"/>
      </w:pPr>
      <w:r>
        <w:t>Two conclusions, and the second is the less obvious one:</w:t>
      </w:r>
    </w:p>
    <w:p>
      <w:pPr>
        <w:spacing w:after="60" w:before="0"/>
        <w:ind w:left="792" w:hanging="432"/>
      </w:pPr>
      <w:r>
        <w:t>1.</w:t>
        <w:tab/>
      </w:r>
      <w:r>
        <w:rPr>
          <w:b/>
        </w:rPr>
        <w:t>The guard is load-bearing, not a refinement.</w:t>
      </w:r>
      <w:r>
        <w:t xml:space="preserve"> Without it the rig is a 3.2 % instrument — 4.9 W at 150 W, five times outside the ±1 W target, and worse at low flow, where Table 19 shows the open-guard deficit reaching 8.4 %. This is the same failure mode Nair (RD-03) measured on a real unguarded build.</w:t>
      </w:r>
    </w:p>
    <w:p>
      <w:pPr>
        <w:spacing w:after="60" w:before="0"/>
        <w:ind w:left="792" w:hanging="432"/>
      </w:pPr>
      <w:r>
        <w:t>2.</w:t>
        <w:tab/>
      </w:r>
      <w:r>
        <w:rPr>
          <w:b/>
        </w:rPr>
        <w:t>What makes it exact is the integrator, not the hardware.</w:t>
      </w:r>
      <w:r>
        <w:t xml:space="preserve"> Proportional control alone recovers 83 % of the deficit, from 4.87 W down to 0.84 W — but 0.84 W of the ±1 W budget is still spent on a single error term. The last 0.84 W is bought by one state, the integrator, and by nothing else. "Add integral action to the guard PI" and "make the calorimeter unbiased" are the same sentence — which is also why anti-windup is not optional.</w:t>
      </w:r>
    </w:p>
    <w:p>
      <w:pPr>
        <w:pStyle w:val="Heading2"/>
      </w:pPr>
      <w:r>
        <w:t>Findings and open items</w:t>
      </w:r>
    </w:p>
    <w:p>
      <w:pPr>
        <w:pStyle w:val="Heading3"/>
      </w:pPr>
      <w:r>
        <w:t>What the model settles</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384"/>
            <w:shd w:val="clear" w:color="auto" w:fill="DEEAF6"/>
          </w:tcPr>
          <w:p>
            <w:pPr>
              <w:spacing w:after="20" w:before="20"/>
            </w:pPr>
            <w:r/>
            <w:r>
              <w:rPr>
                <w:b/>
                <w:sz w:val="18"/>
              </w:rPr>
              <w:t>#</w:t>
            </w:r>
          </w:p>
        </w:tc>
        <w:tc>
          <w:tcPr>
            <w:tcW w:type="dxa" w:w="8645"/>
            <w:shd w:val="clear" w:color="auto" w:fill="DEEAF6"/>
          </w:tcPr>
          <w:p>
            <w:pPr>
              <w:spacing w:after="20" w:before="20"/>
            </w:pPr>
            <w:r/>
            <w:r>
              <w:rPr>
                <w:b/>
                <w:sz w:val="18"/>
              </w:rPr>
              <w:t>Result</w:t>
            </w:r>
          </w:p>
        </w:tc>
      </w:tr>
      <w:tr>
        <w:tc>
          <w:tcPr>
            <w:tcW w:type="dxa" w:w="384"/>
          </w:tcPr>
          <w:p>
            <w:pPr>
              <w:spacing w:after="20" w:before="20"/>
            </w:pPr>
            <w:r/>
            <w:r>
              <w:rPr>
                <w:sz w:val="18"/>
              </w:rPr>
              <w:t>1</w:t>
            </w:r>
          </w:p>
        </w:tc>
        <w:tc>
          <w:tcPr>
            <w:tcW w:type="dxa" w:w="8645"/>
          </w:tcPr>
          <w:p>
            <w:pPr>
              <w:spacing w:after="20" w:before="20"/>
            </w:pPr>
            <w:r/>
            <w:r>
              <w:rPr>
                <w:sz w:val="18"/>
              </w:rPr>
              <w:t xml:space="preserve">The reading is </w:t>
            </w:r>
            <w:r>
              <w:rPr>
                <w:b/>
                <w:sz w:val="18"/>
              </w:rPr>
              <w:t>exactly unbiased</w:t>
            </w:r>
            <w:r>
              <w:rPr>
                <w:sz w:val="18"/>
              </w:rPr>
              <w:t xml:space="preserve"> with the guard closed — DC gain 1.000000 at every flow, every power and every α tested.</w:t>
            </w:r>
          </w:p>
        </w:tc>
      </w:tr>
      <w:tr>
        <w:tc>
          <w:tcPr>
            <w:tcW w:type="dxa" w:w="384"/>
          </w:tcPr>
          <w:p>
            <w:pPr>
              <w:spacing w:after="20" w:before="20"/>
            </w:pPr>
            <w:r/>
            <w:r>
              <w:rPr>
                <w:sz w:val="18"/>
              </w:rPr>
              <w:t>2</w:t>
            </w:r>
          </w:p>
        </w:tc>
        <w:tc>
          <w:tcPr>
            <w:tcW w:type="dxa" w:w="8645"/>
          </w:tcPr>
          <w:p>
            <w:pPr>
              <w:spacing w:after="20" w:before="20"/>
            </w:pPr>
            <w:r/>
            <w:r>
              <w:rPr>
                <w:sz w:val="18"/>
              </w:rPr>
              <w:t xml:space="preserve">The systematic error with the guard open is a </w:t>
            </w:r>
            <w:r>
              <w:rPr>
                <w:b/>
                <w:sz w:val="18"/>
              </w:rPr>
              <w:t>leakage divider</w:t>
            </w:r>
            <w:r>
              <w:rPr>
                <w:sz w:val="18"/>
              </w:rPr>
              <w:t>, equation (13), verified against the state-space DC gain to machine precision across the flow range.</w:t>
            </w:r>
          </w:p>
        </w:tc>
      </w:tr>
      <w:tr>
        <w:tc>
          <w:tcPr>
            <w:tcW w:type="dxa" w:w="384"/>
          </w:tcPr>
          <w:p>
            <w:pPr>
              <w:spacing w:after="20" w:before="20"/>
            </w:pPr>
            <w:r/>
            <w:r>
              <w:rPr>
                <w:sz w:val="18"/>
              </w:rPr>
              <w:t>3</w:t>
            </w:r>
          </w:p>
        </w:tc>
        <w:tc>
          <w:tcPr>
            <w:tcW w:type="dxa" w:w="8645"/>
          </w:tcPr>
          <w:p>
            <w:pPr>
              <w:spacing w:after="20" w:before="20"/>
            </w:pPr>
            <w:r/>
            <w:r>
              <w:rPr>
                <w:b/>
                <w:sz w:val="18"/>
              </w:rPr>
              <w:t>The reading is independent of α.</w:t>
            </w:r>
            <w:r>
              <w:rPr>
                <w:sz w:val="18"/>
              </w:rPr>
              <w:t xml:space="preserve"> The copper block was never an accuracy feature, which is what made dropping it a pure scope decision.</w:t>
            </w:r>
          </w:p>
        </w:tc>
      </w:tr>
      <w:tr>
        <w:tc>
          <w:tcPr>
            <w:tcW w:type="dxa" w:w="384"/>
          </w:tcPr>
          <w:p>
            <w:pPr>
              <w:spacing w:after="20" w:before="20"/>
            </w:pPr>
            <w:r/>
            <w:r>
              <w:rPr>
                <w:sz w:val="18"/>
              </w:rPr>
              <w:t>4</w:t>
            </w:r>
          </w:p>
        </w:tc>
        <w:tc>
          <w:tcPr>
            <w:tcW w:type="dxa" w:w="8645"/>
          </w:tcPr>
          <w:p>
            <w:pPr>
              <w:spacing w:after="20" w:before="20"/>
            </w:pPr>
            <w:r/>
            <w:r>
              <w:rPr>
                <w:b/>
                <w:sz w:val="18"/>
              </w:rPr>
              <w:t>The guard's integral action is what makes the instrument exact</w:t>
            </w:r>
            <w:r>
              <w:rPr>
                <w:sz w:val="18"/>
              </w:rPr>
              <w:t xml:space="preserve"> — 3.25 % open, 0.56 % proportional-only, exactly zero with the integrator.</w:t>
            </w:r>
          </w:p>
        </w:tc>
      </w:tr>
      <w:tr>
        <w:tc>
          <w:tcPr>
            <w:tcW w:type="dxa" w:w="384"/>
          </w:tcPr>
          <w:p>
            <w:pPr>
              <w:spacing w:after="20" w:before="20"/>
            </w:pPr>
            <w:r/>
            <w:r>
              <w:rPr>
                <w:sz w:val="18"/>
              </w:rPr>
              <w:t>5</w:t>
            </w:r>
          </w:p>
        </w:tc>
        <w:tc>
          <w:tcPr>
            <w:tcW w:type="dxa" w:w="8645"/>
          </w:tcPr>
          <w:p>
            <w:pPr>
              <w:spacing w:after="20" w:before="20"/>
            </w:pPr>
            <w:r/>
            <w:r>
              <w:rPr>
                <w:sz w:val="18"/>
              </w:rPr>
              <w:t xml:space="preserve">The water setpoint and the metered auxiliary power both have </w:t>
            </w:r>
            <w:r>
              <w:rPr>
                <w:b/>
                <w:sz w:val="18"/>
              </w:rPr>
              <w:t>exactly zero</w:t>
            </w:r>
            <w:r>
              <w:rPr>
                <w:sz w:val="18"/>
              </w:rPr>
              <w:t xml:space="preserve"> DC gain to the error, so auto-ranging the water ΔT between points is free and the P</w:t>
            </w:r>
            <w:r>
              <w:rPr>
                <w:sz w:val="18"/>
                <w:vertAlign w:val="subscript"/>
              </w:rPr>
              <w:t>aux</w:t>
            </w:r>
            <w:r>
              <w:rPr>
                <w:sz w:val="18"/>
              </w:rPr>
              <w:t xml:space="preserve"> subtraction is provably correct.</w:t>
            </w:r>
          </w:p>
        </w:tc>
      </w:tr>
      <w:tr>
        <w:tc>
          <w:tcPr>
            <w:tcW w:type="dxa" w:w="384"/>
          </w:tcPr>
          <w:p>
            <w:pPr>
              <w:spacing w:after="20" w:before="20"/>
            </w:pPr>
            <w:r/>
            <w:r>
              <w:rPr>
                <w:sz w:val="18"/>
              </w:rPr>
              <w:t>6</w:t>
            </w:r>
          </w:p>
        </w:tc>
        <w:tc>
          <w:tcPr>
            <w:tcW w:type="dxa" w:w="8645"/>
          </w:tcPr>
          <w:p>
            <w:pPr>
              <w:spacing w:after="20" w:before="20"/>
            </w:pPr>
            <w:r/>
            <w:r>
              <w:rPr>
                <w:b/>
                <w:sz w:val="18"/>
              </w:rPr>
              <w:t>Guard heater sizing is set by the transient peak, not the steady demand</w:t>
            </w:r>
            <w:r>
              <w:rPr>
                <w:sz w:val="18"/>
              </w:rPr>
              <w:t xml:space="preserve"> — about 2.5× apart. The specified 100 W part has ~6× margin.</w:t>
            </w:r>
          </w:p>
        </w:tc>
      </w:tr>
      <w:tr>
        <w:tc>
          <w:tcPr>
            <w:tcW w:type="dxa" w:w="384"/>
          </w:tcPr>
          <w:p>
            <w:pPr>
              <w:spacing w:after="20" w:before="20"/>
            </w:pPr>
            <w:r/>
            <w:r>
              <w:rPr>
                <w:sz w:val="18"/>
              </w:rPr>
              <w:t>7</w:t>
            </w:r>
          </w:p>
        </w:tc>
        <w:tc>
          <w:tcPr>
            <w:tcW w:type="dxa" w:w="8645"/>
          </w:tcPr>
          <w:p>
            <w:pPr>
              <w:spacing w:after="20" w:before="20"/>
            </w:pPr>
            <w:r/>
            <w:r>
              <w:rPr>
                <w:sz w:val="18"/>
              </w:rPr>
              <w:t xml:space="preserve">The settling schedule across the envelope: </w:t>
            </w:r>
            <w:r>
              <w:rPr>
                <w:b/>
                <w:sz w:val="18"/>
              </w:rPr>
              <w:t>10 min at 200 W to 64 min at 15 W</w:t>
            </w:r>
            <w:r>
              <w:rPr>
                <w:sz w:val="18"/>
              </w:rPr>
              <w:t>, driven by (C</w:t>
            </w:r>
            <w:r>
              <w:rPr>
                <w:sz w:val="18"/>
                <w:vertAlign w:val="subscript"/>
              </w:rPr>
              <w:t>i</w:t>
            </w:r>
            <w:r>
              <w:rPr>
                <w:sz w:val="18"/>
              </w:rPr>
              <w:t xml:space="preserve"> + C</w:t>
            </w:r>
            <w:r>
              <w:rPr>
                <w:sz w:val="18"/>
                <w:vertAlign w:val="subscript"/>
              </w:rPr>
              <w:t>w</w:t>
            </w:r>
            <w:r>
              <w:rPr>
                <w:sz w:val="18"/>
              </w:rPr>
              <w:t>)/ṁc</w:t>
            </w:r>
            <w:r>
              <w:rPr>
                <w:sz w:val="18"/>
                <w:vertAlign w:val="subscript"/>
              </w:rPr>
              <w:t>p</w:t>
            </w:r>
            <w:r>
              <w:rPr>
                <w:sz w:val="18"/>
              </w:rPr>
              <w:t>.</w:t>
            </w:r>
          </w:p>
        </w:tc>
      </w:tr>
      <w:tr>
        <w:tc>
          <w:tcPr>
            <w:tcW w:type="dxa" w:w="384"/>
          </w:tcPr>
          <w:p>
            <w:pPr>
              <w:spacing w:after="20" w:before="20"/>
            </w:pPr>
            <w:r/>
            <w:r>
              <w:rPr>
                <w:sz w:val="18"/>
              </w:rPr>
              <w:t>8</w:t>
            </w:r>
          </w:p>
        </w:tc>
        <w:tc>
          <w:tcPr>
            <w:tcW w:type="dxa" w:w="8645"/>
          </w:tcPr>
          <w:p>
            <w:pPr>
              <w:spacing w:after="20" w:before="20"/>
            </w:pPr>
            <w:r/>
            <w:r>
              <w:rPr>
                <w:sz w:val="18"/>
              </w:rPr>
              <w:t xml:space="preserve">The steady gate can be </w:t>
            </w:r>
            <w:r>
              <w:rPr>
                <w:b/>
                <w:sz w:val="18"/>
              </w:rPr>
              <w:t>derived rather than guessed</w:t>
            </w:r>
            <w:r>
              <w:rPr>
                <w:sz w:val="18"/>
              </w:rPr>
              <w:t>: the slope threshold is the residual power threshold divided by the slowest observed time constant, computed per point.</w:t>
            </w:r>
          </w:p>
        </w:tc>
      </w:tr>
    </w:tbl>
    <w:p>
      <w:pPr>
        <w:spacing w:after="80"/>
      </w:pPr>
    </w:p>
    <w:p>
      <w:pPr>
        <w:pStyle w:val="Heading3"/>
      </w:pPr>
      <w:r>
        <w:t>Open items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376"/>
            <w:shd w:val="clear" w:color="auto" w:fill="DEEAF6"/>
          </w:tcPr>
          <w:p>
            <w:pPr>
              <w:spacing w:after="20" w:before="20"/>
            </w:pPr>
            <w:r/>
            <w:r>
              <w:rPr>
                <w:b/>
                <w:sz w:val="17"/>
              </w:rPr>
              <w:t>#</w:t>
            </w:r>
          </w:p>
        </w:tc>
        <w:tc>
          <w:tcPr>
            <w:tcW w:type="dxa" w:w="2821"/>
            <w:shd w:val="clear" w:color="auto" w:fill="DEEAF6"/>
          </w:tcPr>
          <w:p>
            <w:pPr>
              <w:spacing w:after="20" w:before="20"/>
            </w:pPr>
            <w:r/>
            <w:r>
              <w:rPr>
                <w:b/>
                <w:sz w:val="17"/>
              </w:rPr>
              <w:t>Item</w:t>
            </w:r>
          </w:p>
        </w:tc>
        <w:tc>
          <w:tcPr>
            <w:tcW w:type="dxa" w:w="3010"/>
            <w:shd w:val="clear" w:color="auto" w:fill="DEEAF6"/>
          </w:tcPr>
          <w:p>
            <w:pPr>
              <w:spacing w:after="20" w:before="20"/>
            </w:pPr>
            <w:r/>
            <w:r>
              <w:rPr>
                <w:b/>
                <w:sz w:val="17"/>
              </w:rPr>
              <w:t>Why it matters</w:t>
            </w:r>
          </w:p>
        </w:tc>
        <w:tc>
          <w:tcPr>
            <w:tcW w:type="dxa" w:w="2821"/>
            <w:shd w:val="clear" w:color="auto" w:fill="DEEAF6"/>
          </w:tcPr>
          <w:p>
            <w:pPr>
              <w:spacing w:after="20" w:before="20"/>
            </w:pPr>
            <w:r/>
            <w:r>
              <w:rPr>
                <w:b/>
                <w:sz w:val="17"/>
              </w:rPr>
              <w:t>Where it lands</w:t>
            </w:r>
          </w:p>
        </w:tc>
      </w:tr>
      <w:tr>
        <w:tc>
          <w:tcPr>
            <w:tcW w:type="dxa" w:w="376"/>
          </w:tcPr>
          <w:p>
            <w:pPr>
              <w:spacing w:after="20" w:before="20"/>
            </w:pPr>
            <w:r/>
            <w:r>
              <w:rPr>
                <w:sz w:val="17"/>
              </w:rPr>
              <w:t>1</w:t>
            </w:r>
          </w:p>
        </w:tc>
        <w:tc>
          <w:tcPr>
            <w:tcW w:type="dxa" w:w="2821"/>
          </w:tcPr>
          <w:p>
            <w:pPr>
              <w:spacing w:after="20" w:before="20"/>
            </w:pPr>
            <w:r/>
            <w:r>
              <w:rPr>
                <w:b/>
                <w:sz w:val="17"/>
              </w:rPr>
              <w:t>The revised 30–40 K target and the flow floor.</w:t>
            </w:r>
            <w:r>
              <w:rPr>
                <w:sz w:val="17"/>
              </w:rPr>
              <w:t xml:space="preserve"> Treating the 50–60 °C chamber target directly as the water-loop ΔT puts the 15 W corner at 5–7 mL/min. Simulated, that corner has an open-guard gain of only 0.60–0.66, and 1 % settling of </w:t>
            </w:r>
            <w:r>
              <w:rPr>
                <w:b/>
                <w:sz w:val="17"/>
              </w:rPr>
              <w:t>6–8 hours</w:t>
            </w:r>
            <w:r>
              <w:rPr>
                <w:sz w:val="17"/>
              </w:rPr>
              <w:t>. It also sits below the model's own sanity window (</w:t>
            </w:r>
            <w:r>
              <w:rPr>
                <w:rFonts w:ascii="Consolas" w:hAnsi="Consolas"/>
                <w:sz w:val="17"/>
              </w:rPr>
              <w:t>build_plant</w:t>
            </w:r>
            <w:r>
              <w:rPr>
                <w:sz w:val="17"/>
              </w:rPr>
              <w:t xml:space="preserve"> asserts 1 &lt; ṁc</w:t>
            </w:r>
            <w:r>
              <w:rPr>
                <w:sz w:val="17"/>
                <w:vertAlign w:val="subscript"/>
              </w:rPr>
              <w:t>p</w:t>
            </w:r>
            <w:r>
              <w:rPr>
                <w:sz w:val="17"/>
              </w:rPr>
              <w:t xml:space="preserve"> &lt; 50 W/K, i.e. 14–721 mL/min).</w:t>
            </w:r>
          </w:p>
        </w:tc>
        <w:tc>
          <w:tcPr>
            <w:tcW w:type="dxa" w:w="3010"/>
          </w:tcPr>
          <w:p>
            <w:pPr>
              <w:spacing w:after="20" w:before="20"/>
            </w:pPr>
            <w:r/>
            <w:r>
              <w:rPr>
                <w:sz w:val="17"/>
              </w:rPr>
              <w:t xml:space="preserve">The 30–40 K figure is a </w:t>
            </w:r>
            <w:r>
              <w:rPr>
                <w:b/>
                <w:sz w:val="17"/>
              </w:rPr>
              <w:t>chamber-above-ambient</w:t>
            </w:r>
            <w:r>
              <w:rPr>
                <w:sz w:val="17"/>
              </w:rPr>
              <w:t xml:space="preserve"> target being used as a stand-in for the water-loop ΔT, and the two only converge if the pickup radiator is very effective. If it is applied literally to the water loop at low power, the cold corner becomes impractical.</w:t>
            </w:r>
          </w:p>
        </w:tc>
        <w:tc>
          <w:tcPr>
            <w:tcW w:type="dxa" w:w="2821"/>
          </w:tcPr>
          <w:p>
            <w:pPr>
              <w:spacing w:after="20" w:before="20"/>
            </w:pPr>
            <w:r/>
            <w:r>
              <w:rPr>
                <w:b/>
                <w:sz w:val="17"/>
              </w:rPr>
              <w:t>Recommend keeping the auto-ranging table</w:t>
            </w:r>
            <w:r>
              <w:rPr>
                <w:sz w:val="17"/>
              </w:rPr>
              <w:t xml:space="preserve"> (5 K at 15 W, rising to 10 K by 200 W) and treating 50–60 °C as the chamber setpoint, not the water ΔT. Confirm against the first commissioning run.</w:t>
            </w:r>
          </w:p>
        </w:tc>
      </w:tr>
      <w:tr>
        <w:tc>
          <w:tcPr>
            <w:tcW w:type="dxa" w:w="376"/>
          </w:tcPr>
          <w:p>
            <w:pPr>
              <w:spacing w:after="20" w:before="20"/>
            </w:pPr>
            <w:r/>
            <w:r>
              <w:rPr>
                <w:sz w:val="17"/>
              </w:rPr>
              <w:t>2</w:t>
            </w:r>
          </w:p>
        </w:tc>
        <w:tc>
          <w:tcPr>
            <w:tcW w:type="dxa" w:w="2821"/>
          </w:tcPr>
          <w:p>
            <w:pPr>
              <w:spacing w:after="20" w:before="20"/>
            </w:pPr>
            <w:r/>
            <w:r>
              <w:rPr>
                <w:sz w:val="17"/>
              </w:rPr>
              <w:t>Transient null error breaches the 1.79 K gate above ~100 W</w:t>
            </w:r>
          </w:p>
        </w:tc>
        <w:tc>
          <w:tcPr>
            <w:tcW w:type="dxa" w:w="3010"/>
          </w:tcPr>
          <w:p>
            <w:pPr>
              <w:spacing w:after="20" w:before="20"/>
            </w:pPr>
            <w:r/>
            <w:r>
              <w:rPr>
                <w:sz w:val="17"/>
              </w:rPr>
              <w:t>Costs schedule and forbids early logging; new at closed loop</w:t>
            </w:r>
          </w:p>
        </w:tc>
        <w:tc>
          <w:tcPr>
            <w:tcW w:type="dxa" w:w="2821"/>
          </w:tcPr>
          <w:p>
            <w:pPr>
              <w:spacing w:after="20" w:before="20"/>
            </w:pPr>
            <w:r/>
            <w:r>
              <w:rPr>
                <w:sz w:val="17"/>
              </w:rPr>
              <w:t>Candidate fix is a ramped load and feedforward instead of a step — a sequencer change</w:t>
            </w:r>
          </w:p>
        </w:tc>
      </w:tr>
      <w:tr>
        <w:tc>
          <w:tcPr>
            <w:tcW w:type="dxa" w:w="376"/>
          </w:tcPr>
          <w:p>
            <w:pPr>
              <w:spacing w:after="20" w:before="20"/>
            </w:pPr>
            <w:r/>
            <w:r>
              <w:rPr>
                <w:sz w:val="17"/>
              </w:rPr>
              <w:t>3</w:t>
            </w:r>
          </w:p>
        </w:tc>
        <w:tc>
          <w:tcPr>
            <w:tcW w:type="dxa" w:w="2821"/>
          </w:tcPr>
          <w:p>
            <w:pPr>
              <w:spacing w:after="20" w:before="20"/>
            </w:pPr>
            <w:r/>
            <w:r>
              <w:rPr>
                <w:sz w:val="17"/>
              </w:rPr>
              <w:t>The foam wall's boundary condition — charged from one face or both</w:t>
            </w:r>
          </w:p>
        </w:tc>
        <w:tc>
          <w:tcPr>
            <w:tcW w:type="dxa" w:w="3010"/>
          </w:tcPr>
          <w:p>
            <w:pPr>
              <w:spacing w:after="20" w:before="20"/>
            </w:pPr>
            <w:r/>
            <w:r>
              <w:rPr>
                <w:sz w:val="17"/>
              </w:rPr>
              <w:t>A factor of four (5.6 vs 22 min) on the first-point wait, which is on the critical path</w:t>
            </w:r>
          </w:p>
        </w:tc>
        <w:tc>
          <w:tcPr>
            <w:tcW w:type="dxa" w:w="2821"/>
          </w:tcPr>
          <w:p>
            <w:pPr>
              <w:spacing w:after="20" w:before="20"/>
            </w:pPr>
            <w:r/>
            <w:r>
              <w:rPr>
                <w:sz w:val="17"/>
              </w:rPr>
              <w:t>A short Python job, not yet done</w:t>
            </w:r>
          </w:p>
        </w:tc>
      </w:tr>
      <w:tr>
        <w:tc>
          <w:tcPr>
            <w:tcW w:type="dxa" w:w="376"/>
          </w:tcPr>
          <w:p>
            <w:pPr>
              <w:spacing w:after="20" w:before="20"/>
            </w:pPr>
            <w:r/>
            <w:r>
              <w:rPr>
                <w:sz w:val="17"/>
              </w:rPr>
              <w:t>4</w:t>
            </w:r>
          </w:p>
        </w:tc>
        <w:tc>
          <w:tcPr>
            <w:tcW w:type="dxa" w:w="2821"/>
          </w:tcPr>
          <w:p>
            <w:pPr>
              <w:spacing w:after="20" w:before="20"/>
            </w:pPr>
            <w:r/>
            <w:r>
              <w:rPr>
                <w:rFonts w:ascii="Consolas" w:hAnsi="Consolas"/>
                <w:sz w:val="17"/>
              </w:rPr>
              <w:t>params.yaml</w:t>
            </w:r>
            <w:r>
              <w:rPr>
                <w:sz w:val="17"/>
              </w:rPr>
              <w:t xml:space="preserve"> still defaults to </w:t>
            </w:r>
            <w:r>
              <w:rPr>
                <w:rFonts w:ascii="Consolas" w:hAnsi="Consolas"/>
                <w:sz w:val="17"/>
              </w:rPr>
              <w:t>alpha: 0.97</w:t>
            </w:r>
          </w:p>
        </w:tc>
        <w:tc>
          <w:tcPr>
            <w:tcW w:type="dxa" w:w="3010"/>
          </w:tcPr>
          <w:p>
            <w:pPr>
              <w:spacing w:after="20" w:before="20"/>
            </w:pPr>
            <w:r/>
            <w:r>
              <w:rPr>
                <w:sz w:val="17"/>
              </w:rPr>
              <w:t>Harmless to the answer, misleading to a reader</w:t>
            </w:r>
          </w:p>
        </w:tc>
        <w:tc>
          <w:tcPr>
            <w:tcW w:type="dxa" w:w="2821"/>
          </w:tcPr>
          <w:p>
            <w:pPr>
              <w:spacing w:after="20" w:before="20"/>
            </w:pPr>
            <w:r/>
            <w:r>
              <w:rPr>
                <w:sz w:val="17"/>
              </w:rPr>
              <w:t>One-line change</w:t>
            </w:r>
          </w:p>
        </w:tc>
      </w:tr>
      <w:tr>
        <w:tc>
          <w:tcPr>
            <w:tcW w:type="dxa" w:w="376"/>
          </w:tcPr>
          <w:p>
            <w:pPr>
              <w:spacing w:after="20" w:before="20"/>
            </w:pPr>
            <w:r/>
            <w:r>
              <w:rPr>
                <w:sz w:val="17"/>
              </w:rPr>
              <w:t>5</w:t>
            </w:r>
          </w:p>
        </w:tc>
        <w:tc>
          <w:tcPr>
            <w:tcW w:type="dxa" w:w="2821"/>
          </w:tcPr>
          <w:p>
            <w:pPr>
              <w:spacing w:after="20" w:before="20"/>
            </w:pPr>
            <w:r/>
            <w:r>
              <w:rPr>
                <w:sz w:val="17"/>
              </w:rPr>
              <w:t>Model-based early stopping</w:t>
            </w:r>
          </w:p>
        </w:tc>
        <w:tc>
          <w:tcPr>
            <w:tcW w:type="dxa" w:w="3010"/>
          </w:tcPr>
          <w:p>
            <w:pPr>
              <w:spacing w:after="20" w:before="20"/>
            </w:pPr>
            <w:r/>
            <w:r>
              <w:rPr>
                <w:sz w:val="17"/>
              </w:rPr>
              <w:t>Estimating the steady value from the transient collapses the cold-corner wait by roughly an order of magnitude, for about 40 lines of firmware and no hardware</w:t>
            </w:r>
          </w:p>
        </w:tc>
        <w:tc>
          <w:tcPr>
            <w:tcW w:type="dxa" w:w="2821"/>
          </w:tcPr>
          <w:p>
            <w:pPr>
              <w:spacing w:after="20" w:before="20"/>
            </w:pPr>
            <w:r/>
            <w:r>
              <w:rPr>
                <w:sz w:val="17"/>
              </w:rPr>
              <w:t xml:space="preserve">Should be commissioned </w:t>
            </w:r>
            <w:r>
              <w:rPr>
                <w:b/>
                <w:sz w:val="17"/>
              </w:rPr>
              <w:t>alongside</w:t>
            </w:r>
            <w:r>
              <w:rPr>
                <w:sz w:val="17"/>
              </w:rPr>
              <w:t xml:space="preserve"> the full wait for one campaign and compared, not shipped unvalidated</w:t>
            </w:r>
          </w:p>
        </w:tc>
      </w:tr>
      <w:tr>
        <w:tc>
          <w:tcPr>
            <w:tcW w:type="dxa" w:w="376"/>
          </w:tcPr>
          <w:p>
            <w:pPr>
              <w:spacing w:after="20" w:before="20"/>
            </w:pPr>
            <w:r/>
            <w:r>
              <w:rPr>
                <w:sz w:val="17"/>
              </w:rPr>
              <w:t>6</w:t>
            </w:r>
          </w:p>
        </w:tc>
        <w:tc>
          <w:tcPr>
            <w:tcW w:type="dxa" w:w="2821"/>
          </w:tcPr>
          <w:p>
            <w:pPr>
              <w:spacing w:after="20" w:before="20"/>
            </w:pPr>
            <w:r/>
            <w:r>
              <w:rPr>
                <w:sz w:val="17"/>
              </w:rPr>
              <w:t>Monte-Carlo over the estimated parameter ranges</w:t>
            </w:r>
          </w:p>
        </w:tc>
        <w:tc>
          <w:tcPr>
            <w:tcW w:type="dxa" w:w="3010"/>
          </w:tcPr>
          <w:p>
            <w:pPr>
              <w:spacing w:after="20" w:before="20"/>
            </w:pPr>
            <w:r/>
            <w:r>
              <w:rPr>
                <w:sz w:val="17"/>
              </w:rPr>
              <w:t>Every number in this report is a point estimate from mid-range design values</w:t>
            </w:r>
          </w:p>
        </w:tc>
        <w:tc>
          <w:tcPr>
            <w:tcW w:type="dxa" w:w="2821"/>
          </w:tcPr>
          <w:p>
            <w:pPr>
              <w:spacing w:after="20" w:before="20"/>
            </w:pPr>
            <w:r/>
            <w:r>
              <w:rPr>
                <w:sz w:val="17"/>
              </w:rPr>
              <w:t>Turns each figure into a confidence interval</w:t>
            </w:r>
          </w:p>
        </w:tc>
      </w:tr>
      <w:tr>
        <w:tc>
          <w:tcPr>
            <w:tcW w:type="dxa" w:w="376"/>
          </w:tcPr>
          <w:p>
            <w:pPr>
              <w:spacing w:after="20" w:before="20"/>
            </w:pPr>
            <w:r/>
            <w:r>
              <w:rPr>
                <w:sz w:val="17"/>
              </w:rPr>
              <w:t>7</w:t>
            </w:r>
          </w:p>
        </w:tc>
        <w:tc>
          <w:tcPr>
            <w:tcW w:type="dxa" w:w="2821"/>
          </w:tcPr>
          <w:p>
            <w:pPr>
              <w:spacing w:after="20" w:before="20"/>
            </w:pPr>
            <w:r/>
            <w:r>
              <w:rPr>
                <w:sz w:val="17"/>
              </w:rPr>
              <w:t>Sensor lags τ</w:t>
            </w:r>
            <w:r>
              <w:rPr>
                <w:sz w:val="17"/>
                <w:vertAlign w:val="subscript"/>
              </w:rPr>
              <w:t>s</w:t>
            </w:r>
            <w:r>
              <w:rPr>
                <w:sz w:val="17"/>
              </w:rPr>
              <w:t xml:space="preserve"> are placeholders (5 s)</w:t>
            </w:r>
          </w:p>
        </w:tc>
        <w:tc>
          <w:tcPr>
            <w:tcW w:type="dxa" w:w="3010"/>
          </w:tcPr>
          <w:p>
            <w:pPr>
              <w:spacing w:after="20" w:before="20"/>
            </w:pPr>
            <w:r/>
            <w:r>
              <w:rPr>
                <w:sz w:val="17"/>
              </w:rPr>
              <w:t>They set the effective dead time the PI is tuned against</w:t>
            </w:r>
          </w:p>
        </w:tc>
        <w:tc>
          <w:tcPr>
            <w:tcW w:type="dxa" w:w="2821"/>
          </w:tcPr>
          <w:p>
            <w:pPr>
              <w:spacing w:after="20" w:before="20"/>
            </w:pPr>
            <w:r/>
            <w:r>
              <w:rPr>
                <w:sz w:val="17"/>
              </w:rPr>
              <w:t>Commissioning</w:t>
            </w:r>
          </w:p>
        </w:tc>
      </w:tr>
      <w:tr>
        <w:tc>
          <w:tcPr>
            <w:tcW w:type="dxa" w:w="376"/>
          </w:tcPr>
          <w:p>
            <w:pPr>
              <w:spacing w:after="20" w:before="20"/>
            </w:pPr>
            <w:r/>
            <w:r>
              <w:rPr>
                <w:sz w:val="17"/>
              </w:rPr>
              <w:t>8</w:t>
            </w:r>
          </w:p>
        </w:tc>
        <w:tc>
          <w:tcPr>
            <w:tcW w:type="dxa" w:w="2821"/>
          </w:tcPr>
          <w:p>
            <w:pPr>
              <w:spacing w:after="20" w:before="20"/>
            </w:pPr>
            <w:r/>
            <w:r>
              <w:rPr>
                <w:sz w:val="17"/>
              </w:rPr>
              <w:t>Zonal guard — the gap is modelled as one lump</w:t>
            </w:r>
          </w:p>
        </w:tc>
        <w:tc>
          <w:tcPr>
            <w:tcW w:type="dxa" w:w="3010"/>
          </w:tcPr>
          <w:p>
            <w:pPr>
              <w:spacing w:after="20" w:before="20"/>
            </w:pPr>
            <w:r/>
            <w:r>
              <w:rPr>
                <w:sz w:val="17"/>
              </w:rPr>
              <w:t xml:space="preserve">A zero </w:t>
            </w:r>
            <w:r>
              <w:rPr>
                <w:i/>
                <w:sz w:val="17"/>
              </w:rPr>
              <w:t>average</w:t>
            </w:r>
            <w:r>
              <w:rPr>
                <w:sz w:val="17"/>
              </w:rPr>
              <w:t xml:space="preserve"> null is not a zero leak; patchy faces still pay ΣG</w:t>
            </w:r>
            <w:r>
              <w:rPr>
                <w:sz w:val="17"/>
                <w:vertAlign w:val="subscript"/>
              </w:rPr>
              <w:t>face</w:t>
            </w:r>
            <w:r>
              <w:rPr>
                <w:sz w:val="17"/>
              </w:rPr>
              <w:t>·δT</w:t>
            </w:r>
            <w:r>
              <w:rPr>
                <w:sz w:val="17"/>
                <w:vertAlign w:val="subscript"/>
              </w:rPr>
              <w:t>face</w:t>
            </w:r>
          </w:p>
        </w:tc>
        <w:tc>
          <w:tcPr>
            <w:tcW w:type="dxa" w:w="2821"/>
          </w:tcPr>
          <w:p>
            <w:pPr>
              <w:spacing w:after="20" w:before="20"/>
            </w:pPr>
            <w:r/>
            <w:r>
              <w:rPr>
                <w:sz w:val="17"/>
              </w:rPr>
              <w:t>After single-zone tuning works</w:t>
            </w:r>
          </w:p>
        </w:tc>
      </w:tr>
    </w:tbl>
    <w:p>
      <w:pPr>
        <w:spacing w:before="60" w:after="200"/>
        <w:jc w:val="left"/>
      </w:pPr>
      <w:r>
        <w:rPr>
          <w:i/>
          <w:sz w:val="18"/>
        </w:rPr>
        <w:t>Table 29. Open items, in priority order.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
              <w:rPr>
                <w:b/>
                <w:sz w:val="19"/>
              </w:rPr>
              <w:t>Commissioning overrides everything in this report</w:t>
            </w:r>
          </w:p>
          <w:p>
            <w:pPr>
              <w:spacing w:after="40"/>
            </w:pPr>
            <w:r>
              <w:rPr>
                <w:sz w:val="19"/>
              </w:rPr>
              <w:t>Every conductance and capacitance above is a design estimate computed from geometry and material data. The commissioning step test — inject a known power with the calibration resistor, take C from the initial slope (C = P/Ṫ|₀), G from the endpoint (G = P/(T</w:t>
            </w:r>
            <w:r>
              <w:rPr>
                <w:sz w:val="19"/>
                <w:vertAlign w:val="subscript"/>
              </w:rPr>
              <w:t>ss</w:t>
            </w:r>
            <w:r>
              <w:rPr>
                <w:sz w:val="19"/>
              </w:rPr>
              <w:t xml:space="preserve"> − T</w:t>
            </w:r>
            <w:r>
              <w:rPr>
                <w:sz w:val="19"/>
                <w:vertAlign w:val="subscript"/>
              </w:rPr>
              <w:t>a</w:t>
            </w:r>
            <w:r>
              <w:rPr>
                <w:sz w:val="19"/>
              </w:rPr>
              <w:t xml:space="preserve">)), and check that τ = C/G is consistent — measures the </w:t>
            </w:r>
            <w:r>
              <w:rPr>
                <w:b/>
                <w:sz w:val="19"/>
              </w:rPr>
              <w:t>assembled</w:t>
            </w:r>
            <w:r>
              <w:rPr>
                <w:sz w:val="19"/>
              </w:rPr>
              <w:t xml:space="preserve"> rig and replaces them. The equations, the matrix structure, the audit and every conclusion in sections 5 to 7 survive that substitution unchanged; only the numbers move.</w:t>
            </w:r>
          </w:p>
        </w:tc>
      </w:tr>
    </w:tbl>
    <w:p>
      <w:pPr>
        <w:spacing w:after="80"/>
      </w:pPr>
    </w:p>
    <w:p>
      <w:pPr>
        <w:pStyle w:val="Heading1"/>
      </w:pPr>
      <w:r>
        <w:t>Hardware Design</w:t>
      </w:r>
    </w:p>
    <w:p>
      <w:pPr>
        <w:pStyle w:val="Heading2"/>
      </w:pPr>
      <w:r>
        <w:t xml:space="preserve">Scope and status</w:t>
      </w:r>
    </w:p>
    <w:p>
      <w:pPr>
        <w:spacing w:after="120"/>
      </w:pPr>
      <w:r>
        <w:t xml:space="preserve">The rig needs one piece of custom electronics: a carrier board for the ESP32-S3 development module that turns a 12 V supply and a microcontroller into two switched heater channels, three fan groups, a stepper-driven pump, an RTD front end and a sensor bus — with the current metering the measurement of §5.6 depends on, and the protection a closed foam box containing 200 W of resistive heating requires.</w:t>
      </w:r>
    </w:p>
    <w:p>
      <w:pPr>
        <w:spacing w:after="120"/>
      </w:pPr>
      <w:r>
        <w:rPr>
          <w:b/>
        </w:rPr>
        <w:t xml:space="preserve">The board was designed but not built.</w:t>
      </w:r>
      <w:r>
        <w:t xml:space="preserve"> What exists, and what this section reports, is the design record: a bottom-up load budget for both rails, a protection scheme worked out domain by domain, a sourced component list with packages and supplier part numbers, and a complete pin assignment for the module. What does not exist is a schematic capture, a layout, a fabricated board or an assembled one. The project's own priority put a working firmware ahead of the board, and the board is where the clock ran out.</w:t>
      </w:r>
    </w:p>
    <w:p>
      <w:pPr>
        <w:spacing w:after="120"/>
      </w:pPr>
      <w:r>
        <w:t xml:space="preserve">That is a smaller gap than it sounds for one specific reason. </w:t>
      </w:r>
      <w:r>
        <w:rPr>
          <w:b/>
        </w:rPr>
        <w:t xml:space="preserve">The pin assignment was exercised.</w:t>
      </w:r>
      <w:r>
        <w:t xml:space="preserve"> The firmware of §9 was built against it — every net became a devicetree node, every driver was bound, and the whole map was audited automatically for collisions and for the module's reserved pins. That process found three genuine conflicts with the vendor's default pin-control groups (§9.4) that a schematic review would probably not have caught. The pinout is therefore the most validated part of this design, and the part least likely to change.</w:t>
      </w:r>
    </w:p>
    <w:p>
      <w:pPr>
        <w:pStyle w:val="Heading2"/>
      </w:pPr>
      <w:r>
        <w:t xml:space="preserve">Board architecture and the power stack</w:t>
      </w:r>
    </w:p>
    <w:p>
      <w:pPr>
        <w:spacing w:after="120"/>
      </w:pPr>
      <w:r>
        <w:t xml:space="preserve">The board is a </w:t>
      </w:r>
      <w:r>
        <w:rPr>
          <w:b/>
        </w:rPr>
        <w:t xml:space="preserve">carrier</w:t>
      </w:r>
      <w:r>
        <w:t xml:space="preserve">, not a bespoke microcontroller design. The ESP32-S3-DevKitC-1-N8R8 module plugs into its two 22-pin headers and brings its own crystal, flash, PSRAM, USB-UART bridge and 3.3 V regulator; the carrier supplies power, the power stages, the analogue front ends and the connectors. That choice was made for the firmware's sake — the module is a board Zephyr already supports upstream, so no board-support port was needed (§9.2).</w:t>
      </w:r>
    </w:p>
    <w:p>
      <w:pPr>
        <w:spacing w:after="120"/>
      </w:pPr>
      <w:r>
        <w:t xml:space="preserve">Two DC rails, and only two:</w:t>
      </w:r>
    </w:p>
    <w:p>
      <w:pPr>
        <w:spacing w:after="60" w:before="0"/>
        <w:ind w:left="720" w:hanging="360"/>
      </w:pPr>
      <w:r>
        <w:t xml:space="preserve">•</w:t>
      </w:r>
      <w:r>
        <w:tab/>
      </w:r>
      <w:r>
        <w:rPr>
          <w:b/>
        </w:rPr>
        <w:t xml:space="preserve">12 V</w:t>
      </w:r>
      <w:r>
        <w:t xml:space="preserve">, straight from the supply, feeding the two chamber resistors, the three fan groups, the pump's stepper driver and the buck converter. A single LRS-350-12-class supply rated 29 A carries the whole board.</w:t>
      </w:r>
    </w:p>
    <w:p>
      <w:pPr>
        <w:spacing w:after="60" w:before="0"/>
        <w:ind w:left="720" w:hanging="360"/>
      </w:pPr>
      <w:r>
        <w:t xml:space="preserve">•</w:t>
      </w:r>
      <w:r>
        <w:tab/>
      </w:r>
      <w:r>
        <w:rPr>
          <w:b/>
        </w:rPr>
        <w:t xml:space="preserve">5 V</w:t>
      </w:r>
      <w:r>
        <w:t xml:space="preserve">, from one 12 V → 5 V buck, feeding the development module's </w:t>
      </w:r>
      <w:r>
        <w:rPr>
          <w:rFonts w:ascii="Consolas" w:hAnsi="Consolas"/>
          <w:sz w:val="19"/>
          <w:szCs w:val="19"/>
        </w:rPr>
        <w:t xml:space="preserve">5V</w:t>
      </w:r>
      <w:r>
        <w:t xml:space="preserve"> header pin — which is Espressif's own documented power path for this board, not an improvisation. The module's onboard regulator then makes 3.3 V for the ESP32-S3 </w:t>
      </w:r>
      <w:r>
        <w:rPr>
          <w:b/>
        </w:rPr>
        <w:t xml:space="preserve">and</w:t>
      </w:r>
      <w:r>
        <w:t xml:space="preserve"> exposes it on the </w:t>
      </w:r>
      <w:r>
        <w:rPr>
          <w:rFonts w:ascii="Consolas" w:hAnsi="Consolas"/>
          <w:sz w:val="19"/>
          <w:szCs w:val="19"/>
        </w:rPr>
        <w:t xml:space="preserve">3V3</w:t>
      </w:r>
      <w:r>
        <w:t xml:space="preserve"> header pin, which is where the whole sensor front end draws from.</w:t>
      </w:r>
    </w:p>
    <w:p>
      <w:pPr>
        <w:spacing w:after="120"/>
      </w:pPr>
      <w:r>
        <w:t xml:space="preserve">The second point is a simplification that removes a stage. An earlier pass had a separate 5 V → 3.3 V regulator on the carrier; it is not needed, and dropping it is positively better for this rig — a linear-regulated 3.3 V is quieter for the RTD front end than a second switching stage would be, and the entire measurement chain resolves single-digit millikelvins.</w:t>
      </w:r>
    </w:p>
    <w:p>
      <w:pPr>
        <w:spacing w:after="120"/>
      </w:pPr>
      <w:r>
        <w:t xml:space="preserve">Two constraints follow from the power path and neither is optional. First, the module's power inputs — USB, the </w:t>
      </w:r>
      <w:r>
        <w:rPr>
          <w:rFonts w:ascii="Consolas" w:hAnsi="Consolas"/>
          <w:sz w:val="19"/>
          <w:szCs w:val="19"/>
        </w:rPr>
        <w:t xml:space="preserve">5V</w:t>
      </w:r>
      <w:r>
        <w:t xml:space="preserve"> pin and the </w:t>
      </w:r>
      <w:r>
        <w:rPr>
          <w:rFonts w:ascii="Consolas" w:hAnsi="Consolas"/>
          <w:sz w:val="19"/>
          <w:szCs w:val="19"/>
        </w:rPr>
        <w:t xml:space="preserve">3V3</w:t>
      </w:r>
      <w:r>
        <w:t xml:space="preserve"> pin — are </w:t>
      </w:r>
      <w:r>
        <w:rPr>
          <w:b/>
        </w:rPr>
        <w:t xml:space="preserve">mutually exclusive</w:t>
      </w:r>
      <w:r>
        <w:t xml:space="preserve">: the carrier's 5 V feed must be disconnected before the module's USB port is used for flashing or console work during bring-up. Second, </w:t>
      </w:r>
      <w:r>
        <w:rPr>
          <w:b/>
        </w:rPr>
        <w:t xml:space="preserve">the buck must be routed away from the analogue front end.</w:t>
      </w:r>
      <w:r>
        <w:t xml:space="preserve"> A switching converter's return current has no business walking past a ΔT pair that has to stay matched to 20 mK (§5.6); the same rule that keeps the sensor wiring away from the heater and fan grounds applies to the converter's own loop.</w:t>
      </w:r>
    </w:p>
    <w:p>
      <w:pPr>
        <w:spacing w:after="120"/>
      </w:pPr>
      <w:r>
        <w:t xml:space="preserve">The buck's switching frequency is chosen to sit clear of everything the firmware generates: I²C runs at 100 kHz, the heater PWM at about 1 kHz and the fan PWM at 25 kHz, so anything in the </w:t>
      </w:r>
      <w:r>
        <w:rPr>
          <w:b/>
        </w:rPr>
        <w:t xml:space="preserve">400 kHz to 2 MHz</w:t>
      </w:r>
      <w:r>
        <w:t xml:space="preserve"> band is clear of all three and of their low harmonics. The part selected (§8.6) is one of the vendor's own low-EMI devices, which answers the EMI-compliance requirement directly rather than by layout alone.</w:t>
      </w:r>
    </w:p>
    <w:p>
      <w:pPr>
        <w:pStyle w:val="Heading2"/>
      </w:pPr>
      <w:r>
        <w:t xml:space="preserve">The current-sense rule: measurement-grade versus protection-grade</w:t>
      </w:r>
    </w:p>
    <w:p>
      <w:pPr>
        <w:spacing w:after="120"/>
      </w:pPr>
      <w:r>
        <w:t xml:space="preserve">One rule decides more of this board than any other, and it runs backwards from instinct. </w:t>
      </w:r>
      <w:r>
        <w:rPr>
          <w:b/>
        </w:rPr>
        <w:t xml:space="preserve">The measurement boundary B1 decides the grade of a current-sense channel, not how interesting the number is.</w:t>
      </w:r>
    </w:p>
    <w:p>
      <w:pPr>
        <w:spacing w:after="120"/>
      </w:pPr>
      <w:r>
        <w:t xml:space="preserve">The reason is §6.2's D</w:t>
      </w:r>
      <w:r>
        <w:rPr>
          <w:vertAlign w:val="subscript"/>
        </w:rPr>
        <w:t xml:space="preserve">u</w:t>
      </w:r>
      <w:r>
        <w:t xml:space="preserve"> = −1 entry: any watt dissipated inside B1 that is not metered and subtracted is reported as DUT loss, one for one. A channel inside B1 is therefore part of the instrument and inherits the ±1 W budget. A channel outside B1 cannot bias the reading at all, however large it is, so its sense channel exists only to detect faults and trend health.</w:t>
      </w:r>
    </w:p>
    <w:p>
      <w:pPr>
        <w:spacing w:after="60" w:before="0"/>
        <w:ind w:left="720" w:hanging="360"/>
      </w:pPr>
      <w:r>
        <w:t xml:space="preserve">•</w:t>
      </w:r>
      <w:r>
        <w:tab/>
      </w:r>
      <w:r>
        <w:rPr>
          <w:b/>
        </w:rPr>
        <w:t xml:space="preserve">Inside B1 — measurement-grade.</w:t>
      </w:r>
      <w:r>
        <w:t xml:space="preserve"> The inner-chamber resistor and the in-chamber fans. Metered every tick and subtracted in firmware as P</w:t>
      </w:r>
      <w:r>
        <w:rPr>
          <w:vertAlign w:val="subscript"/>
        </w:rPr>
        <w:t xml:space="preserve">aux</w:t>
      </w:r>
      <w:r>
        <w:t xml:space="preserve"> (§9.6). Four-wire Kelvin sensing where the load current makes lead drop significant.</w:t>
      </w:r>
    </w:p>
    <w:p>
      <w:pPr>
        <w:spacing w:after="60" w:before="0"/>
        <w:ind w:left="720" w:hanging="360"/>
      </w:pPr>
      <w:r>
        <w:t xml:space="preserve">•</w:t>
      </w:r>
      <w:r>
        <w:tab/>
      </w:r>
      <w:r>
        <w:rPr>
          <w:b/>
        </w:rPr>
        <w:t xml:space="preserve">Outside B1 — protection-grade.</w:t>
      </w:r>
      <w:r>
        <w:t xml:space="preserve"> The guard resistor, the guard and reject fans, the pump. Sensed for the self-test, for fault detection and for health trending; the accuracy budget does not depend on any of them.</w:t>
      </w:r>
    </w:p>
    <w:p>
      <w:pPr>
        <w:spacing w:after="120"/>
      </w:pPr>
      <w:r>
        <w:t xml:space="preserve">The guard heater is the counter-intuitive case, and it is worth stating plainly because it looks like the channel that should be measured most carefully: it carries 8.3 A into the instrument's single most important control loop, and yet a diagnostic-grade channel is enough. Two facts settle it. Its watts are dissipated </w:t>
      </w:r>
      <w:r>
        <w:rPr>
          <w:b/>
        </w:rPr>
        <w:t xml:space="preserve">outside</w:t>
      </w:r>
      <w:r>
        <w:t xml:space="preserve"> B1, so they never enter the reading directly. And the only mechanism by which the guard's behaviour could reach the answer at all — the residual wall leak — is driven to exactly zero by the loop's </w:t>
      </w:r>
      <w:r>
        <w:rPr>
          <w:b/>
        </w:rPr>
        <w:t xml:space="preserve">integral</w:t>
      </w:r>
      <w:r>
        <w:t xml:space="preserve"> action, which is what §7.8 prices: a DC gain of 1.000000 and a 0.0000 % deficit with integral action, against 4.87 W of error at 150 W with the guard open. Measuring that channel more precisely would change none of it.</w:t>
      </w:r>
    </w:p>
    <w:p>
      <w:pPr>
        <w:spacing w:after="120"/>
      </w:pPr>
      <w:r>
        <w:t xml:space="preserve">The inner-chamber resistor is the opposite case and the strictest requirement on the board, because it is dual-role: chamber preheat </w:t>
      </w:r>
      <w:r>
        <w:rPr>
          <w:b/>
        </w:rPr>
        <w:t xml:space="preserve">and</w:t>
      </w:r>
      <w:r>
        <w:t xml:space="preserve"> the DUT-substitution calibration reference of §9.11. Whatever error lives in that channel's own power measurement becomes the error floor of every calibration the rig will ever perform.</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Sensing at the supply instead of at the load costs 3.5 % of the channel</w:t>
            </w:r>
          </w:p>
          <w:p>
            <w:pPr>
              <w:spacing w:after="40"/>
            </w:pPr>
            <w:r>
              <w:rPr>
                <w:sz w:val="19"/>
                <w:szCs w:val="19"/>
              </w:rPr>
              <w:t xml:space="preserve">At 12 V and 100 W the inner resistor draws ≈8.3 A. Fifty milliohms of connector and lead resistance — an entirely ordinary amount — drops 0.42 V, which is </w:t>
            </w:r>
            <w:r>
              <w:rPr>
                <w:b/>
                <w:sz w:val="19"/>
                <w:szCs w:val="19"/>
              </w:rPr>
              <w:t xml:space="preserve">3.5 % of the channel's power, about 3.5 W</w:t>
            </w:r>
            <w:r>
              <w:rPr>
                <w:sz w:val="19"/>
                <w:szCs w:val="19"/>
              </w:rPr>
              <w:t xml:space="preserve"> of pure error, if the voltage is sensed at the supply rather than at the resistor's own terminals.</w:t>
            </w:r>
          </w:p>
          <w:p>
            <w:pPr>
              <w:spacing w:after="40"/>
            </w:pPr>
            <w:r>
              <w:rPr>
                <w:sz w:val="19"/>
                <w:szCs w:val="19"/>
              </w:rPr>
              <w:t xml:space="preserve">Against a ±1 W instrument that is not a refinement, it is the whole budget three times over. The channel is therefore specified as a proper Kelvin connection from the start: a four-terminal shunt, and a separate voltage-sense pair landed at the resistor terminals through a four-terminal connector. </w:t>
            </w:r>
            <w:r>
              <w:rPr>
                <w:b/>
                <w:sz w:val="19"/>
                <w:szCs w:val="19"/>
              </w:rPr>
              <w:t xml:space="preserve">The sense IC is not what was in question</w:t>
            </w:r>
            <w:r>
              <w:rPr>
                <w:sz w:val="19"/>
                <w:szCs w:val="19"/>
              </w:rPr>
              <w:t xml:space="preserve"> — a 0.1 %-class part is ample; the lead drop was.</w:t>
            </w:r>
          </w:p>
          <w:p>
            <w:pPr>
              <w:spacing w:after="40"/>
            </w:pPr>
            <w:r>
              <w:rPr>
                <w:sz w:val="19"/>
                <w:szCs w:val="19"/>
              </w:rPr>
              <w:t xml:space="preserve">It is cheap before fabrication and expensive afterwards, which is why it is called out here rather than left to layout.</w:t>
            </w:r>
          </w:p>
        </w:tc>
      </w:tr>
    </w:tbl>
    <w:p/>
    <w:p>
      <w:pPr>
        <w:pStyle w:val="Heading2"/>
      </w:pPr>
      <w:r>
        <w:t xml:space="preserve">The bottom-up rail budget</w:t>
      </w:r>
    </w:p>
    <w:p>
      <w:pPr>
        <w:spacing w:after="120"/>
      </w:pPr>
      <w:r>
        <w:t xml:space="preserve">The supply was sized from the loads upward rather than picked and then justified. Every current below is a maximum, not an average.</w:t>
      </w:r>
    </w:p>
    <w:tbl>
      <w:tblPr>
        <w:tblStyle w:val="TableGrid"/>
        <w:tblW w:type="auto" w:w="0"/>
        <w:jc w:val="center"/>
        <w:tblLayout w:type="fixed"/>
        <w:tblLook w:firstColumn="1" w:firstRow="1" w:lastColumn="0" w:lastRow="0" w:noHBand="0" w:noVBand="1" w:val="04A0"/>
      </w:tblPr>
      <w:tblGrid>
        <w:gridCol w:w="1805"/>
        <w:gridCol w:w="1304"/>
        <w:gridCol w:w="3310"/>
        <w:gridCol w:w="2607"/>
      </w:tblGrid>
      <w:tr>
        <w:trPr>
          <w:tblHeader w:val="true"/>
        </w:trPr>
        <w:tc>
          <w:tcPr>
            <w:tcW w:type="dxa" w:w="1805"/>
            <w:shd w:val="clear" w:color="auto" w:fill="DEEAF6"/>
          </w:tcPr>
          <w:p>
            <w:pPr>
              <w:spacing w:after="20" w:before="20"/>
            </w:pPr>
            <w:r>
              <w:rPr>
                <w:b/>
                <w:sz w:val="18"/>
                <w:szCs w:val="18"/>
              </w:rPr>
              <w:t xml:space="preserve">Load</w:t>
            </w:r>
          </w:p>
        </w:tc>
        <w:tc>
          <w:tcPr>
            <w:tcW w:type="dxa" w:w="1304"/>
            <w:shd w:val="clear" w:color="auto" w:fill="DEEAF6"/>
          </w:tcPr>
          <w:p>
            <w:pPr>
              <w:spacing w:after="20" w:before="20"/>
            </w:pPr>
            <w:r>
              <w:rPr>
                <w:b/>
                <w:sz w:val="18"/>
                <w:szCs w:val="18"/>
              </w:rPr>
              <w:t xml:space="preserve">Max current</w:t>
            </w:r>
          </w:p>
        </w:tc>
        <w:tc>
          <w:tcPr>
            <w:tcW w:type="dxa" w:w="3310"/>
            <w:shd w:val="clear" w:color="auto" w:fill="DEEAF6"/>
          </w:tcPr>
          <w:p>
            <w:pPr>
              <w:spacing w:after="20" w:before="20"/>
            </w:pPr>
            <w:r>
              <w:rPr>
                <w:b/>
                <w:sz w:val="18"/>
                <w:szCs w:val="18"/>
              </w:rPr>
              <w:t xml:space="preserve">Protection</w:t>
            </w:r>
          </w:p>
        </w:tc>
        <w:tc>
          <w:tcPr>
            <w:tcW w:type="dxa" w:w="2607"/>
            <w:shd w:val="clear" w:color="auto" w:fill="DEEAF6"/>
          </w:tcPr>
          <w:p>
            <w:pPr>
              <w:spacing w:after="20" w:before="20"/>
            </w:pPr>
            <w:r>
              <w:rPr>
                <w:b/>
                <w:sz w:val="18"/>
                <w:szCs w:val="18"/>
              </w:rPr>
              <w:t xml:space="preserve">Current sense</w:t>
            </w:r>
          </w:p>
        </w:tc>
      </w:tr>
      <w:tr>
        <w:tc>
          <w:tcPr>
            <w:tcW w:type="dxa" w:w="1805"/>
          </w:tcPr>
          <w:p>
            <w:pPr>
              <w:spacing w:after="20" w:before="20"/>
            </w:pPr>
            <w:r>
              <w:rPr>
                <w:sz w:val="18"/>
                <w:szCs w:val="18"/>
              </w:rPr>
              <w:t xml:space="preserve">Inner chamber resistor</w:t>
            </w:r>
          </w:p>
        </w:tc>
        <w:tc>
          <w:tcPr>
            <w:tcW w:type="dxa" w:w="1304"/>
          </w:tcPr>
          <w:p>
            <w:pPr>
              <w:spacing w:after="20" w:before="20"/>
            </w:pPr>
            <w:r>
              <w:rPr>
                <w:sz w:val="18"/>
                <w:szCs w:val="18"/>
              </w:rPr>
              <w:t xml:space="preserve">8.3 A</w:t>
            </w:r>
          </w:p>
          <w:p>
            <w:pPr>
              <w:spacing w:after="20" w:before="20"/>
            </w:pPr>
            <w:r>
              <w:rPr>
                <w:sz w:val="18"/>
                <w:szCs w:val="18"/>
              </w:rPr>
              <w:t xml:space="preserve">(100 W @ 12 V)</w:t>
            </w:r>
          </w:p>
        </w:tc>
        <w:tc>
          <w:tcPr>
            <w:tcW w:type="dxa" w:w="3310"/>
          </w:tcPr>
          <w:p>
            <w:pPr>
              <w:spacing w:after="20" w:before="20"/>
            </w:pPr>
            <w:r>
              <w:rPr>
                <w:sz w:val="18"/>
                <w:szCs w:val="18"/>
              </w:rPr>
              <w:t xml:space="preserve">Low-side N-MOSFET (logic-level, ≤ 5 mΩ class), gate pull-down, channel fuse 10–12 A, series bimetallic cutout. </w:t>
            </w:r>
            <w:r>
              <w:rPr>
                <w:b/>
                <w:sz w:val="18"/>
                <w:szCs w:val="18"/>
              </w:rPr>
              <w:t xml:space="preserve">No flyback diode</w:t>
            </w:r>
            <w:r>
              <w:rPr>
                <w:sz w:val="18"/>
                <w:szCs w:val="18"/>
              </w:rPr>
              <w:t xml:space="preserve"> — the load is purely resistive.</w:t>
            </w:r>
          </w:p>
        </w:tc>
        <w:tc>
          <w:tcPr>
            <w:tcW w:type="dxa" w:w="2607"/>
          </w:tcPr>
          <w:p>
            <w:pPr>
              <w:spacing w:after="20" w:before="20"/>
            </w:pPr>
            <w:r>
              <w:rPr>
                <w:b/>
                <w:sz w:val="18"/>
                <w:szCs w:val="18"/>
              </w:rPr>
              <w:t xml:space="preserve">Measurement-grade.</w:t>
            </w:r>
            <w:r>
              <w:rPr>
                <w:sz w:val="18"/>
                <w:szCs w:val="18"/>
              </w:rPr>
              <w:t xml:space="preserve"> Four-wire Kelvin shunt, sense leads at the resistor terminals. Inside B1.</w:t>
            </w:r>
          </w:p>
        </w:tc>
      </w:tr>
      <w:tr>
        <w:tc>
          <w:tcPr>
            <w:tcW w:type="dxa" w:w="1805"/>
          </w:tcPr>
          <w:p>
            <w:pPr>
              <w:spacing w:after="20" w:before="20"/>
            </w:pPr>
            <w:r>
              <w:rPr>
                <w:sz w:val="18"/>
                <w:szCs w:val="18"/>
              </w:rPr>
              <w:t xml:space="preserve">Guard chamber resistor</w:t>
            </w:r>
          </w:p>
        </w:tc>
        <w:tc>
          <w:tcPr>
            <w:tcW w:type="dxa" w:w="1304"/>
          </w:tcPr>
          <w:p>
            <w:pPr>
              <w:spacing w:after="20" w:before="20"/>
            </w:pPr>
            <w:r>
              <w:rPr>
                <w:sz w:val="18"/>
                <w:szCs w:val="18"/>
              </w:rPr>
              <w:t xml:space="preserve">8.3 A</w:t>
            </w:r>
          </w:p>
          <w:p>
            <w:pPr>
              <w:spacing w:after="20" w:before="20"/>
            </w:pPr>
            <w:r>
              <w:rPr>
                <w:sz w:val="18"/>
                <w:szCs w:val="18"/>
              </w:rPr>
              <w:t xml:space="preserve">(100 W @ 12 V)</w:t>
            </w:r>
          </w:p>
        </w:tc>
        <w:tc>
          <w:tcPr>
            <w:tcW w:type="dxa" w:w="3310"/>
          </w:tcPr>
          <w:p>
            <w:pPr>
              <w:spacing w:after="20" w:before="20"/>
            </w:pPr>
            <w:r>
              <w:rPr>
                <w:sz w:val="18"/>
                <w:szCs w:val="18"/>
              </w:rPr>
              <w:t xml:space="preserve">Same MOSFET / fuse / pull-down pattern, plus a bimetallic cutout on the guard zone that is independent of firmware.</w:t>
            </w:r>
          </w:p>
        </w:tc>
        <w:tc>
          <w:tcPr>
            <w:tcW w:type="dxa" w:w="2607"/>
          </w:tcPr>
          <w:p>
            <w:pPr>
              <w:spacing w:after="20" w:before="20"/>
            </w:pPr>
            <w:r>
              <w:rPr>
                <w:sz w:val="18"/>
                <w:szCs w:val="18"/>
              </w:rPr>
              <w:t xml:space="preserve">Protection-grade. Two-wire shunt, diagnostic only. Outside B1.</w:t>
            </w:r>
          </w:p>
        </w:tc>
      </w:tr>
      <w:tr>
        <w:tc>
          <w:tcPr>
            <w:tcW w:type="dxa" w:w="1805"/>
          </w:tcPr>
          <w:p>
            <w:pPr>
              <w:spacing w:after="20" w:before="20"/>
            </w:pPr>
            <w:r>
              <w:rPr>
                <w:sz w:val="18"/>
                <w:szCs w:val="18"/>
              </w:rPr>
              <w:t xml:space="preserve">Inner fans (3 ×)</w:t>
            </w:r>
          </w:p>
        </w:tc>
        <w:tc>
          <w:tcPr>
            <w:tcW w:type="dxa" w:w="1304"/>
          </w:tcPr>
          <w:p>
            <w:pPr>
              <w:spacing w:after="20" w:before="20"/>
            </w:pPr>
            <w:r>
              <w:rPr>
                <w:sz w:val="18"/>
                <w:szCs w:val="18"/>
              </w:rPr>
              <w:t xml:space="preserve">≈ 0.36 A</w:t>
            </w:r>
          </w:p>
        </w:tc>
        <w:tc>
          <w:tcPr>
            <w:tcW w:type="dxa" w:w="3310"/>
          </w:tcPr>
          <w:p>
            <w:pPr>
              <w:spacing w:after="20" w:before="20"/>
            </w:pPr>
            <w:r>
              <w:rPr>
                <w:sz w:val="18"/>
                <w:szCs w:val="18"/>
              </w:rPr>
              <w:t xml:space="preserve">Shared fan-rail fuse only — native four-pin PWM fans need no switching stage.</w:t>
            </w:r>
          </w:p>
        </w:tc>
        <w:tc>
          <w:tcPr>
            <w:tcW w:type="dxa" w:w="2607"/>
          </w:tcPr>
          <w:p>
            <w:pPr>
              <w:spacing w:after="20" w:before="20"/>
            </w:pPr>
            <w:r>
              <w:rPr>
                <w:b/>
                <w:sz w:val="18"/>
                <w:szCs w:val="18"/>
              </w:rPr>
              <w:t xml:space="preserve">Measurement-grade, mandatory.</w:t>
            </w:r>
            <w:r>
              <w:rPr>
                <w:sz w:val="18"/>
                <w:szCs w:val="18"/>
              </w:rPr>
              <w:t xml:space="preserve"> Inside B1; the group every other watt is relative to.</w:t>
            </w:r>
          </w:p>
        </w:tc>
      </w:tr>
      <w:tr>
        <w:tc>
          <w:tcPr>
            <w:tcW w:type="dxa" w:w="1805"/>
          </w:tcPr>
          <w:p>
            <w:pPr>
              <w:spacing w:after="20" w:before="20"/>
            </w:pPr>
            <w:r>
              <w:rPr>
                <w:sz w:val="18"/>
                <w:szCs w:val="18"/>
              </w:rPr>
              <w:t xml:space="preserve">Guard fans (2 ×)</w:t>
            </w:r>
          </w:p>
        </w:tc>
        <w:tc>
          <w:tcPr>
            <w:tcW w:type="dxa" w:w="1304"/>
          </w:tcPr>
          <w:p>
            <w:pPr>
              <w:spacing w:after="20" w:before="20"/>
            </w:pPr>
            <w:r>
              <w:rPr>
                <w:sz w:val="18"/>
                <w:szCs w:val="18"/>
              </w:rPr>
              <w:t xml:space="preserve">≈ 0.24 A</w:t>
            </w:r>
          </w:p>
        </w:tc>
        <w:tc>
          <w:tcPr>
            <w:tcW w:type="dxa" w:w="3310"/>
          </w:tcPr>
          <w:p>
            <w:pPr>
              <w:spacing w:after="20" w:before="20"/>
            </w:pPr>
            <w:r>
              <w:rPr>
                <w:sz w:val="18"/>
                <w:szCs w:val="18"/>
              </w:rPr>
              <w:t xml:space="preserve">Fuse only.</w:t>
            </w:r>
          </w:p>
        </w:tc>
        <w:tc>
          <w:tcPr>
            <w:tcW w:type="dxa" w:w="2607"/>
          </w:tcPr>
          <w:p>
            <w:pPr>
              <w:spacing w:after="20" w:before="20"/>
            </w:pPr>
            <w:r>
              <w:rPr>
                <w:sz w:val="18"/>
                <w:szCs w:val="18"/>
              </w:rPr>
              <w:t xml:space="preserve">Protection-grade; feeds the guard's own energy balance.</w:t>
            </w:r>
          </w:p>
        </w:tc>
      </w:tr>
      <w:tr>
        <w:tc>
          <w:tcPr>
            <w:tcW w:type="dxa" w:w="1805"/>
          </w:tcPr>
          <w:p>
            <w:pPr>
              <w:spacing w:after="20" w:before="20"/>
            </w:pPr>
            <w:r>
              <w:rPr>
                <w:sz w:val="18"/>
                <w:szCs w:val="18"/>
              </w:rPr>
              <w:t xml:space="preserve">Reject fans (3–6 ×)</w:t>
            </w:r>
          </w:p>
        </w:tc>
        <w:tc>
          <w:tcPr>
            <w:tcW w:type="dxa" w:w="1304"/>
          </w:tcPr>
          <w:p>
            <w:pPr>
              <w:spacing w:after="20" w:before="20"/>
            </w:pPr>
            <w:r>
              <w:rPr>
                <w:sz w:val="18"/>
                <w:szCs w:val="18"/>
              </w:rPr>
              <w:t xml:space="preserve">≈ 0.36–0.72 A</w:t>
            </w:r>
          </w:p>
        </w:tc>
        <w:tc>
          <w:tcPr>
            <w:tcW w:type="dxa" w:w="3310"/>
          </w:tcPr>
          <w:p>
            <w:pPr>
              <w:spacing w:after="20" w:before="20"/>
            </w:pPr>
            <w:r>
              <w:rPr>
                <w:sz w:val="18"/>
                <w:szCs w:val="18"/>
              </w:rPr>
              <w:t xml:space="preserve">Fuse only.</w:t>
            </w:r>
          </w:p>
        </w:tc>
        <w:tc>
          <w:tcPr>
            <w:tcW w:type="dxa" w:w="2607"/>
          </w:tcPr>
          <w:p>
            <w:pPr>
              <w:spacing w:after="20" w:before="20"/>
            </w:pPr>
            <w:r>
              <w:rPr>
                <w:sz w:val="18"/>
                <w:szCs w:val="18"/>
              </w:rPr>
              <w:t xml:space="preserve">Not required — outside B1, purely the cooling actuator.</w:t>
            </w:r>
          </w:p>
        </w:tc>
      </w:tr>
      <w:tr>
        <w:tc>
          <w:tcPr>
            <w:tcW w:type="dxa" w:w="1805"/>
          </w:tcPr>
          <w:p>
            <w:pPr>
              <w:spacing w:after="20" w:before="20"/>
            </w:pPr>
            <w:r>
              <w:rPr>
                <w:sz w:val="18"/>
                <w:szCs w:val="18"/>
              </w:rPr>
              <w:t xml:space="preserve">Pump (stepper)</w:t>
            </w:r>
          </w:p>
        </w:tc>
        <w:tc>
          <w:tcPr>
            <w:tcW w:type="dxa" w:w="1304"/>
          </w:tcPr>
          <w:p>
            <w:pPr>
              <w:spacing w:after="20" w:before="20"/>
            </w:pPr>
            <w:r>
              <w:rPr>
                <w:sz w:val="18"/>
                <w:szCs w:val="18"/>
              </w:rPr>
              <w:t xml:space="preserve">≈ 4.2 A</w:t>
            </w:r>
          </w:p>
          <w:p>
            <w:pPr>
              <w:spacing w:after="20" w:before="20"/>
            </w:pPr>
            <w:r>
              <w:rPr>
                <w:sz w:val="18"/>
                <w:szCs w:val="18"/>
              </w:rPr>
              <w:t xml:space="preserve">(50 W ÷ 12 V)</w:t>
            </w:r>
          </w:p>
        </w:tc>
        <w:tc>
          <w:tcPr>
            <w:tcW w:type="dxa" w:w="3310"/>
          </w:tcPr>
          <w:p>
            <w:pPr>
              <w:spacing w:after="20" w:before="20"/>
            </w:pPr>
            <w:r>
              <w:rPr>
                <w:sz w:val="18"/>
                <w:szCs w:val="18"/>
              </w:rPr>
              <w:t xml:space="preserve">On-board stepper driver, gate lines kept off the module's strapping pins, channel fuse 5–7 A.</w:t>
            </w:r>
          </w:p>
        </w:tc>
        <w:tc>
          <w:tcPr>
            <w:tcW w:type="dxa" w:w="2607"/>
          </w:tcPr>
          <w:p>
            <w:pPr>
              <w:spacing w:after="20" w:before="20"/>
            </w:pPr>
            <w:r>
              <w:rPr>
                <w:sz w:val="18"/>
                <w:szCs w:val="18"/>
              </w:rPr>
              <w:t xml:space="preserve">Protection-grade — rising current is a tube-binding indicator. The turbine, not the pump, is the flow meter (§9.6).</w:t>
            </w:r>
          </w:p>
        </w:tc>
      </w:tr>
      <w:tr>
        <w:tc>
          <w:tcPr>
            <w:tcW w:type="dxa" w:w="1805"/>
          </w:tcPr>
          <w:p>
            <w:pPr>
              <w:spacing w:after="20" w:before="20"/>
            </w:pPr>
            <w:r>
              <w:rPr>
                <w:b/>
                <w:sz w:val="18"/>
                <w:szCs w:val="18"/>
              </w:rPr>
              <w:t xml:space="preserve">Total, 12 V rail</w:t>
            </w:r>
          </w:p>
        </w:tc>
        <w:tc>
          <w:tcPr>
            <w:tcW w:type="dxa" w:w="1304"/>
          </w:tcPr>
          <w:p>
            <w:pPr>
              <w:spacing w:after="20" w:before="20"/>
            </w:pPr>
            <w:r>
              <w:rPr>
                <w:b/>
                <w:sz w:val="18"/>
                <w:szCs w:val="18"/>
              </w:rPr>
              <w:t xml:space="preserve">≈ 21.8–22.1 A</w:t>
            </w:r>
          </w:p>
        </w:tc>
        <w:tc>
          <w:tcPr>
            <w:tcW w:type="dxa" w:w="3310"/>
          </w:tcPr>
          <w:p>
            <w:pPr>
              <w:spacing w:after="20" w:before="20"/>
            </w:pPr>
            <w:r>
              <w:rPr>
                <w:sz w:val="18"/>
                <w:szCs w:val="18"/>
              </w:rPr>
              <w:t xml:space="preserve">One board-input fuse ≈ 25 A slow-blow, ahead of the per-channel fuses.</w:t>
            </w:r>
          </w:p>
        </w:tc>
        <w:tc>
          <w:tcPr>
            <w:tcW w:type="dxa" w:w="2607"/>
          </w:tcPr>
          <w:p>
            <w:pPr>
              <w:spacing w:after="20" w:before="20"/>
            </w:pPr>
            <w:r>
              <w:rPr>
                <w:sz w:val="18"/>
                <w:szCs w:val="18"/>
              </w:rPr>
              <w:t xml:space="preserve">Against a 29 A supply: </w:t>
            </w:r>
            <w:r>
              <w:rPr>
                <w:b/>
                <w:sz w:val="18"/>
                <w:szCs w:val="18"/>
              </w:rPr>
              <w:t xml:space="preserve">≈ 24–25 % headroom</w:t>
            </w:r>
            <w:r>
              <w:rPr>
                <w:sz w:val="18"/>
                <w:szCs w:val="18"/>
              </w:rPr>
              <w:t xml:space="preserve"> — comfortable, not generous.</w:t>
            </w:r>
          </w:p>
        </w:tc>
      </w:tr>
    </w:tbl>
    <w:p>
      <w:pPr>
        <w:spacing w:before="60" w:after="200"/>
        <w:jc w:val="left"/>
      </w:pPr>
      <w:r>
        <w:rPr>
          <w:sz w:val="18"/>
          <w:szCs w:val="18"/>
        </w:rPr>
        <w:t xml:space="preserve">Table 30. The 12 V rail, built up from the loads. The two heater channels are three-quarters of the total; everything else is small.</w:t>
      </w:r>
    </w:p>
    <w:p>
      <w:pPr>
        <w:spacing w:after="120"/>
      </w:pPr>
      <w:r>
        <w:t xml:space="preserve">The 5 V rail is structurally different and its table is much shorter, because </w:t>
      </w:r>
      <w:r>
        <w:rPr>
          <w:b/>
        </w:rPr>
        <w:t xml:space="preserve">nothing on it is individually switched.</w:t>
      </w:r>
      <w:r>
        <w:t xml:space="preserve"> The buck feeds everything passively, so protection concentrates at the converter itself rather than per load, and no channel on this rail is inside B1 or is a health-critical actuator — it is all housekeeping logic.</w:t>
      </w:r>
    </w:p>
    <w:tbl>
      <w:tblPr>
        <w:tblStyle w:val="TableGrid"/>
        <w:tblW w:type="auto" w:w="0"/>
        <w:jc w:val="center"/>
        <w:tblLayout w:type="fixed"/>
        <w:tblLook w:firstColumn="1" w:firstRow="1" w:lastColumn="0" w:lastRow="0" w:noHBand="0" w:noVBand="1" w:val="04A0"/>
      </w:tblPr>
      <w:tblGrid>
        <w:gridCol w:w="2507"/>
        <w:gridCol w:w="1605"/>
        <w:gridCol w:w="4914"/>
      </w:tblGrid>
      <w:tr>
        <w:trPr>
          <w:tblHeader w:val="true"/>
        </w:trPr>
        <w:tc>
          <w:tcPr>
            <w:tcW w:type="dxa" w:w="2507"/>
            <w:shd w:val="clear" w:color="auto" w:fill="DEEAF6"/>
          </w:tcPr>
          <w:p>
            <w:pPr>
              <w:spacing w:after="20" w:before="20"/>
            </w:pPr>
            <w:r>
              <w:rPr>
                <w:b/>
                <w:sz w:val="18"/>
                <w:szCs w:val="18"/>
              </w:rPr>
              <w:t xml:space="preserve">Load</w:t>
            </w:r>
          </w:p>
        </w:tc>
        <w:tc>
          <w:tcPr>
            <w:tcW w:type="dxa" w:w="1605"/>
            <w:shd w:val="clear" w:color="auto" w:fill="DEEAF6"/>
          </w:tcPr>
          <w:p>
            <w:pPr>
              <w:spacing w:after="20" w:before="20"/>
            </w:pPr>
            <w:r>
              <w:rPr>
                <w:b/>
                <w:sz w:val="18"/>
                <w:szCs w:val="18"/>
              </w:rPr>
              <w:t xml:space="preserve">Max current</w:t>
            </w:r>
          </w:p>
        </w:tc>
        <w:tc>
          <w:tcPr>
            <w:tcW w:type="dxa" w:w="4914"/>
            <w:shd w:val="clear" w:color="auto" w:fill="DEEAF6"/>
          </w:tcPr>
          <w:p>
            <w:pPr>
              <w:spacing w:after="20" w:before="20"/>
            </w:pPr>
            <w:r>
              <w:rPr>
                <w:b/>
                <w:sz w:val="18"/>
                <w:szCs w:val="18"/>
              </w:rPr>
              <w:t xml:space="preserve">Notes</w:t>
            </w:r>
          </w:p>
        </w:tc>
      </w:tr>
      <w:tr>
        <w:tc>
          <w:tcPr>
            <w:tcW w:type="dxa" w:w="2507"/>
          </w:tcPr>
          <w:p>
            <w:pPr>
              <w:spacing w:after="20" w:before="20"/>
            </w:pPr>
            <w:r>
              <w:rPr>
                <w:sz w:val="18"/>
                <w:szCs w:val="18"/>
              </w:rPr>
              <w:t xml:space="preserve">Buck converter, 12 V → 5 V</w:t>
            </w:r>
          </w:p>
        </w:tc>
        <w:tc>
          <w:tcPr>
            <w:tcW w:type="dxa" w:w="1605"/>
          </w:tcPr>
          <w:p>
            <w:pPr>
              <w:spacing w:after="20" w:before="20"/>
            </w:pPr>
            <w:r>
              <w:rPr>
                <w:sz w:val="18"/>
                <w:szCs w:val="18"/>
              </w:rPr>
              <w:t xml:space="preserve">≥ 0.6 A needed; a ≥ 1 A part for margin</w:t>
            </w:r>
          </w:p>
        </w:tc>
        <w:tc>
          <w:tcPr>
            <w:tcW w:type="dxa" w:w="4914"/>
          </w:tcPr>
          <w:p>
            <w:pPr>
              <w:spacing w:after="20" w:before="20"/>
            </w:pPr>
            <w:r>
              <w:rPr>
                <w:sz w:val="18"/>
                <w:szCs w:val="18"/>
              </w:rPr>
              <w:t xml:space="preserve">Its own under-voltage lockout and over-current limit are the effective protection for the entire rail, since nothing downstream is separately fused.</w:t>
            </w:r>
          </w:p>
        </w:tc>
      </w:tr>
      <w:tr>
        <w:tc>
          <w:tcPr>
            <w:tcW w:type="dxa" w:w="2507"/>
          </w:tcPr>
          <w:p>
            <w:pPr>
              <w:spacing w:after="20" w:before="20"/>
            </w:pPr>
            <w:r>
              <w:rPr>
                <w:sz w:val="18"/>
                <w:szCs w:val="18"/>
              </w:rPr>
              <w:t xml:space="preserve">ESP32-S3 module</w:t>
            </w:r>
          </w:p>
        </w:tc>
        <w:tc>
          <w:tcPr>
            <w:tcW w:type="dxa" w:w="1605"/>
          </w:tcPr>
          <w:p>
            <w:pPr>
              <w:spacing w:after="20" w:before="20"/>
            </w:pPr>
            <w:r>
              <w:rPr>
                <w:sz w:val="18"/>
                <w:szCs w:val="18"/>
              </w:rPr>
              <w:t xml:space="preserve">≈ 0.5 A peak</w:t>
            </w:r>
          </w:p>
        </w:tc>
        <w:tc>
          <w:tcPr>
            <w:tcW w:type="dxa" w:w="4914"/>
          </w:tcPr>
          <w:p>
            <w:pPr>
              <w:spacing w:after="20" w:before="20"/>
            </w:pPr>
            <w:r>
              <w:rPr>
                <w:sz w:val="18"/>
                <w:szCs w:val="18"/>
              </w:rPr>
              <w:t xml:space="preserve">Wi-Fi transmit bursts dominate; the average is far lower.</w:t>
            </w:r>
          </w:p>
        </w:tc>
      </w:tr>
      <w:tr>
        <w:tc>
          <w:tcPr>
            <w:tcW w:type="dxa" w:w="2507"/>
          </w:tcPr>
          <w:p>
            <w:pPr>
              <w:spacing w:after="20" w:before="20"/>
            </w:pPr>
            <w:r>
              <w:rPr>
                <w:sz w:val="18"/>
                <w:szCs w:val="18"/>
              </w:rPr>
              <w:t xml:space="preserve">Temperature front end — TMP117 array, multiplexer, 2 × MAX31865</w:t>
            </w:r>
          </w:p>
        </w:tc>
        <w:tc>
          <w:tcPr>
            <w:tcW w:type="dxa" w:w="1605"/>
          </w:tcPr>
          <w:p>
            <w:pPr>
              <w:spacing w:after="20" w:before="20"/>
            </w:pPr>
            <w:r>
              <w:rPr>
                <w:sz w:val="18"/>
                <w:szCs w:val="18"/>
              </w:rPr>
              <w:t xml:space="preserve">≈ 5–10 mA total</w:t>
            </w:r>
          </w:p>
        </w:tc>
        <w:tc>
          <w:tcPr>
            <w:tcW w:type="dxa" w:w="4914"/>
          </w:tcPr>
          <w:p>
            <w:pPr>
              <w:spacing w:after="20" w:before="20"/>
            </w:pPr>
            <w:r>
              <w:rPr>
                <w:sz w:val="18"/>
                <w:szCs w:val="18"/>
              </w:rPr>
              <w:t xml:space="preserve">All low-power parts. </w:t>
            </w:r>
            <w:r>
              <w:rPr>
                <w:b/>
                <w:sz w:val="18"/>
                <w:szCs w:val="18"/>
              </w:rPr>
              <w:t xml:space="preserve">The connectors here get dedicated ESD protection</w:t>
            </w:r>
            <w:r>
              <w:rPr>
                <w:sz w:val="18"/>
                <w:szCs w:val="18"/>
              </w:rPr>
              <w:t xml:space="preserve"> — they are field-wired and handled during bring-up and maintenance.</w:t>
            </w:r>
          </w:p>
        </w:tc>
      </w:tr>
      <w:tr>
        <w:tc>
          <w:tcPr>
            <w:tcW w:type="dxa" w:w="2507"/>
          </w:tcPr>
          <w:p>
            <w:pPr>
              <w:spacing w:after="20" w:before="20"/>
            </w:pPr>
            <w:r>
              <w:rPr>
                <w:sz w:val="18"/>
                <w:szCs w:val="18"/>
              </w:rPr>
              <w:t xml:space="preserve">Flow sensor (3-pin)</w:t>
            </w:r>
          </w:p>
        </w:tc>
        <w:tc>
          <w:tcPr>
            <w:tcW w:type="dxa" w:w="1605"/>
          </w:tcPr>
          <w:p>
            <w:pPr>
              <w:spacing w:after="20" w:before="20"/>
            </w:pPr>
            <w:r>
              <w:rPr>
                <w:sz w:val="18"/>
                <w:szCs w:val="18"/>
              </w:rPr>
              <w:t xml:space="preserve">≈ 5 mA</w:t>
            </w:r>
          </w:p>
        </w:tc>
        <w:tc>
          <w:tcPr>
            <w:tcW w:type="dxa" w:w="4914"/>
          </w:tcPr>
          <w:p>
            <w:pPr>
              <w:spacing w:after="20" w:before="20"/>
            </w:pPr>
            <w:r>
              <w:rPr>
                <w:sz w:val="18"/>
                <w:szCs w:val="18"/>
              </w:rPr>
              <w:t xml:space="preserve">Powered from 3.3 V, and its pulse output rides at 3.3 V as a result — straight to a GPIO, no level shifting.</w:t>
            </w:r>
          </w:p>
        </w:tc>
      </w:tr>
      <w:tr>
        <w:tc>
          <w:tcPr>
            <w:tcW w:type="dxa" w:w="2507"/>
          </w:tcPr>
          <w:p>
            <w:pPr>
              <w:spacing w:after="20" w:before="20"/>
            </w:pPr>
            <w:r>
              <w:rPr>
                <w:sz w:val="18"/>
                <w:szCs w:val="18"/>
              </w:rPr>
              <w:t xml:space="preserve">Stepper driver, logic side only</w:t>
            </w:r>
          </w:p>
        </w:tc>
        <w:tc>
          <w:tcPr>
            <w:tcW w:type="dxa" w:w="1605"/>
          </w:tcPr>
          <w:p>
            <w:pPr>
              <w:spacing w:after="20" w:before="20"/>
            </w:pPr>
            <w:r>
              <w:rPr>
                <w:sz w:val="18"/>
                <w:szCs w:val="18"/>
              </w:rPr>
              <w:t xml:space="preserve">≈ 20 mA</w:t>
            </w:r>
          </w:p>
        </w:tc>
        <w:tc>
          <w:tcPr>
            <w:tcW w:type="dxa" w:w="4914"/>
          </w:tcPr>
          <w:p>
            <w:pPr>
              <w:spacing w:after="20" w:before="20"/>
            </w:pPr>
            <w:r>
              <w:rPr>
                <w:sz w:val="18"/>
                <w:szCs w:val="18"/>
              </w:rPr>
              <w:t xml:space="preserve">The motor's current stays on the 12 V rail; this row is only the driver's digital supply.</w:t>
            </w:r>
          </w:p>
        </w:tc>
      </w:tr>
      <w:tr>
        <w:tc>
          <w:tcPr>
            <w:tcW w:type="dxa" w:w="2507"/>
          </w:tcPr>
          <w:p>
            <w:pPr>
              <w:spacing w:after="20" w:before="20"/>
            </w:pPr>
            <w:r>
              <w:rPr>
                <w:b/>
                <w:sz w:val="18"/>
                <w:szCs w:val="18"/>
              </w:rPr>
              <w:t xml:space="preserve">Total, 5 V / 3.3 V</w:t>
            </w:r>
          </w:p>
        </w:tc>
        <w:tc>
          <w:tcPr>
            <w:tcW w:type="dxa" w:w="1605"/>
          </w:tcPr>
          <w:p>
            <w:pPr>
              <w:spacing w:after="20" w:before="20"/>
            </w:pPr>
            <w:r>
              <w:rPr>
                <w:b/>
                <w:sz w:val="18"/>
                <w:szCs w:val="18"/>
              </w:rPr>
              <w:t xml:space="preserve">≈ 0.53–0.6 A</w:t>
            </w:r>
          </w:p>
        </w:tc>
        <w:tc>
          <w:tcPr>
            <w:tcW w:type="dxa" w:w="4914"/>
          </w:tcPr>
          <w:p>
            <w:pPr>
              <w:spacing w:after="20" w:before="20"/>
            </w:pPr>
            <w:r>
              <w:rPr>
                <w:sz w:val="18"/>
                <w:szCs w:val="18"/>
              </w:rPr>
              <w:t xml:space="preserve">The module dominates. Comfortably inside a 1 A converter.</w:t>
            </w:r>
          </w:p>
        </w:tc>
      </w:tr>
    </w:tbl>
    <w:p>
      <w:pPr>
        <w:spacing w:before="60" w:after="200"/>
        <w:jc w:val="left"/>
      </w:pPr>
      <w:r>
        <w:rPr>
          <w:sz w:val="18"/>
          <w:szCs w:val="18"/>
        </w:rPr>
        <w:t xml:space="preserve">Table 31. The 5 V rail. Its protection lives at the converter, not per load, which is why the table has no protection column of its own.</w:t>
      </w:r>
    </w:p>
    <w:p>
      <w:pPr>
        <w:pStyle w:val="Heading2"/>
      </w:pPr>
      <w:r>
        <w:t xml:space="preserve">Protection, domain by domain</w:t>
      </w:r>
    </w:p>
    <w:p>
      <w:pPr>
        <w:spacing w:after="120"/>
      </w:pPr>
      <w:r>
        <w:t xml:space="preserve">The protection strategy answers five requirements — ESD, over-current, over-voltage, short-circuit and thermal — but not with five separate mechanisms. It answers them where each one is cheapest and most reliable, which means most of the rail-level work happens once, at the input, and the per-channel work is deliberately minimal.</w:t>
      </w:r>
    </w:p>
    <w:p>
      <w:pPr>
        <w:pStyle w:val="Heading3"/>
      </w:pPr>
      <w:r>
        <w:t xml:space="preserve">The 12 V input stage</w:t>
      </w:r>
    </w:p>
    <w:p>
      <w:pPr>
        <w:spacing w:after="120"/>
      </w:pPr>
      <w:r>
        <w:t xml:space="preserve">This is the one place on the board that needs genuinely new parts rather than reuse of parts already specified elsewhere.</w:t>
      </w:r>
    </w:p>
    <w:p>
      <w:pPr>
        <w:spacing w:after="60" w:before="0"/>
        <w:ind w:left="720" w:hanging="360"/>
      </w:pPr>
      <w:r>
        <w:t xml:space="preserve">•</w:t>
      </w:r>
      <w:r>
        <w:tab/>
      </w:r>
      <w:r>
        <w:rPr>
          <w:b/>
        </w:rPr>
        <w:t xml:space="preserve">Over-current, over-voltage and short-circuit are handled by the supply.</w:t>
      </w:r>
      <w:r>
        <w:t xml:space="preserve"> The LRS-350-12 is a certified unit carrying its own OCP, OVP and SCP. Duplicating that on the board would add parts and failure modes to protect against something already protected. What the board adds is what a certified supply cannot see: faults that happen downstream of it.</w:t>
      </w:r>
    </w:p>
    <w:p>
      <w:pPr>
        <w:spacing w:after="60" w:before="0"/>
        <w:ind w:left="720" w:hanging="360"/>
      </w:pPr>
      <w:r>
        <w:t xml:space="preserve">•</w:t>
      </w:r>
      <w:r>
        <w:tab/>
      </w:r>
      <w:r>
        <w:rPr>
          <w:b/>
        </w:rPr>
        <w:t xml:space="preserve">Reverse polarity — a MOSFET, not a diode.</w:t>
      </w:r>
      <w:r>
        <w:t xml:space="preserve"> At twenty-something amps a series Schottky at 0.3–0.4 V burns several watts for nothing. The MOSFET is wired as an ideal diode: source to the incoming rail, drain to the protected rail, body diode oriented to conduct on correct polarity.</w:t>
      </w:r>
    </w:p>
    <w:p>
      <w:pPr>
        <w:spacing w:after="60" w:before="0"/>
        <w:ind w:left="720" w:hanging="360"/>
      </w:pPr>
      <w:r>
        <w:t xml:space="preserve">•</w:t>
      </w:r>
      <w:r>
        <w:tab/>
      </w:r>
      <w:r>
        <w:rPr>
          <w:b/>
        </w:rPr>
        <w:t xml:space="preserve">Transient suppression.</w:t>
      </w:r>
      <w:r>
        <w:t xml:space="preserve"> A TVS across the input, downstream of the fuse. The supply already handles steady-state over-voltage; this catches what a long DC wire run or a hot-plug event adds on top of it.</w:t>
      </w:r>
    </w:p>
    <w:p>
      <w:pPr>
        <w:spacing w:after="60" w:before="0"/>
        <w:ind w:left="720" w:hanging="360"/>
      </w:pPr>
      <w:r>
        <w:t xml:space="preserve">•</w:t>
      </w:r>
      <w:r>
        <w:tab/>
      </w:r>
      <w:r>
        <w:rPr>
          <w:b/>
        </w:rPr>
        <w:t xml:space="preserve">Fusing, in two layers.</w:t>
      </w:r>
      <w:r>
        <w:t xml:space="preserve"> One board-input fuse sized to the supply (≈ 25 A slow-blow) as coarse protection, plus a fuse per heater, fan and pump channel. A single channel fault should blow one fuse, not force a diagnosis of the whole board.</w:t>
      </w:r>
    </w:p>
    <w:p>
      <w:pPr>
        <w:spacing w:after="120"/>
      </w:pPr>
      <w:r>
        <w:t xml:space="preserve">The reverse-polarity part is the one place where the design record carries two live options rather than a decision, and the arithmetic favours the second. A P-channel device is the simpler drawing and is what the original note called for, but at 20 mΩ and 22 A it dissipates </w:t>
      </w:r>
      <w:r>
        <w:rPr>
          <w:b/>
        </w:rPr>
        <w:t xml:space="preserve">≈ 9.7 W</w:t>
      </w:r>
      <w:r>
        <w:t xml:space="preserve"> and needs a real heatsink. An N-channel device with an ideal-diode controller dissipates </w:t>
      </w:r>
      <w:r>
        <w:rPr>
          <w:b/>
        </w:rPr>
        <w:t xml:space="preserve">≈ 2.0 W</w:t>
      </w:r>
      <w:r>
        <w:t xml:space="preserve"> at 4.1 mΩ — copper pour is enough — and reuses the same MOSFET part number already being bought for the two heater channels, which removes a distinct line from the bill of materials. The controller has no ground pin at all: it floats across the MOSFET's source and drain and runs its own charge pump, so it costs nothing but board area.</w:t>
      </w:r>
    </w:p>
    <w:p>
      <w:pPr>
        <w:pStyle w:val="Heading3"/>
      </w:pPr>
      <w:r>
        <w:t xml:space="preserve">The two heater channels</w:t>
      </w:r>
    </w:p>
    <w:p>
      <w:pPr>
        <w:spacing w:after="120"/>
      </w:pPr>
      <w:r>
        <w:t xml:space="preserve">Both channels are the same circuit: a low-side N-channel MOSFET switched by a gate driver from the module's PWM, a shunt and a current-sense IC, a resettable fuse, and a connector. The differences between them are in the sense wiring (§8.3), not in the power path.</w:t>
      </w:r>
    </w:p>
    <w:p>
      <w:pPr>
        <w:spacing w:after="60" w:before="0"/>
        <w:ind w:left="720" w:hanging="360"/>
      </w:pPr>
      <w:r>
        <w:t xml:space="preserve">•</w:t>
      </w:r>
      <w:r>
        <w:tab/>
      </w:r>
      <w:r>
        <w:rPr>
          <w:b/>
        </w:rPr>
        <w:t xml:space="preserve">MOSFET class matters here.</w:t>
      </w:r>
      <w:r>
        <w:t xml:space="preserve"> At 8.3 A a familiar logic-level part such as the IRLZ44N is marginal; the design specifies a modern ≤ 5 mΩ device. At 4.1 mΩ the conduction loss is a fraction of a watt, which is what makes the thermal answer copper rather than a heatsink.</w:t>
      </w:r>
    </w:p>
    <w:p>
      <w:pPr>
        <w:spacing w:after="60" w:before="0"/>
        <w:ind w:left="720" w:hanging="360"/>
      </w:pPr>
      <w:r>
        <w:t xml:space="preserve">•</w:t>
      </w:r>
      <w:r>
        <w:tab/>
      </w:r>
      <w:r>
        <w:rPr>
          <w:b/>
        </w:rPr>
        <w:t xml:space="preserve">No flyback diode.</w:t>
      </w:r>
      <w:r>
        <w:t xml:space="preserve"> The load is a barrel resistor — purely resistive, no inductive kick to catch. This is worth stating because it is the reflex on a switched 8 A channel and here it would be a part that does nothing.</w:t>
      </w:r>
    </w:p>
    <w:p>
      <w:pPr>
        <w:spacing w:after="60" w:before="0"/>
        <w:ind w:left="720" w:hanging="360"/>
      </w:pPr>
      <w:r>
        <w:t xml:space="preserve">•</w:t>
      </w:r>
      <w:r>
        <w:tab/>
      </w:r>
      <w:r>
        <w:rPr>
          <w:b/>
        </w:rPr>
        <w:t xml:space="preserve">Gate pull-down, always.</w:t>
      </w:r>
      <w:r>
        <w:t xml:space="preserve"> A reset, a brown-out or a hung control thread must leave the MOSFET </w:t>
      </w:r>
      <w:r>
        <w:rPr>
          <w:b/>
        </w:rPr>
        <w:t xml:space="preserve">off</w:t>
      </w:r>
      <w:r>
        <w:t xml:space="preserve">, not floating. Ten kilohms gate-to-source at each device, and a further 10 kΩ pull-down at each gate-driver input — the driver's own internal 120 kΩ pull-down is correct in principle but weak for a board carrying 22 A of switching current.</w:t>
      </w:r>
    </w:p>
    <w:p>
      <w:pPr>
        <w:spacing w:after="60" w:before="0"/>
        <w:ind w:left="720" w:hanging="360"/>
      </w:pPr>
      <w:r>
        <w:t xml:space="preserve">•</w:t>
      </w:r>
      <w:r>
        <w:tab/>
      </w:r>
      <w:r>
        <w:rPr>
          <w:b/>
        </w:rPr>
        <w:t xml:space="preserve">No level shifter is needed between module and driver.</w:t>
      </w:r>
      <w:r>
        <w:t xml:space="preserve"> The gate driver's input thresholds are 2.3 V maximum rising and 1.0 V minimum falling, and the vendor states that the input pins' maximum voltage is </w:t>
      </w:r>
      <w:r>
        <w:rPr>
          <w:b/>
        </w:rPr>
        <w:t xml:space="preserve">not</w:t>
      </w:r>
      <w:r>
        <w:t xml:space="preserve"> limited by the driver's own supply. So 3.3 V logic drives a 12 V-supplied gate driver directly.</w:t>
      </w:r>
    </w:p>
    <w:p>
      <w:pPr>
        <w:spacing w:after="60" w:before="0"/>
        <w:ind w:left="720" w:hanging="360"/>
      </w:pPr>
      <w:r>
        <w:t xml:space="preserve">•</w:t>
      </w:r>
      <w:r>
        <w:tab/>
      </w:r>
      <w:r>
        <w:rPr>
          <w:b/>
        </w:rPr>
        <w:t xml:space="preserve">Thermal: copper, and a cutout.</w:t>
      </w:r>
      <w:r>
        <w:t xml:space="preserve"> On a two-layer board there is no internal plane to dump heat into, so the drain pad gets a generous pour stitched to the bottom layer through a via array, and 2 oz outer copper for this section if the fabricator offers it cheaply. The resistors themselves are 100 W barrel packages and need their own heatsink brackets — that is a mechanical question, not a layout one; the board's job is the switch, the fuse and the connector.</w:t>
      </w:r>
    </w:p>
    <w:p>
      <w:pPr>
        <w:spacing w:after="60" w:before="0"/>
        <w:ind w:left="720" w:hanging="360"/>
      </w:pPr>
      <w:r>
        <w:t xml:space="preserve">•</w:t>
      </w:r>
      <w:r>
        <w:tab/>
      </w:r>
      <w:r>
        <w:rPr>
          <w:b/>
        </w:rPr>
        <w:t xml:space="preserve">A bimetallic thermal cutout in series with the 12 V feed</w:t>
      </w:r>
      <w:r>
        <w:t xml:space="preserve">, sensing the guard zone, independent of firmware. This is the tier-0 layer of §9.12: it has to work when the firmware is wrong, hung, or not running at all.</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The hardware interlock that costs zero GPIOs</w:t>
            </w:r>
          </w:p>
          <w:p>
            <w:pPr>
              <w:spacing w:after="40"/>
            </w:pPr>
            <w:r>
              <w:rPr>
                <w:sz w:val="19"/>
                <w:szCs w:val="19"/>
              </w:rPr>
              <w:t xml:space="preserve">The gate driver's enable pins carry a </w:t>
            </w:r>
            <w:r>
              <w:rPr>
                <w:b/>
                <w:sz w:val="19"/>
                <w:szCs w:val="19"/>
              </w:rPr>
              <w:t xml:space="preserve">200 kΩ internal pull-up and enable when left floating</w:t>
            </w:r>
            <w:r>
              <w:rPr>
                <w:sz w:val="19"/>
                <w:szCs w:val="19"/>
              </w:rPr>
              <w:t xml:space="preserve"> — which sounds like the wrong default until it is used deliberately. Fitting 10 kΩ from each enable pin to ground and running the normally-closed interlock chain (the guard-zone bimetallic cutout, plus any lid switch) from 3.3 V into those pins gives a complete hardware interlock for the price of two resistors.</w:t>
            </w:r>
          </w:p>
          <w:p>
            <w:pPr>
              <w:spacing w:after="40"/>
            </w:pPr>
            <w:r>
              <w:rPr>
                <w:sz w:val="19"/>
                <w:szCs w:val="19"/>
              </w:rPr>
              <w:t xml:space="preserve">Chain closed → enable sits at 3.3 V → outputs enabled. Chain open → the 10 kΩ to ground beats the internal 200 kΩ pull-up, landing the pin at ≈ 0.57 V, under the 0.8 V worst-case low threshold → </w:t>
            </w:r>
            <w:r>
              <w:rPr>
                <w:b/>
                <w:sz w:val="19"/>
                <w:szCs w:val="19"/>
              </w:rPr>
              <w:t xml:space="preserve">both heater outputs forced low, with the firmware not involved and no GPIO consumed.</w:t>
            </w:r>
          </w:p>
          <w:p>
            <w:pPr>
              <w:spacing w:after="40"/>
            </w:pPr>
            <w:r>
              <w:rPr>
                <w:sz w:val="19"/>
                <w:szCs w:val="19"/>
              </w:rPr>
              <w:t xml:space="preserve">The boot state is already safe for the same reason in reverse: the driver inputs have internal pull-downs and the outputs are held low when an input floats, so the heaters cannot fire while the ESP32-S3 is in reset.</w:t>
            </w:r>
          </w:p>
        </w:tc>
      </w:tr>
    </w:tbl>
    <w:p/>
    <w:p>
      <w:pPr>
        <w:pStyle w:val="Heading3"/>
      </w:pPr>
      <w:r>
        <w:t xml:space="preserve">Fans</w:t>
      </w:r>
    </w:p>
    <w:p>
      <w:pPr>
        <w:spacing w:after="120"/>
      </w:pPr>
      <w:r>
        <w:t xml:space="preserve">The three fan groups are daisy-chained by role — inner, guard and reject — so the board carries three connectors rather than one per fan. They are native four-pin PWM fans, which means the board does </w:t>
      </w:r>
      <w:r>
        <w:rPr>
          <w:b/>
        </w:rPr>
        <w:t xml:space="preserve">not</w:t>
      </w:r>
      <w:r>
        <w:t xml:space="preserve"> switch their 12 V: protection is the per-group fuse, and control is a logic-level PWM line into the fan's own controller. Two details in that interface are easy to get wrong and both would damage something.</w:t>
      </w:r>
    </w:p>
    <w:p>
      <w:pPr>
        <w:spacing w:after="60" w:before="0"/>
        <w:ind w:left="720" w:hanging="360"/>
      </w:pPr>
      <w:r>
        <w:t xml:space="preserve">•</w:t>
      </w:r>
      <w:r>
        <w:tab/>
      </w:r>
      <w:r>
        <w:rPr>
          <w:b/>
        </w:rPr>
        <w:t xml:space="preserve">The PWM line must be open-drain.</w:t>
      </w:r>
      <w:r>
        <w:t xml:space="preserve"> A four-wire fan pulls its PWM input up internally, to 3.3 V or 5 V depending on the part, and expects the controller to pull it down. Driving it push-pull from 3.3 V into a fan that pulls up to 5 V is contention. Each of the three lines gets a small buffer — a non-inverting open-drain type, or a single N-channel device with the duty inverted in firmware.</w:t>
      </w:r>
    </w:p>
    <w:p>
      <w:pPr>
        <w:spacing w:after="60" w:before="0"/>
        <w:ind w:left="720" w:hanging="360"/>
      </w:pPr>
      <w:r>
        <w:t xml:space="preserve">•</w:t>
      </w:r>
      <w:r>
        <w:tab/>
      </w:r>
      <w:r>
        <w:rPr>
          <w:b/>
        </w:rPr>
        <w:t xml:space="preserve">The tachometer pulls up to 3.3 V, never to 12 V.</w:t>
      </w:r>
      <w:r>
        <w:t xml:space="preserve"> It is an open-collector output inside the fan; a 12 V pull-up puts 12 V on a GPIO. Ten kilohms to 3.3 V.</w:t>
      </w:r>
    </w:p>
    <w:p>
      <w:pPr>
        <w:spacing w:after="120"/>
      </w:pPr>
      <w:r>
        <w:t xml:space="preserve">Only the first fan of a daisy chain reports its tachometer, so one tachometer line per group is all that physically exists — which is exactly the three lines assigned in §8.7. That limitation is why the firmware's fan-health check combines the tachometer with the group's rail current: the tachometer proves something turns, and the current signature is the only thing that can see </w:t>
      </w:r>
      <w:r>
        <w:rPr>
          <w:b/>
        </w:rPr>
        <w:t xml:space="preserve">one</w:t>
      </w:r>
      <w:r>
        <w:t xml:space="preserve"> stopped fan in a chain of three (§9.12).</w:t>
      </w:r>
    </w:p>
    <w:p>
      <w:pPr>
        <w:pStyle w:val="Heading3"/>
      </w:pPr>
      <w:r>
        <w:t xml:space="preserve">The pump</w:t>
      </w:r>
    </w:p>
    <w:p>
      <w:pPr>
        <w:spacing w:after="120"/>
      </w:pPr>
      <w:r>
        <w:t xml:space="preserve">The pump is a peristaltic head driven by a stepper motor, rated 30–50 W across a 6–36 V supply range; at 12 V that bounds its input current at ≈ 4.2 A, and the design allocates 5.5 A to the whole channel. A stepper driver IC therefore sits on the board, taking STEP, DIR and an active-low enable from the module, with its current limit set over SPI rather than by a soldered sense resistor.</w:t>
      </w:r>
    </w:p>
    <w:p>
      <w:pPr>
        <w:spacing w:after="120"/>
      </w:pPr>
      <w:r>
        <w:t xml:space="preserve">That last property was chosen for a specific reason and it is the right kind of hedge: </w:t>
      </w:r>
      <w:r>
        <w:rPr>
          <w:b/>
        </w:rPr>
        <w:t xml:space="preserve">the motor's phase current is not published by the vendor.</w:t>
      </w:r>
      <w:r>
        <w:t xml:space="preserve"> The 4.2 A figure is an input-power bound, which is the number a fuse and a connector are sized against — it is not the number a driver IC must be sized against. A driver whose limit is a register write rather than a resistor value means the board is not locked into a guess before the vendor answers, and the firmware ships a deliberately conservative default until then (§9.16).</w:t>
      </w:r>
    </w:p>
    <w:p>
      <w:pPr>
        <w:spacing w:after="120"/>
      </w:pPr>
      <w:r>
        <w:t xml:space="preserve">The STEP line is driven from a hardware pulse generator rather than a software toggle, and the reason changed during the project without changing the conclusion. It used to be metrology — the step count was to be the primary flow measurement. It is not: the turbine is the meter, full stop (§9.6). What a hardware pulse train buys now is smooth, jitter-free flow, because a ragged step rate becomes flow noise that both the sensor and the control loop have to fight.</w:t>
      </w:r>
    </w:p>
    <w:p>
      <w:pPr>
        <w:pStyle w:val="Heading3"/>
      </w:pPr>
      <w:r>
        <w:t xml:space="preserve">Signal-level ESD, and where it is deliberately absent</w:t>
      </w:r>
    </w:p>
    <w:p>
      <w:pPr>
        <w:spacing w:after="120"/>
      </w:pPr>
      <w:r>
        <w:t xml:space="preserve">Every load on the 12 V rail hangs off a single input stage that already carries the rail-level TVS and the reverse-polarity MOSFET, so </w:t>
      </w:r>
      <w:r>
        <w:rPr>
          <w:b/>
        </w:rPr>
        <w:t xml:space="preserve">no per-load ESD is fitted downstream of it.</w:t>
      </w:r>
      <w:r>
        <w:t xml:space="preserve"> ESD parts go where a human actually touches a conductor:</w:t>
      </w:r>
    </w:p>
    <w:p>
      <w:pPr>
        <w:spacing w:after="60" w:before="0"/>
        <w:ind w:left="720" w:hanging="360"/>
      </w:pPr>
      <w:r>
        <w:t xml:space="preserve">•</w:t>
      </w:r>
      <w:r>
        <w:tab/>
      </w:r>
      <w:r>
        <w:rPr>
          <w:b/>
        </w:rPr>
        <w:t xml:space="preserve">The two RTD connectors</w:t>
      </w:r>
      <w:r>
        <w:t xml:space="preserve"> — field-wired probes in the water loop, handled during bring-up and maintenance. One four-element array per probe covers all four conductors of a 4-wire cable, in a sub-picofarad class that does not disturb the converter's precision front end.</w:t>
      </w:r>
    </w:p>
    <w:p>
      <w:pPr>
        <w:spacing w:after="60" w:before="0"/>
        <w:ind w:left="720" w:hanging="360"/>
      </w:pPr>
      <w:r>
        <w:t xml:space="preserve">•</w:t>
      </w:r>
      <w:r>
        <w:tab/>
      </w:r>
      <w:r>
        <w:rPr>
          <w:b/>
        </w:rPr>
        <w:t xml:space="preserve">Any off-board I²C header</w:t>
      </w:r>
      <w:r>
        <w:t xml:space="preserve"> — the chamber sensor run leaves the board on handled cable. A two-line array on the data and clock pair.</w:t>
      </w:r>
    </w:p>
    <w:p>
      <w:pPr>
        <w:spacing w:after="60" w:before="0"/>
        <w:ind w:left="720" w:hanging="360"/>
      </w:pPr>
      <w:r>
        <w:t xml:space="preserve">•</w:t>
      </w:r>
      <w:r>
        <w:tab/>
      </w:r>
      <w:r>
        <w:rPr>
          <w:b/>
        </w:rPr>
        <w:t xml:space="preserve">The USB connector, if one is brought out to the enclosure.</w:t>
      </w:r>
      <w:r>
        <w:t xml:space="preserve"> It is the most handled connector on the board during development and the one most likely to meet an ungrounded laptop.</w:t>
      </w:r>
    </w:p>
    <w:p>
      <w:pPr>
        <w:spacing w:after="120"/>
      </w:pPr>
      <w:r>
        <w:t xml:space="preserve">Internal board-to-board nets get none, and that is a decision rather than an omission: ESD parts add capacitance and cost on nets that no one can reach.</w:t>
      </w:r>
    </w:p>
    <w:p>
      <w:pPr>
        <w:spacing w:after="120"/>
      </w:pPr>
      <w:r>
        <w:t xml:space="preserve">The same reasoning settles a question the requirements left open. </w:t>
      </w:r>
      <w:r>
        <w:rPr>
          <w:b/>
        </w:rPr>
        <w:t xml:space="preserve">Board thermal sensing costs zero GPIOs.</w:t>
      </w:r>
      <w:r>
        <w:t xml:space="preserve"> The requirement is best served by a small I²C temperature sensor placed on the MOSFET heatsink and hung off the on-board telemetry bus, rather than by an analogue thermistor that would consume the last spare pin of §8.7. The firmware treats it as an optional channel feeding a board over-temperature fault at 85 °C (§9.12).</w:t>
      </w:r>
    </w:p>
    <w:p>
      <w:pPr>
        <w:pStyle w:val="Heading3"/>
      </w:pPr>
      <w:r>
        <w:t xml:space="preserve">Where this board sits in the safety cascade</w:t>
      </w:r>
    </w:p>
    <w:p>
      <w:pPr>
        <w:spacing w:after="120"/>
      </w:pPr>
      <w:r>
        <w:t xml:space="preserve">Everything in this section is </w:t>
      </w:r>
      <w:r>
        <w:rPr>
          <w:b/>
        </w:rPr>
        <w:t xml:space="preserve">tier 0</w:t>
      </w:r>
      <w:r>
        <w:t xml:space="preserve"> of the three-tier model of §9.12 — the layer that covers firmware being wrong, hung, or absent. The gate pull-downs, the bimetallic cutout, the fuses, the enable-pin interlock and the supply's own protection all work with the microcontroller in reset.</w:t>
      </w:r>
    </w:p>
    <w:p>
      <w:pPr>
        <w:spacing w:after="120"/>
      </w:pPr>
      <w:r>
        <w:t xml:space="preserve">One board-level decision exists purely to serve tier 1, and it is worth designing in from the start rather than discovering later: </w:t>
      </w:r>
      <w:r>
        <w:rPr>
          <w:b/>
        </w:rPr>
        <w:t xml:space="preserve">every current-sense IC's ALERT pin should reach a GPIO interrupt</w:t>
      </w:r>
      <w:r>
        <w:t xml:space="preserve">, not merely an I²C register that firmware polls. Tier 1's promise is a hardware-timed trip that the firmware only latches; a polled register makes it a software trip wearing a hardware name. The firmware acted on this and spent the board's one spare pin on it (§8.7, §9.4).</w:t>
      </w:r>
    </w:p>
    <w:p>
      <w:pPr>
        <w:pStyle w:val="Heading2"/>
      </w:pPr>
      <w:r>
        <w:t xml:space="preserve">Component selection</w:t>
      </w:r>
    </w:p>
    <w:p>
      <w:pPr>
        <w:spacing w:after="120"/>
      </w:pPr>
      <w:r>
        <w:t xml:space="preserve">Every part below was checked against three things before it was written down: that it exists as a real footprint in the layout tool's standard libraries or a standard package that tool already ships; that it is listed at the intended assembly house with a real supplier part number and stock; and that it is electrically sized against the numbers in Table 30. Where two real options existed, one was made the default and the other named rather than silently discarded. Datasheets for every part below are collected as RD-16.</w:t>
      </w:r>
    </w:p>
    <w:tbl>
      <w:tblPr>
        <w:tblStyle w:val="TableGrid"/>
        <w:tblW w:type="auto" w:w="0"/>
        <w:jc w:val="center"/>
        <w:tblLayout w:type="fixed"/>
        <w:tblLook w:firstColumn="1" w:firstRow="1" w:lastColumn="0" w:lastRow="0" w:noHBand="0" w:noVBand="1" w:val="04A0"/>
      </w:tblPr>
      <w:tblGrid>
        <w:gridCol w:w="1625"/>
        <w:gridCol w:w="1715"/>
        <w:gridCol w:w="1264"/>
        <w:gridCol w:w="4422"/>
      </w:tblGrid>
      <w:tr>
        <w:trPr>
          <w:tblHeader w:val="true"/>
        </w:trPr>
        <w:tc>
          <w:tcPr>
            <w:tcW w:type="dxa" w:w="1625"/>
            <w:shd w:val="clear" w:color="auto" w:fill="DEEAF6"/>
          </w:tcPr>
          <w:p>
            <w:pPr>
              <w:spacing w:after="20" w:before="20"/>
            </w:pPr>
            <w:r>
              <w:rPr>
                <w:b/>
                <w:sz w:val="18"/>
                <w:szCs w:val="18"/>
              </w:rPr>
              <w:t xml:space="preserve">Function</w:t>
            </w:r>
          </w:p>
        </w:tc>
        <w:tc>
          <w:tcPr>
            <w:tcW w:type="dxa" w:w="1715"/>
            <w:shd w:val="clear" w:color="auto" w:fill="DEEAF6"/>
          </w:tcPr>
          <w:p>
            <w:pPr>
              <w:spacing w:after="20" w:before="20"/>
            </w:pPr>
            <w:r>
              <w:rPr>
                <w:b/>
                <w:sz w:val="18"/>
                <w:szCs w:val="18"/>
              </w:rPr>
              <w:t xml:space="preserve">Part</w:t>
            </w:r>
          </w:p>
        </w:tc>
        <w:tc>
          <w:tcPr>
            <w:tcW w:type="dxa" w:w="1264"/>
            <w:shd w:val="clear" w:color="auto" w:fill="DEEAF6"/>
          </w:tcPr>
          <w:p>
            <w:pPr>
              <w:spacing w:after="20" w:before="20"/>
            </w:pPr>
            <w:r>
              <w:rPr>
                <w:b/>
                <w:sz w:val="18"/>
                <w:szCs w:val="18"/>
              </w:rPr>
              <w:t xml:space="preserve">Package</w:t>
            </w:r>
          </w:p>
        </w:tc>
        <w:tc>
          <w:tcPr>
            <w:tcW w:type="dxa" w:w="4422"/>
            <w:shd w:val="clear" w:color="auto" w:fill="DEEAF6"/>
          </w:tcPr>
          <w:p>
            <w:pPr>
              <w:spacing w:after="20" w:before="20"/>
            </w:pPr>
            <w:r>
              <w:rPr>
                <w:b/>
                <w:sz w:val="18"/>
                <w:szCs w:val="18"/>
              </w:rPr>
              <w:t xml:space="preserve">Why this part</w:t>
            </w:r>
          </w:p>
        </w:tc>
      </w:tr>
      <w:tr>
        <w:tc>
          <w:tcPr>
            <w:tcW w:type="dxa" w:w="1625"/>
          </w:tcPr>
          <w:p>
            <w:pPr>
              <w:spacing w:after="20" w:before="20"/>
            </w:pPr>
            <w:r>
              <w:rPr>
                <w:sz w:val="18"/>
                <w:szCs w:val="18"/>
              </w:rPr>
              <w:t xml:space="preserve">12 V input TVS</w:t>
            </w:r>
          </w:p>
        </w:tc>
        <w:tc>
          <w:tcPr>
            <w:tcW w:type="dxa" w:w="1715"/>
          </w:tcPr>
          <w:p>
            <w:pPr>
              <w:spacing w:after="20" w:before="20"/>
            </w:pPr>
            <w:r>
              <w:rPr>
                <w:sz w:val="18"/>
                <w:szCs w:val="18"/>
              </w:rPr>
              <w:t xml:space="preserve">1.5SMCJ18A-AQ</w:t>
            </w:r>
          </w:p>
        </w:tc>
        <w:tc>
          <w:tcPr>
            <w:tcW w:type="dxa" w:w="1264"/>
          </w:tcPr>
          <w:p>
            <w:pPr>
              <w:spacing w:after="20" w:before="20"/>
            </w:pPr>
            <w:r>
              <w:rPr>
                <w:sz w:val="18"/>
                <w:szCs w:val="18"/>
              </w:rPr>
              <w:t xml:space="preserve">SMC / DO-214AB</w:t>
            </w:r>
          </w:p>
        </w:tc>
        <w:tc>
          <w:tcPr>
            <w:tcW w:type="dxa" w:w="4422"/>
          </w:tcPr>
          <w:p>
            <w:pPr>
              <w:spacing w:after="20" w:before="20"/>
            </w:pPr>
            <w:r>
              <w:rPr>
                <w:sz w:val="18"/>
                <w:szCs w:val="18"/>
              </w:rPr>
              <w:t xml:space="preserve">18 V standoff, 1500 W at 10/1000 µs, clamping around 29 V — clear of 12 V nominal and below what anything downstream cannot absorb. A large enough die to survive a real transient rather than a signal-line part pressed into rail duty.</w:t>
            </w:r>
          </w:p>
        </w:tc>
      </w:tr>
      <w:tr>
        <w:tc>
          <w:tcPr>
            <w:tcW w:type="dxa" w:w="1625"/>
          </w:tcPr>
          <w:p>
            <w:pPr>
              <w:spacing w:after="20" w:before="20"/>
            </w:pPr>
            <w:r>
              <w:rPr>
                <w:sz w:val="18"/>
                <w:szCs w:val="18"/>
              </w:rPr>
              <w:t xml:space="preserve">Reverse polarity — </w:t>
            </w:r>
            <w:r>
              <w:rPr>
                <w:b/>
                <w:sz w:val="18"/>
                <w:szCs w:val="18"/>
              </w:rPr>
              <w:t xml:space="preserve">recommended</w:t>
            </w:r>
          </w:p>
        </w:tc>
        <w:tc>
          <w:tcPr>
            <w:tcW w:type="dxa" w:w="1715"/>
          </w:tcPr>
          <w:p>
            <w:pPr>
              <w:spacing w:after="20" w:before="20"/>
            </w:pPr>
            <w:r>
              <w:rPr>
                <w:sz w:val="18"/>
                <w:szCs w:val="18"/>
              </w:rPr>
              <w:t xml:space="preserve">IPP041N04N-G + LM74610-Q1 controller</w:t>
            </w:r>
          </w:p>
        </w:tc>
        <w:tc>
          <w:tcPr>
            <w:tcW w:type="dxa" w:w="1264"/>
          </w:tcPr>
          <w:p>
            <w:pPr>
              <w:spacing w:after="20" w:before="20"/>
            </w:pPr>
            <w:r>
              <w:rPr>
                <w:sz w:val="18"/>
                <w:szCs w:val="18"/>
              </w:rPr>
              <w:t xml:space="preserve">TO-220 + VSSOP-8</w:t>
            </w:r>
          </w:p>
        </w:tc>
        <w:tc>
          <w:tcPr>
            <w:tcW w:type="dxa" w:w="4422"/>
          </w:tcPr>
          <w:p>
            <w:pPr>
              <w:spacing w:after="20" w:before="20"/>
            </w:pPr>
            <w:r>
              <w:rPr>
                <w:sz w:val="18"/>
                <w:szCs w:val="18"/>
              </w:rPr>
              <w:t xml:space="preserve">≈ 2.0 W at 22 A, so copper pour suffices. Reuses the heater MOSFET part number. The controller floats across source and drain with no ground pin and zero quiescent current.</w:t>
            </w:r>
          </w:p>
        </w:tc>
      </w:tr>
      <w:tr>
        <w:tc>
          <w:tcPr>
            <w:tcW w:type="dxa" w:w="1625"/>
          </w:tcPr>
          <w:p>
            <w:pPr>
              <w:spacing w:after="20" w:before="20"/>
            </w:pPr>
            <w:r>
              <w:rPr>
                <w:sz w:val="18"/>
                <w:szCs w:val="18"/>
              </w:rPr>
              <w:t xml:space="preserve">Reverse polarity — alternative</w:t>
            </w:r>
          </w:p>
        </w:tc>
        <w:tc>
          <w:tcPr>
            <w:tcW w:type="dxa" w:w="1715"/>
          </w:tcPr>
          <w:p>
            <w:pPr>
              <w:spacing w:after="20" w:before="20"/>
            </w:pPr>
            <w:r>
              <w:rPr>
                <w:sz w:val="18"/>
                <w:szCs w:val="18"/>
              </w:rPr>
              <w:t xml:space="preserve">IRF4905 P-channel</w:t>
            </w:r>
          </w:p>
        </w:tc>
        <w:tc>
          <w:tcPr>
            <w:tcW w:type="dxa" w:w="1264"/>
          </w:tcPr>
          <w:p>
            <w:pPr>
              <w:spacing w:after="20" w:before="20"/>
            </w:pPr>
            <w:r>
              <w:rPr>
                <w:sz w:val="18"/>
                <w:szCs w:val="18"/>
              </w:rPr>
              <w:t xml:space="preserve">TO-220</w:t>
            </w:r>
          </w:p>
        </w:tc>
        <w:tc>
          <w:tcPr>
            <w:tcW w:type="dxa" w:w="4422"/>
          </w:tcPr>
          <w:p>
            <w:pPr>
              <w:spacing w:after="20" w:before="20"/>
            </w:pPr>
            <w:r>
              <w:rPr>
                <w:sz w:val="18"/>
                <w:szCs w:val="18"/>
              </w:rPr>
              <w:t xml:space="preserve">Matches the original note and is the simpler drawing, but 20 mΩ × 22 A² ≈ 9.7 W demands a real heatsink. Supplier stock was also thin at the time of selection.</w:t>
            </w:r>
          </w:p>
        </w:tc>
      </w:tr>
      <w:tr>
        <w:tc>
          <w:tcPr>
            <w:tcW w:type="dxa" w:w="1625"/>
          </w:tcPr>
          <w:p>
            <w:pPr>
              <w:spacing w:after="20" w:before="20"/>
            </w:pPr>
            <w:r>
              <w:rPr>
                <w:sz w:val="18"/>
                <w:szCs w:val="18"/>
              </w:rPr>
              <w:t xml:space="preserve">Heater switch (× 2)</w:t>
            </w:r>
          </w:p>
        </w:tc>
        <w:tc>
          <w:tcPr>
            <w:tcW w:type="dxa" w:w="1715"/>
          </w:tcPr>
          <w:p>
            <w:pPr>
              <w:spacing w:after="20" w:before="20"/>
            </w:pPr>
            <w:r>
              <w:rPr>
                <w:sz w:val="18"/>
                <w:szCs w:val="18"/>
              </w:rPr>
              <w:t xml:space="preserve">IPP041N04N-G</w:t>
            </w:r>
          </w:p>
        </w:tc>
        <w:tc>
          <w:tcPr>
            <w:tcW w:type="dxa" w:w="1264"/>
          </w:tcPr>
          <w:p>
            <w:pPr>
              <w:spacing w:after="20" w:before="20"/>
            </w:pPr>
            <w:r>
              <w:rPr>
                <w:sz w:val="18"/>
                <w:szCs w:val="18"/>
              </w:rPr>
              <w:t xml:space="preserve">TO-220</w:t>
            </w:r>
          </w:p>
        </w:tc>
        <w:tc>
          <w:tcPr>
            <w:tcW w:type="dxa" w:w="4422"/>
          </w:tcPr>
          <w:p>
            <w:pPr>
              <w:spacing w:after="20" w:before="20"/>
            </w:pPr>
            <w:r>
              <w:rPr>
                <w:sz w:val="18"/>
                <w:szCs w:val="18"/>
              </w:rPr>
              <w:t xml:space="preserve">40 V, 4.1 mΩ, 80 A class against 8.3 A per channel — very large margin, and a low enough on-resistance that a modest pour handles the loss with no heatsink.</w:t>
            </w:r>
          </w:p>
        </w:tc>
      </w:tr>
      <w:tr>
        <w:tc>
          <w:tcPr>
            <w:tcW w:type="dxa" w:w="1625"/>
          </w:tcPr>
          <w:p>
            <w:pPr>
              <w:spacing w:after="20" w:before="20"/>
            </w:pPr>
            <w:r>
              <w:rPr>
                <w:sz w:val="18"/>
                <w:szCs w:val="18"/>
              </w:rPr>
              <w:t xml:space="preserve">Heater gate driver (× 2)</w:t>
            </w:r>
          </w:p>
        </w:tc>
        <w:tc>
          <w:tcPr>
            <w:tcW w:type="dxa" w:w="1715"/>
          </w:tcPr>
          <w:p>
            <w:pPr>
              <w:spacing w:after="20" w:before="20"/>
            </w:pPr>
            <w:r>
              <w:rPr>
                <w:sz w:val="18"/>
                <w:szCs w:val="18"/>
              </w:rPr>
              <w:t xml:space="preserve">UCC27517 single-channel</w:t>
            </w:r>
          </w:p>
        </w:tc>
        <w:tc>
          <w:tcPr>
            <w:tcW w:type="dxa" w:w="1264"/>
          </w:tcPr>
          <w:p>
            <w:pPr>
              <w:spacing w:after="20" w:before="20"/>
            </w:pPr>
            <w:r>
              <w:rPr>
                <w:sz w:val="18"/>
                <w:szCs w:val="18"/>
              </w:rPr>
              <w:t xml:space="preserve">SOT-23-5</w:t>
            </w:r>
          </w:p>
        </w:tc>
        <w:tc>
          <w:tcPr>
            <w:tcW w:type="dxa" w:w="4422"/>
          </w:tcPr>
          <w:p>
            <w:pPr>
              <w:spacing w:after="20" w:before="20"/>
            </w:pPr>
            <w:r>
              <w:rPr>
                <w:sz w:val="18"/>
                <w:szCs w:val="18"/>
              </w:rPr>
              <w:t xml:space="preserve">4 A source and sink, 13 ns propagation delay, 4.5–18 V supply — drives the MOSFET gate hard from a 12 V-derived rail and keeps switching loss down. A dual-channel UCC27524 driving both gates from one IC is the named alternative (§8.8).</w:t>
            </w:r>
          </w:p>
        </w:tc>
      </w:tr>
      <w:tr>
        <w:tc>
          <w:tcPr>
            <w:tcW w:type="dxa" w:w="1625"/>
          </w:tcPr>
          <w:p>
            <w:pPr>
              <w:spacing w:after="20" w:before="20"/>
            </w:pPr>
            <w:r>
              <w:rPr>
                <w:sz w:val="18"/>
                <w:szCs w:val="18"/>
              </w:rPr>
              <w:t xml:space="preserve">Heater current sense (× 2)</w:t>
            </w:r>
          </w:p>
        </w:tc>
        <w:tc>
          <w:tcPr>
            <w:tcW w:type="dxa" w:w="1715"/>
          </w:tcPr>
          <w:p>
            <w:pPr>
              <w:spacing w:after="20" w:before="20"/>
            </w:pPr>
            <w:r>
              <w:rPr>
                <w:sz w:val="18"/>
                <w:szCs w:val="18"/>
              </w:rPr>
              <w:t xml:space="preserve">INA226</w:t>
            </w:r>
          </w:p>
        </w:tc>
        <w:tc>
          <w:tcPr>
            <w:tcW w:type="dxa" w:w="1264"/>
          </w:tcPr>
          <w:p>
            <w:pPr>
              <w:spacing w:after="20" w:before="20"/>
            </w:pPr>
            <w:r>
              <w:rPr>
                <w:sz w:val="18"/>
                <w:szCs w:val="18"/>
              </w:rPr>
              <w:t xml:space="preserve">VSSOP-10</w:t>
            </w:r>
          </w:p>
        </w:tc>
        <w:tc>
          <w:tcPr>
            <w:tcW w:type="dxa" w:w="4422"/>
          </w:tcPr>
          <w:p>
            <w:pPr>
              <w:spacing w:after="20" w:before="20"/>
            </w:pPr>
            <w:r>
              <w:rPr>
                <w:sz w:val="18"/>
                <w:szCs w:val="18"/>
              </w:rPr>
              <w:t xml:space="preserve">I²C, 16-bit. </w:t>
            </w:r>
            <w:r>
              <w:rPr>
                <w:b/>
                <w:sz w:val="18"/>
                <w:szCs w:val="18"/>
              </w:rPr>
              <w:t xml:space="preserve">The current never touches the IC</w:t>
            </w:r>
            <w:r>
              <w:rPr>
                <w:sz w:val="18"/>
                <w:szCs w:val="18"/>
              </w:rPr>
              <w:t xml:space="preserve"> — the shunt carries the amps and the IC sees only the millivolt drop through two high-impedance sense lines. About 2 mΩ of shunt gives ≈ 16.6 mV at 8.3 A, well inside the ±81.92 mV full scale. The inner channel uses a four-terminal Kelvin shunt so the sense taps land at the resistor itself.</w:t>
            </w:r>
          </w:p>
        </w:tc>
      </w:tr>
      <w:tr>
        <w:tc>
          <w:tcPr>
            <w:tcW w:type="dxa" w:w="1625"/>
          </w:tcPr>
          <w:p>
            <w:pPr>
              <w:spacing w:after="20" w:before="20"/>
            </w:pPr>
            <w:r>
              <w:rPr>
                <w:sz w:val="18"/>
                <w:szCs w:val="18"/>
              </w:rPr>
              <w:t xml:space="preserve">Heater channel fuse (× 2)</w:t>
            </w:r>
          </w:p>
        </w:tc>
        <w:tc>
          <w:tcPr>
            <w:tcW w:type="dxa" w:w="1715"/>
          </w:tcPr>
          <w:p>
            <w:pPr>
              <w:spacing w:after="20" w:before="20"/>
            </w:pPr>
            <w:r>
              <w:rPr>
                <w:sz w:val="18"/>
                <w:szCs w:val="18"/>
              </w:rPr>
              <w:t xml:space="preserve">Bourns MF-R1100 resettable</w:t>
            </w:r>
          </w:p>
        </w:tc>
        <w:tc>
          <w:tcPr>
            <w:tcW w:type="dxa" w:w="1264"/>
          </w:tcPr>
          <w:p>
            <w:pPr>
              <w:spacing w:after="20" w:before="20"/>
            </w:pPr>
            <w:r>
              <w:rPr>
                <w:sz w:val="18"/>
                <w:szCs w:val="18"/>
              </w:rPr>
              <w:t xml:space="preserve">Radial THT</w:t>
            </w:r>
          </w:p>
        </w:tc>
        <w:tc>
          <w:tcPr>
            <w:tcW w:type="dxa" w:w="4422"/>
          </w:tcPr>
          <w:p>
            <w:pPr>
              <w:spacing w:after="20" w:before="20"/>
            </w:pPr>
            <w:r>
              <w:rPr>
                <w:sz w:val="18"/>
                <w:szCs w:val="18"/>
              </w:rPr>
              <w:t xml:space="preserve">11 A hold, 22 A trip at 16 V — a hardware-only last line, independent of firmware, sized above the 8.3 A working current.</w:t>
            </w:r>
          </w:p>
        </w:tc>
      </w:tr>
      <w:tr>
        <w:tc>
          <w:tcPr>
            <w:tcW w:type="dxa" w:w="1625"/>
          </w:tcPr>
          <w:p>
            <w:pPr>
              <w:spacing w:after="20" w:before="20"/>
            </w:pPr>
            <w:r>
              <w:rPr>
                <w:sz w:val="18"/>
                <w:szCs w:val="18"/>
              </w:rPr>
              <w:t xml:space="preserve">Fan and pump current sense</w:t>
            </w:r>
          </w:p>
        </w:tc>
        <w:tc>
          <w:tcPr>
            <w:tcW w:type="dxa" w:w="1715"/>
          </w:tcPr>
          <w:p>
            <w:pPr>
              <w:spacing w:after="20" w:before="20"/>
            </w:pPr>
            <w:r>
              <w:rPr>
                <w:sz w:val="18"/>
                <w:szCs w:val="18"/>
              </w:rPr>
              <w:t xml:space="preserve">INA3221, three channels</w:t>
            </w:r>
          </w:p>
        </w:tc>
        <w:tc>
          <w:tcPr>
            <w:tcW w:type="dxa" w:w="1264"/>
          </w:tcPr>
          <w:p>
            <w:pPr>
              <w:spacing w:after="20" w:before="20"/>
            </w:pPr>
            <w:r>
              <w:rPr>
                <w:sz w:val="18"/>
                <w:szCs w:val="18"/>
              </w:rPr>
              <w:t xml:space="preserve">VQFN-16</w:t>
            </w:r>
          </w:p>
        </w:tc>
        <w:tc>
          <w:tcPr>
            <w:tcW w:type="dxa" w:w="4422"/>
          </w:tcPr>
          <w:p>
            <w:pPr>
              <w:spacing w:after="20" w:before="20"/>
            </w:pPr>
            <w:r>
              <w:rPr>
                <w:sz w:val="18"/>
                <w:szCs w:val="18"/>
              </w:rPr>
              <w:t xml:space="preserve">One IC covers the inner fans, the guard fans and the pump instead of three separate parts — one address on the bus, fewer components, fewer debug points. About 50 mΩ per fan channel gives 12–18 mV at their working currents.</w:t>
            </w:r>
          </w:p>
        </w:tc>
      </w:tr>
      <w:tr>
        <w:tc>
          <w:tcPr>
            <w:tcW w:type="dxa" w:w="1625"/>
          </w:tcPr>
          <w:p>
            <w:pPr>
              <w:spacing w:after="20" w:before="20"/>
            </w:pPr>
            <w:r>
              <w:rPr>
                <w:sz w:val="18"/>
                <w:szCs w:val="18"/>
              </w:rPr>
              <w:t xml:space="preserve">Fan header fuse (× 3)</w:t>
            </w:r>
          </w:p>
        </w:tc>
        <w:tc>
          <w:tcPr>
            <w:tcW w:type="dxa" w:w="1715"/>
          </w:tcPr>
          <w:p>
            <w:pPr>
              <w:spacing w:after="20" w:before="20"/>
            </w:pPr>
            <w:r>
              <w:rPr>
                <w:sz w:val="18"/>
                <w:szCs w:val="18"/>
              </w:rPr>
              <w:t xml:space="preserve">Littelfuse 1210L150</w:t>
            </w:r>
          </w:p>
        </w:tc>
        <w:tc>
          <w:tcPr>
            <w:tcW w:type="dxa" w:w="1264"/>
          </w:tcPr>
          <w:p>
            <w:pPr>
              <w:spacing w:after="20" w:before="20"/>
            </w:pPr>
            <w:r>
              <w:rPr>
                <w:sz w:val="18"/>
                <w:szCs w:val="18"/>
              </w:rPr>
              <w:t xml:space="preserve">1210 SMD</w:t>
            </w:r>
          </w:p>
        </w:tc>
        <w:tc>
          <w:tcPr>
            <w:tcW w:type="dxa" w:w="4422"/>
          </w:tcPr>
          <w:p>
            <w:pPr>
              <w:spacing w:after="20" w:before="20"/>
            </w:pPr>
            <w:r>
              <w:rPr>
                <w:sz w:val="18"/>
                <w:szCs w:val="18"/>
              </w:rPr>
              <w:t xml:space="preserve">1.5 A hold at 16 V, above the 0.72 A worst case, tripping well before a daisy-chain cable or a header pin overheats.</w:t>
            </w:r>
          </w:p>
        </w:tc>
      </w:tr>
      <w:tr>
        <w:tc>
          <w:tcPr>
            <w:tcW w:type="dxa" w:w="1625"/>
          </w:tcPr>
          <w:p>
            <w:pPr>
              <w:spacing w:after="20" w:before="20"/>
            </w:pPr>
            <w:r>
              <w:rPr>
                <w:sz w:val="18"/>
                <w:szCs w:val="18"/>
              </w:rPr>
              <w:t xml:space="preserve">Pump stepper driver</w:t>
            </w:r>
          </w:p>
        </w:tc>
        <w:tc>
          <w:tcPr>
            <w:tcW w:type="dxa" w:w="1715"/>
          </w:tcPr>
          <w:p>
            <w:pPr>
              <w:spacing w:after="20" w:before="20"/>
            </w:pPr>
            <w:r>
              <w:rPr>
                <w:sz w:val="18"/>
                <w:szCs w:val="18"/>
              </w:rPr>
              <w:t xml:space="preserve">TMC5160</w:t>
            </w:r>
          </w:p>
        </w:tc>
        <w:tc>
          <w:tcPr>
            <w:tcW w:type="dxa" w:w="1264"/>
          </w:tcPr>
          <w:p>
            <w:pPr>
              <w:spacing w:after="20" w:before="20"/>
            </w:pPr>
            <w:r>
              <w:rPr>
                <w:sz w:val="18"/>
                <w:szCs w:val="18"/>
              </w:rPr>
              <w:t xml:space="preserve">TQFP-48 with exposed pad</w:t>
            </w:r>
          </w:p>
        </w:tc>
        <w:tc>
          <w:tcPr>
            <w:tcW w:type="dxa" w:w="4422"/>
          </w:tcPr>
          <w:p>
            <w:pPr>
              <w:spacing w:after="20" w:before="20"/>
            </w:pPr>
            <w:r>
              <w:rPr>
                <w:sz w:val="18"/>
                <w:szCs w:val="18"/>
              </w:rPr>
              <w:t xml:space="preserve">Current limit set over SPI rather than by a sense resistor, native STEP/DIR, and an on-chip ramp generator. </w:t>
            </w:r>
            <w:r>
              <w:rPr>
                <w:b/>
                <w:sz w:val="18"/>
                <w:szCs w:val="18"/>
              </w:rPr>
              <w:t xml:space="preserve">See the margin warning below.</w:t>
            </w:r>
          </w:p>
        </w:tc>
      </w:tr>
      <w:tr>
        <w:tc>
          <w:tcPr>
            <w:tcW w:type="dxa" w:w="1625"/>
          </w:tcPr>
          <w:p>
            <w:pPr>
              <w:spacing w:after="20" w:before="20"/>
            </w:pPr>
            <w:r>
              <w:rPr>
                <w:sz w:val="18"/>
                <w:szCs w:val="18"/>
              </w:rPr>
              <w:t xml:space="preserve">Pump fuse</w:t>
            </w:r>
          </w:p>
        </w:tc>
        <w:tc>
          <w:tcPr>
            <w:tcW w:type="dxa" w:w="1715"/>
          </w:tcPr>
          <w:p>
            <w:pPr>
              <w:spacing w:after="20" w:before="20"/>
            </w:pPr>
            <w:r>
              <w:rPr>
                <w:sz w:val="18"/>
                <w:szCs w:val="18"/>
              </w:rPr>
              <w:t xml:space="preserve">Bourns MF-R700 resettable</w:t>
            </w:r>
          </w:p>
        </w:tc>
        <w:tc>
          <w:tcPr>
            <w:tcW w:type="dxa" w:w="1264"/>
          </w:tcPr>
          <w:p>
            <w:pPr>
              <w:spacing w:after="20" w:before="20"/>
            </w:pPr>
            <w:r>
              <w:rPr>
                <w:sz w:val="18"/>
                <w:szCs w:val="18"/>
              </w:rPr>
              <w:t xml:space="preserve">Radial THT</w:t>
            </w:r>
          </w:p>
        </w:tc>
        <w:tc>
          <w:tcPr>
            <w:tcW w:type="dxa" w:w="4422"/>
          </w:tcPr>
          <w:p>
            <w:pPr>
              <w:spacing w:after="20" w:before="20"/>
            </w:pPr>
            <w:r>
              <w:rPr>
                <w:sz w:val="18"/>
                <w:szCs w:val="18"/>
              </w:rPr>
              <w:t xml:space="preserve">7 A hold at 30 V — above both the 4.2 A nominal and the 5.5 A design ceiling.</w:t>
            </w:r>
          </w:p>
        </w:tc>
      </w:tr>
      <w:tr>
        <w:tc>
          <w:tcPr>
            <w:tcW w:type="dxa" w:w="1625"/>
          </w:tcPr>
          <w:p>
            <w:pPr>
              <w:spacing w:after="20" w:before="20"/>
            </w:pPr>
            <w:r>
              <w:rPr>
                <w:sz w:val="18"/>
                <w:szCs w:val="18"/>
              </w:rPr>
              <w:t xml:space="preserve">12 V → 5 V buck</w:t>
            </w:r>
          </w:p>
        </w:tc>
        <w:tc>
          <w:tcPr>
            <w:tcW w:type="dxa" w:w="1715"/>
          </w:tcPr>
          <w:p>
            <w:pPr>
              <w:spacing w:after="20" w:before="20"/>
            </w:pPr>
            <w:r>
              <w:rPr>
                <w:sz w:val="18"/>
                <w:szCs w:val="18"/>
              </w:rPr>
              <w:t xml:space="preserve">LMR33630</w:t>
            </w:r>
          </w:p>
        </w:tc>
        <w:tc>
          <w:tcPr>
            <w:tcW w:type="dxa" w:w="1264"/>
          </w:tcPr>
          <w:p>
            <w:pPr>
              <w:spacing w:after="20" w:before="20"/>
            </w:pPr>
            <w:r>
              <w:rPr>
                <w:sz w:val="18"/>
                <w:szCs w:val="18"/>
              </w:rPr>
              <w:t xml:space="preserve">HSOIC-8 with power pad</w:t>
            </w:r>
          </w:p>
        </w:tc>
        <w:tc>
          <w:tcPr>
            <w:tcW w:type="dxa" w:w="4422"/>
          </w:tcPr>
          <w:p>
            <w:pPr>
              <w:spacing w:after="20" w:before="20"/>
            </w:pPr>
            <w:r>
              <w:rPr>
                <w:sz w:val="18"/>
                <w:szCs w:val="18"/>
              </w:rPr>
              <w:t xml:space="preserve">3.8–36 V in, 3 A out against a ≥ 0.6 A requirement. Oversized deliberately, because at this price oversizing costs nothing. It is the vendor's own low-EMI part, which answers the EMI requirement directly, and it is hand-solderable for rework unlike the QFN variant.</w:t>
            </w:r>
          </w:p>
        </w:tc>
      </w:tr>
      <w:tr>
        <w:tc>
          <w:tcPr>
            <w:tcW w:type="dxa" w:w="1625"/>
          </w:tcPr>
          <w:p>
            <w:pPr>
              <w:spacing w:after="20" w:before="20"/>
            </w:pPr>
            <w:r>
              <w:rPr>
                <w:sz w:val="18"/>
                <w:szCs w:val="18"/>
              </w:rPr>
              <w:t xml:space="preserve">RTD front end (× 2)</w:t>
            </w:r>
          </w:p>
        </w:tc>
        <w:tc>
          <w:tcPr>
            <w:tcW w:type="dxa" w:w="1715"/>
          </w:tcPr>
          <w:p>
            <w:pPr>
              <w:spacing w:after="20" w:before="20"/>
            </w:pPr>
            <w:r>
              <w:rPr>
                <w:sz w:val="18"/>
                <w:szCs w:val="18"/>
              </w:rPr>
              <w:t xml:space="preserve">MAX31865</w:t>
            </w:r>
          </w:p>
        </w:tc>
        <w:tc>
          <w:tcPr>
            <w:tcW w:type="dxa" w:w="1264"/>
          </w:tcPr>
          <w:p>
            <w:pPr>
              <w:spacing w:after="20" w:before="20"/>
            </w:pPr>
            <w:r>
              <w:rPr>
                <w:sz w:val="18"/>
                <w:szCs w:val="18"/>
              </w:rPr>
              <w:t xml:space="preserve">SSOP-20</w:t>
            </w:r>
          </w:p>
        </w:tc>
        <w:tc>
          <w:tcPr>
            <w:tcW w:type="dxa" w:w="4422"/>
          </w:tcPr>
          <w:p>
            <w:pPr>
              <w:spacing w:after="20" w:before="20"/>
            </w:pPr>
            <w:r>
              <w:rPr>
                <w:sz w:val="18"/>
                <w:szCs w:val="18"/>
              </w:rPr>
              <w:t xml:space="preserve">SPI, native 2/3/4-wire RTD support — configured for 4-wire on the water pair. ±45 V fault-tolerant inputs with programmable open- and short-circuit detection. The reference resistor value depends on which RTD variant was ordered (§8.8).</w:t>
            </w:r>
          </w:p>
        </w:tc>
      </w:tr>
      <w:tr>
        <w:tc>
          <w:tcPr>
            <w:tcW w:type="dxa" w:w="1625"/>
          </w:tcPr>
          <w:p>
            <w:pPr>
              <w:spacing w:after="20" w:before="20"/>
            </w:pPr>
            <w:r>
              <w:rPr>
                <w:sz w:val="18"/>
                <w:szCs w:val="18"/>
              </w:rPr>
              <w:t xml:space="preserve">RTD connector ESD (× 2)</w:t>
            </w:r>
          </w:p>
        </w:tc>
        <w:tc>
          <w:tcPr>
            <w:tcW w:type="dxa" w:w="1715"/>
          </w:tcPr>
          <w:p>
            <w:pPr>
              <w:spacing w:after="20" w:before="20"/>
            </w:pPr>
            <w:r>
              <w:rPr>
                <w:sz w:val="18"/>
                <w:szCs w:val="18"/>
              </w:rPr>
              <w:t xml:space="preserve">NUP4114</w:t>
            </w:r>
          </w:p>
        </w:tc>
        <w:tc>
          <w:tcPr>
            <w:tcW w:type="dxa" w:w="1264"/>
          </w:tcPr>
          <w:p>
            <w:pPr>
              <w:spacing w:after="20" w:before="20"/>
            </w:pPr>
            <w:r>
              <w:rPr>
                <w:sz w:val="18"/>
                <w:szCs w:val="18"/>
              </w:rPr>
              <w:t xml:space="preserve">SOT-363</w:t>
            </w:r>
          </w:p>
        </w:tc>
        <w:tc>
          <w:tcPr>
            <w:tcW w:type="dxa" w:w="4422"/>
          </w:tcPr>
          <w:p>
            <w:pPr>
              <w:spacing w:after="20" w:before="20"/>
            </w:pPr>
            <w:r>
              <w:rPr>
                <w:sz w:val="18"/>
                <w:szCs w:val="18"/>
              </w:rPr>
              <w:t xml:space="preserve">Four unidirectional elements — one part protects all four conductors of one 4-wire probe cable, in a sub-picofarad class that will not disturb the converter.</w:t>
            </w:r>
          </w:p>
        </w:tc>
      </w:tr>
      <w:tr>
        <w:tc>
          <w:tcPr>
            <w:tcW w:type="dxa" w:w="1625"/>
          </w:tcPr>
          <w:p>
            <w:pPr>
              <w:spacing w:after="20" w:before="20"/>
            </w:pPr>
            <w:r>
              <w:rPr>
                <w:sz w:val="18"/>
                <w:szCs w:val="18"/>
              </w:rPr>
              <w:t xml:space="preserve">I²C header ESD</w:t>
            </w:r>
          </w:p>
        </w:tc>
        <w:tc>
          <w:tcPr>
            <w:tcW w:type="dxa" w:w="1715"/>
          </w:tcPr>
          <w:p>
            <w:pPr>
              <w:spacing w:after="20" w:before="20"/>
            </w:pPr>
            <w:r>
              <w:rPr>
                <w:sz w:val="18"/>
                <w:szCs w:val="18"/>
              </w:rPr>
              <w:t xml:space="preserve">NUP2105L</w:t>
            </w:r>
          </w:p>
        </w:tc>
        <w:tc>
          <w:tcPr>
            <w:tcW w:type="dxa" w:w="1264"/>
          </w:tcPr>
          <w:p>
            <w:pPr>
              <w:spacing w:after="20" w:before="20"/>
            </w:pPr>
            <w:r>
              <w:rPr>
                <w:sz w:val="18"/>
                <w:szCs w:val="18"/>
              </w:rPr>
              <w:t xml:space="preserve">SOT-23</w:t>
            </w:r>
          </w:p>
        </w:tc>
        <w:tc>
          <w:tcPr>
            <w:tcW w:type="dxa" w:w="4422"/>
          </w:tcPr>
          <w:p>
            <w:pPr>
              <w:spacing w:after="20" w:before="20"/>
            </w:pPr>
            <w:r>
              <w:rPr>
                <w:sz w:val="18"/>
                <w:szCs w:val="18"/>
              </w:rPr>
              <w:t xml:space="preserve">Dual-line array, built for exactly a clock-and-data pair.</w:t>
            </w:r>
          </w:p>
        </w:tc>
      </w:tr>
    </w:tbl>
    <w:p>
      <w:pPr>
        <w:spacing w:before="60" w:after="200"/>
        <w:jc w:val="left"/>
      </w:pPr>
      <w:r>
        <w:rPr>
          <w:sz w:val="18"/>
          <w:szCs w:val="18"/>
        </w:rPr>
        <w:t xml:space="preserve">Table 32. Component selection. Packages are the ones verified as available footprints; the parts with exposed pads were flagged for a pad-dimension check against the manufacturer drawing before copper is committed.</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One selection is genuinely undersized against its own allocation, and it is the pump driver</w:t>
            </w:r>
          </w:p>
          <w:p>
            <w:pPr>
              <w:spacing w:after="40"/>
            </w:pPr>
            <w:r>
              <w:rPr>
                <w:sz w:val="19"/>
                <w:szCs w:val="19"/>
              </w:rPr>
              <w:t xml:space="preserve">The chosen stepper driver's integrated output stage delivers about </w:t>
            </w:r>
            <w:r>
              <w:rPr>
                <w:b/>
                <w:sz w:val="19"/>
                <w:szCs w:val="19"/>
              </w:rPr>
              <w:t xml:space="preserve">2.8–3 A RMS per phase</w:t>
            </w:r>
            <w:r>
              <w:rPr>
                <w:sz w:val="19"/>
                <w:szCs w:val="19"/>
              </w:rPr>
              <w:t xml:space="preserve">, not the higher figure a first search suggested. That covers the 4.2 A input-power bound with a little room, but it does </w:t>
            </w:r>
            <w:r>
              <w:rPr>
                <w:b/>
                <w:sz w:val="19"/>
                <w:szCs w:val="19"/>
              </w:rPr>
              <w:t xml:space="preserve">not</w:t>
            </w:r>
            <w:r>
              <w:rPr>
                <w:sz w:val="19"/>
                <w:szCs w:val="19"/>
              </w:rPr>
              <w:t xml:space="preserve"> clear the padded 5.5 A ceiling the design allocates to the channel.</w:t>
            </w:r>
          </w:p>
          <w:p>
            <w:pPr>
              <w:spacing w:after="40"/>
            </w:pPr>
            <w:r>
              <w:rPr>
                <w:sz w:val="19"/>
                <w:szCs w:val="19"/>
              </w:rPr>
              <w:t xml:space="preserve">This is the same unanswered question in a different place: the vendor has not published the motor's phase current, so neither the driver choice nor the allocation can be closed. Two ways out, both recorded: get the number, or fit a driver with an integrated 10 A output stage and stop having the question. A third mitigation is cheap and worth doing regardless — lay the driver out as a </w:t>
            </w:r>
            <w:r>
              <w:rPr>
                <w:b/>
                <w:sz w:val="19"/>
                <w:szCs w:val="19"/>
              </w:rPr>
              <w:t xml:space="preserve">pluggable module footprint</w:t>
            </w:r>
            <w:r>
              <w:rPr>
                <w:sz w:val="19"/>
                <w:szCs w:val="19"/>
              </w:rPr>
              <w:t xml:space="preserve"> rather than a soldered IC, so an answer that lands outside this part's range costs a module swap instead of a board revision.</w:t>
            </w:r>
          </w:p>
        </w:tc>
      </w:tr>
    </w:tbl>
    <w:p>
      <w:pPr>
        <w:pStyle w:val="Heading2"/>
      </w:pPr>
      <w:r>
        <w:t xml:space="preserve">The ESP32-S3 pin assignment</w:t>
      </w:r>
    </w:p>
    <w:p>
      <w:pPr>
        <w:spacing w:after="120"/>
      </w:pPr>
      <w:r>
        <w:t xml:space="preserve">The target module is the </w:t>
      </w:r>
      <w:r>
        <w:rPr>
          <w:b/>
        </w:rPr>
        <w:t xml:space="preserve">ESP32-S3-DevKitC-1-N8R8</w:t>
      </w:r>
      <w:r>
        <w:t xml:space="preserve">: a WROOM-1 module with 8 MB of quad-SPI flash and 8 MB of </w:t>
      </w:r>
      <w:r>
        <w:rPr>
          <w:b/>
        </w:rPr>
        <w:t xml:space="preserve">octal</w:t>
      </w:r>
      <w:r>
        <w:t xml:space="preserve"> PSRAM, on the standard development board with its two 22-pin headers. The pin assignment below is the design's single most constrained artefact — the board needs twenty-two signals and the module has rather fewer usable pins than its two 22-way headers suggest. Every reserved-pin claim in this section is taken from the vendor's own documentation (RD-15), not from folklore.</w:t>
      </w:r>
    </w:p>
    <w:p>
      <w:pPr>
        <w:pStyle w:val="Heading3"/>
      </w:pPr>
      <w:r>
        <w:t xml:space="preserve">The pin budget — does it fit?</w:t>
      </w:r>
    </w:p>
    <w:p>
      <w:pPr>
        <w:spacing w:after="120"/>
      </w:pPr>
      <w:r>
        <w:t xml:space="preserve">The two headers carry 44 pins, of which eight are power, ground and reset, leaving </w:t>
      </w:r>
      <w:r>
        <w:rPr>
          <w:b/>
        </w:rPr>
        <w:t xml:space="preserve">36 GPIOs</w:t>
      </w:r>
      <w:r>
        <w:t xml:space="preserve">. Thirteen of those are unusable for this design, and each exclusion has a different reason. Counting them honestly before assigning anything is what turns "it probably fits" into an answer.</w:t>
      </w:r>
    </w:p>
    <w:tbl>
      <w:tblPr>
        <w:tblStyle w:val="TableGrid"/>
        <w:tblW w:type="auto" w:w="0"/>
        <w:jc w:val="center"/>
        <w:tblLayout w:type="fixed"/>
        <w:tblLook w:firstColumn="1" w:firstRow="1" w:lastColumn="0" w:lastRow="0" w:noHBand="0" w:noVBand="1" w:val="04A0"/>
      </w:tblPr>
      <w:tblGrid>
        <w:gridCol w:w="7221"/>
        <w:gridCol w:w="1805"/>
      </w:tblGrid>
      <w:tr>
        <w:trPr>
          <w:tblHeader w:val="true"/>
        </w:trPr>
        <w:tc>
          <w:tcPr>
            <w:tcW w:type="dxa" w:w="7221"/>
            <w:shd w:val="clear" w:color="auto" w:fill="DEEAF6"/>
          </w:tcPr>
          <w:p>
            <w:pPr>
              <w:spacing w:after="20" w:before="20"/>
            </w:pPr>
          </w:p>
        </w:tc>
        <w:tc>
          <w:tcPr>
            <w:tcW w:type="dxa" w:w="1805"/>
            <w:shd w:val="clear" w:color="auto" w:fill="DEEAF6"/>
          </w:tcPr>
          <w:p>
            <w:pPr>
              <w:spacing w:after="20" w:before="20"/>
            </w:pPr>
            <w:r>
              <w:rPr>
                <w:b/>
                <w:sz w:val="18"/>
                <w:szCs w:val="18"/>
              </w:rPr>
              <w:t xml:space="preserve">Pins</w:t>
            </w:r>
          </w:p>
        </w:tc>
      </w:tr>
      <w:tr>
        <w:tc>
          <w:tcPr>
            <w:tcW w:type="dxa" w:w="7221"/>
          </w:tcPr>
          <w:p>
            <w:pPr>
              <w:spacing w:after="20" w:before="20"/>
            </w:pPr>
            <w:r>
              <w:rPr>
                <w:sz w:val="18"/>
                <w:szCs w:val="18"/>
              </w:rPr>
              <w:t xml:space="preserve">GPIOs broken out on the two headers</w:t>
            </w:r>
          </w:p>
        </w:tc>
        <w:tc>
          <w:tcPr>
            <w:tcW w:type="dxa" w:w="1805"/>
          </w:tcPr>
          <w:p>
            <w:pPr>
              <w:spacing w:after="20" w:before="20"/>
            </w:pPr>
            <w:r>
              <w:rPr>
                <w:sz w:val="18"/>
                <w:szCs w:val="18"/>
              </w:rPr>
              <w:t xml:space="preserve">36</w:t>
            </w:r>
          </w:p>
        </w:tc>
      </w:tr>
      <w:tr>
        <w:tc>
          <w:tcPr>
            <w:tcW w:type="dxa" w:w="7221"/>
          </w:tcPr>
          <w:p>
            <w:pPr>
              <w:spacing w:after="20" w:before="20"/>
            </w:pPr>
            <w:r>
              <w:rPr>
                <w:sz w:val="18"/>
                <w:szCs w:val="18"/>
              </w:rPr>
              <w:t xml:space="preserve">− strapping pins: GPIO0, 3, 45, 46</w:t>
            </w:r>
          </w:p>
        </w:tc>
        <w:tc>
          <w:tcPr>
            <w:tcW w:type="dxa" w:w="1805"/>
          </w:tcPr>
          <w:p>
            <w:pPr>
              <w:spacing w:after="20" w:before="20"/>
            </w:pPr>
            <w:r>
              <w:rPr>
                <w:sz w:val="18"/>
                <w:szCs w:val="18"/>
              </w:rPr>
              <w:t xml:space="preserve">−4</w:t>
            </w:r>
          </w:p>
        </w:tc>
      </w:tr>
      <w:tr>
        <w:tc>
          <w:tcPr>
            <w:tcW w:type="dxa" w:w="7221"/>
          </w:tcPr>
          <w:p>
            <w:pPr>
              <w:spacing w:after="20" w:before="20"/>
            </w:pPr>
            <w:r>
              <w:rPr>
                <w:sz w:val="18"/>
                <w:szCs w:val="18"/>
              </w:rPr>
              <w:t xml:space="preserve">− octal-PSRAM pins on any R8 module: GPIO35, 36, 37</w:t>
            </w:r>
          </w:p>
        </w:tc>
        <w:tc>
          <w:tcPr>
            <w:tcW w:type="dxa" w:w="1805"/>
          </w:tcPr>
          <w:p>
            <w:pPr>
              <w:spacing w:after="20" w:before="20"/>
            </w:pPr>
            <w:r>
              <w:rPr>
                <w:sz w:val="18"/>
                <w:szCs w:val="18"/>
              </w:rPr>
              <w:t xml:space="preserve">−3</w:t>
            </w:r>
          </w:p>
        </w:tc>
      </w:tr>
      <w:tr>
        <w:tc>
          <w:tcPr>
            <w:tcW w:type="dxa" w:w="7221"/>
          </w:tcPr>
          <w:p>
            <w:pPr>
              <w:spacing w:after="20" w:before="20"/>
            </w:pPr>
            <w:r>
              <w:rPr>
                <w:sz w:val="18"/>
                <w:szCs w:val="18"/>
              </w:rPr>
              <w:t xml:space="preserve">− UART0 console: GPIO43, 44</w:t>
            </w:r>
          </w:p>
        </w:tc>
        <w:tc>
          <w:tcPr>
            <w:tcW w:type="dxa" w:w="1805"/>
          </w:tcPr>
          <w:p>
            <w:pPr>
              <w:spacing w:after="20" w:before="20"/>
            </w:pPr>
            <w:r>
              <w:rPr>
                <w:sz w:val="18"/>
                <w:szCs w:val="18"/>
              </w:rPr>
              <w:t xml:space="preserve">−2</w:t>
            </w:r>
          </w:p>
        </w:tc>
      </w:tr>
      <w:tr>
        <w:tc>
          <w:tcPr>
            <w:tcW w:type="dxa" w:w="7221"/>
          </w:tcPr>
          <w:p>
            <w:pPr>
              <w:spacing w:after="20" w:before="20"/>
            </w:pPr>
            <w:r>
              <w:rPr>
                <w:sz w:val="18"/>
                <w:szCs w:val="18"/>
              </w:rPr>
              <w:t xml:space="preserve">− native USB and USB-JTAG: GPIO19, 20</w:t>
            </w:r>
          </w:p>
        </w:tc>
        <w:tc>
          <w:tcPr>
            <w:tcW w:type="dxa" w:w="1805"/>
          </w:tcPr>
          <w:p>
            <w:pPr>
              <w:spacing w:after="20" w:before="20"/>
            </w:pPr>
            <w:r>
              <w:rPr>
                <w:sz w:val="18"/>
                <w:szCs w:val="18"/>
              </w:rPr>
              <w:t xml:space="preserve">−2</w:t>
            </w:r>
          </w:p>
        </w:tc>
      </w:tr>
      <w:tr>
        <w:tc>
          <w:tcPr>
            <w:tcW w:type="dxa" w:w="7221"/>
          </w:tcPr>
          <w:p>
            <w:pPr>
              <w:spacing w:after="20" w:before="20"/>
            </w:pPr>
            <w:r>
              <w:rPr>
                <w:sz w:val="18"/>
                <w:szCs w:val="18"/>
              </w:rPr>
              <w:t xml:space="preserve">− RGB LED, reserved on </w:t>
            </w:r>
            <w:r>
              <w:rPr>
                <w:b/>
                <w:sz w:val="18"/>
                <w:szCs w:val="18"/>
              </w:rPr>
              <w:t xml:space="preserve">both</w:t>
            </w:r>
            <w:r>
              <w:rPr>
                <w:sz w:val="18"/>
                <w:szCs w:val="18"/>
              </w:rPr>
              <w:t xml:space="preserve"> board revisions: GPIO38, 48</w:t>
            </w:r>
          </w:p>
        </w:tc>
        <w:tc>
          <w:tcPr>
            <w:tcW w:type="dxa" w:w="1805"/>
          </w:tcPr>
          <w:p>
            <w:pPr>
              <w:spacing w:after="20" w:before="20"/>
            </w:pPr>
            <w:r>
              <w:rPr>
                <w:sz w:val="18"/>
                <w:szCs w:val="18"/>
              </w:rPr>
              <w:t xml:space="preserve">−2</w:t>
            </w:r>
          </w:p>
        </w:tc>
      </w:tr>
      <w:tr>
        <w:tc>
          <w:tcPr>
            <w:tcW w:type="dxa" w:w="7221"/>
          </w:tcPr>
          <w:p>
            <w:pPr>
              <w:spacing w:after="20" w:before="20"/>
            </w:pPr>
            <w:r>
              <w:rPr>
                <w:b/>
                <w:sz w:val="18"/>
                <w:szCs w:val="18"/>
              </w:rPr>
              <w:t xml:space="preserve">Usable</w:t>
            </w:r>
          </w:p>
        </w:tc>
        <w:tc>
          <w:tcPr>
            <w:tcW w:type="dxa" w:w="1805"/>
          </w:tcPr>
          <w:p>
            <w:pPr>
              <w:spacing w:after="20" w:before="20"/>
            </w:pPr>
            <w:r>
              <w:rPr>
                <w:b/>
                <w:sz w:val="18"/>
                <w:szCs w:val="18"/>
              </w:rPr>
              <w:t xml:space="preserve">23</w:t>
            </w:r>
          </w:p>
        </w:tc>
      </w:tr>
      <w:tr>
        <w:tc>
          <w:tcPr>
            <w:tcW w:type="dxa" w:w="7221"/>
          </w:tcPr>
          <w:p>
            <w:pPr>
              <w:spacing w:after="20" w:before="20"/>
            </w:pPr>
            <w:r>
              <w:rPr>
                <w:sz w:val="18"/>
                <w:szCs w:val="18"/>
              </w:rPr>
              <w:t xml:space="preserve">Signals this design needs</w:t>
            </w:r>
          </w:p>
        </w:tc>
        <w:tc>
          <w:tcPr>
            <w:tcW w:type="dxa" w:w="1805"/>
          </w:tcPr>
          <w:p>
            <w:pPr>
              <w:spacing w:after="20" w:before="20"/>
            </w:pPr>
            <w:r>
              <w:rPr>
                <w:sz w:val="18"/>
                <w:szCs w:val="18"/>
              </w:rPr>
              <w:t xml:space="preserve">22</w:t>
            </w:r>
          </w:p>
        </w:tc>
      </w:tr>
      <w:tr>
        <w:tc>
          <w:tcPr>
            <w:tcW w:type="dxa" w:w="7221"/>
          </w:tcPr>
          <w:p>
            <w:pPr>
              <w:spacing w:after="20" w:before="20"/>
            </w:pPr>
            <w:r>
              <w:rPr>
                <w:b/>
                <w:sz w:val="18"/>
                <w:szCs w:val="18"/>
              </w:rPr>
              <w:t xml:space="preserve">Spare</w:t>
            </w:r>
          </w:p>
        </w:tc>
        <w:tc>
          <w:tcPr>
            <w:tcW w:type="dxa" w:w="1805"/>
          </w:tcPr>
          <w:p>
            <w:pPr>
              <w:spacing w:after="20" w:before="20"/>
            </w:pPr>
            <w:r>
              <w:rPr>
                <w:b/>
                <w:sz w:val="18"/>
                <w:szCs w:val="18"/>
              </w:rPr>
              <w:t xml:space="preserve">1</w:t>
            </w:r>
          </w:p>
        </w:tc>
      </w:tr>
    </w:tbl>
    <w:p>
      <w:pPr>
        <w:spacing w:before="60" w:after="200"/>
        <w:jc w:val="left"/>
      </w:pPr>
      <w:r>
        <w:rPr>
          <w:sz w:val="18"/>
          <w:szCs w:val="18"/>
        </w:rPr>
        <w:t xml:space="preserve">Table 33. The pin budget. It fits, with one pin left over — which is the whole reason §8.8 and §9.16 both spend time on what that pin is worth.</w:t>
      </w:r>
    </w:p>
    <w:p>
      <w:pPr>
        <w:spacing w:after="120"/>
      </w:pPr>
      <w:r>
        <w:t xml:space="preserve">The RGB-LED row deserves a note because it is the one exclusion that is not strictly necessary. </w:t>
      </w:r>
      <w:r>
        <w:rPr>
          <w:b/>
        </w:rPr>
        <w:t xml:space="preserve">Board revision v1.0 wires the on-board LED to GPIO48; revision v1.1 wires it to GPIO38.</w:t>
      </w:r>
      <w:r>
        <w:t xml:space="preserve"> The map leaves both free, which means one design works on either revision without a stuffing option or a documented gotcha. Anyone who knows which revision is in front of them gains a pin back immediately.</w:t>
      </w:r>
    </w:p>
    <w:p>
      <w:pPr>
        <w:pStyle w:val="Heading3"/>
      </w:pPr>
      <w:r>
        <w:t xml:space="preserve">Strapping discipline, and the boot state</w:t>
      </w:r>
    </w:p>
    <w:p>
      <w:pPr>
        <w:spacing w:after="120"/>
      </w:pPr>
      <w:r>
        <w:t xml:space="preserve">The warning that shaped this map more than any other is that the ESP32-S3's strapping pins are </w:t>
      </w:r>
      <w:r>
        <w:rPr>
          <w:b/>
        </w:rPr>
        <w:t xml:space="preserve">driven and sampled during boot</w:t>
      </w:r>
      <w:r>
        <w:t xml:space="preserve">. A gate line on a strapping pin is not a style error; it is a heater that can glitch on for a few milliseconds every time the board resets, on a channel carrying 8.3 A into a sealed foam box.</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Four pins are no-connect, and that is why the PWM lines start at GPIO4</w:t>
            </w:r>
          </w:p>
          <w:p>
            <w:pPr>
              <w:spacing w:after="40"/>
            </w:pPr>
            <w:r>
              <w:rPr>
                <w:b/>
                <w:sz w:val="19"/>
                <w:szCs w:val="19"/>
              </w:rPr>
              <w:t xml:space="preserve">GPIO0, GPIO3, GPIO45 and GPIO46 are no-connect in both headers.</w:t>
            </w:r>
            <w:r>
              <w:rPr>
                <w:sz w:val="19"/>
                <w:szCs w:val="19"/>
              </w:rPr>
              <w:t xml:space="preserve"> Nothing touches them: no gate line, no pull-down, no test point, no LED. GPIO0 is the boot strapping pin and the on-board button; GPIO3 selects the JTAG source and has no internal pull resistor; GPIO45 is the flash-voltage strap; GPIO46 selects boot mode and the ROM log. The heater and fan PWM assignments begin at GPIO4 for exactly this reason, not by convention.</w:t>
            </w:r>
          </w:p>
          <w:p>
            <w:pPr>
              <w:spacing w:after="40"/>
            </w:pPr>
            <w:r>
              <w:rPr>
                <w:sz w:val="19"/>
                <w:szCs w:val="19"/>
              </w:rPr>
              <w:t xml:space="preserve">Two secondary quirks were handled by </w:t>
            </w:r>
            <w:r>
              <w:rPr>
                <w:b/>
                <w:sz w:val="19"/>
                <w:szCs w:val="19"/>
              </w:rPr>
              <w:t xml:space="preserve">placement rather than by luck.</w:t>
            </w:r>
            <w:r>
              <w:rPr>
                <w:sz w:val="19"/>
                <w:szCs w:val="19"/>
              </w:rPr>
              <w:t xml:space="preserve"> GPIO39 is pulled up at boot, which is precisely what an active-low driver-enable wants, so the pump's enable line sits there deliberately — the driver is disabled through every reset and firmware has to pull it low to arm the motor. GPIO21 and GPIO47 fall to logic low more slowly than other pins after reset, so they carry only a direction line and an input, where a slow edge is harmless.</w:t>
            </w:r>
          </w:p>
        </w:tc>
      </w:tr>
    </w:tbl>
    <w:p/>
    <w:p>
      <w:pPr>
        <w:pStyle w:val="Heading3"/>
      </w:pPr>
      <w:r>
        <w:t xml:space="preserve">The two headers</w:t>
      </w:r>
    </w:p>
    <w:tbl>
      <w:tblPr>
        <w:tblStyle w:val="TableGrid"/>
        <w:tblW w:type="auto" w:w="0"/>
        <w:jc w:val="center"/>
        <w:tblLayout w:type="fixed"/>
        <w:tblLook w:firstColumn="1" w:firstRow="1" w:lastColumn="0" w:lastRow="0" w:noHBand="0" w:noVBand="1" w:val="04A0"/>
      </w:tblPr>
      <w:tblGrid>
        <w:gridCol w:w="1103"/>
        <w:gridCol w:w="1905"/>
        <w:gridCol w:w="3009"/>
        <w:gridCol w:w="3009"/>
      </w:tblGrid>
      <w:tr>
        <w:trPr>
          <w:tblHeader w:val="true"/>
        </w:trPr>
        <w:tc>
          <w:tcPr>
            <w:tcW w:type="dxa" w:w="1103"/>
            <w:shd w:val="clear" w:color="auto" w:fill="DEEAF6"/>
          </w:tcPr>
          <w:p>
            <w:pPr>
              <w:spacing w:after="20" w:before="20"/>
            </w:pPr>
            <w:r>
              <w:rPr>
                <w:b/>
                <w:sz w:val="18"/>
                <w:szCs w:val="18"/>
              </w:rPr>
              <w:t xml:space="preserve">Pin</w:t>
            </w:r>
          </w:p>
        </w:tc>
        <w:tc>
          <w:tcPr>
            <w:tcW w:type="dxa" w:w="1905"/>
            <w:shd w:val="clear" w:color="auto" w:fill="DEEAF6"/>
          </w:tcPr>
          <w:p>
            <w:pPr>
              <w:spacing w:after="20" w:before="20"/>
            </w:pPr>
            <w:r>
              <w:rPr>
                <w:b/>
                <w:sz w:val="18"/>
                <w:szCs w:val="18"/>
              </w:rPr>
              <w:t xml:space="preserve">Net</w:t>
            </w:r>
          </w:p>
        </w:tc>
        <w:tc>
          <w:tcPr>
            <w:tcW w:type="dxa" w:w="3009"/>
            <w:shd w:val="clear" w:color="auto" w:fill="DEEAF6"/>
          </w:tcPr>
          <w:p>
            <w:pPr>
              <w:spacing w:after="20" w:before="20"/>
            </w:pPr>
            <w:r>
              <w:rPr>
                <w:b/>
                <w:sz w:val="18"/>
                <w:szCs w:val="18"/>
              </w:rPr>
              <w:t xml:space="preserve">Connects to</w:t>
            </w:r>
          </w:p>
        </w:tc>
        <w:tc>
          <w:tcPr>
            <w:tcW w:type="dxa" w:w="3009"/>
            <w:shd w:val="clear" w:color="auto" w:fill="DEEAF6"/>
          </w:tcPr>
          <w:p>
            <w:pPr>
              <w:spacing w:after="20" w:before="20"/>
            </w:pPr>
            <w:r>
              <w:rPr>
                <w:b/>
                <w:sz w:val="18"/>
                <w:szCs w:val="18"/>
              </w:rPr>
              <w:t xml:space="preserve">Notes</w:t>
            </w:r>
          </w:p>
        </w:tc>
      </w:tr>
      <w:tr>
        <w:tc>
          <w:tcPr>
            <w:tcW w:type="dxa" w:w="1103"/>
          </w:tcPr>
          <w:p>
            <w:pPr>
              <w:spacing w:after="20" w:before="20"/>
            </w:pPr>
            <w:r>
              <w:rPr>
                <w:sz w:val="18"/>
                <w:szCs w:val="18"/>
              </w:rPr>
              <w:t xml:space="preserve">3V3 (× 2)</w:t>
            </w:r>
          </w:p>
        </w:tc>
        <w:tc>
          <w:tcPr>
            <w:tcW w:type="dxa" w:w="1905"/>
          </w:tcPr>
          <w:p>
            <w:pPr>
              <w:spacing w:after="20" w:before="20"/>
            </w:pPr>
            <w:r>
              <w:rPr>
                <w:rFonts w:ascii="Consolas" w:hAnsi="Consolas"/>
                <w:sz w:val="17"/>
                <w:szCs w:val="17"/>
              </w:rPr>
              <w:t xml:space="preserve">3V3</w:t>
            </w:r>
          </w:p>
        </w:tc>
        <w:tc>
          <w:tcPr>
            <w:tcW w:type="dxa" w:w="3009"/>
          </w:tcPr>
          <w:p>
            <w:pPr>
              <w:spacing w:after="20" w:before="20"/>
            </w:pPr>
            <w:r>
              <w:rPr>
                <w:sz w:val="18"/>
                <w:szCs w:val="18"/>
              </w:rPr>
              <w:t xml:space="preserve">I²C pull-ups, both MAX31865, stepper driver logic supply</w:t>
            </w:r>
          </w:p>
        </w:tc>
        <w:tc>
          <w:tcPr>
            <w:tcW w:type="dxa" w:w="3009"/>
          </w:tcPr>
          <w:p>
            <w:pPr>
              <w:spacing w:after="20" w:before="20"/>
            </w:pPr>
            <w:r>
              <w:rPr>
                <w:sz w:val="18"/>
                <w:szCs w:val="18"/>
              </w:rPr>
              <w:t xml:space="preserve">Output of the module's own regulator — do </w:t>
            </w:r>
            <w:r>
              <w:rPr>
                <w:b/>
                <w:sz w:val="18"/>
                <w:szCs w:val="18"/>
              </w:rPr>
              <w:t xml:space="preserve">not</w:t>
            </w:r>
            <w:r>
              <w:rPr>
                <w:sz w:val="18"/>
                <w:szCs w:val="18"/>
              </w:rPr>
              <w:t xml:space="preserve"> back-feed it</w:t>
            </w:r>
          </w:p>
        </w:tc>
      </w:tr>
      <w:tr>
        <w:tc>
          <w:tcPr>
            <w:tcW w:type="dxa" w:w="1103"/>
          </w:tcPr>
          <w:p>
            <w:pPr>
              <w:spacing w:after="20" w:before="20"/>
            </w:pPr>
            <w:r>
              <w:rPr>
                <w:sz w:val="18"/>
                <w:szCs w:val="18"/>
              </w:rPr>
              <w:t xml:space="preserve">RST</w:t>
            </w:r>
          </w:p>
        </w:tc>
        <w:tc>
          <w:tcPr>
            <w:tcW w:type="dxa" w:w="1905"/>
          </w:tcPr>
          <w:p>
            <w:pPr>
              <w:spacing w:after="20" w:before="20"/>
            </w:pPr>
            <w:r>
              <w:rPr>
                <w:rFonts w:ascii="Consolas" w:hAnsi="Consolas"/>
                <w:sz w:val="17"/>
                <w:szCs w:val="17"/>
              </w:rPr>
              <w:t xml:space="preserve">EN</w:t>
            </w:r>
          </w:p>
        </w:tc>
        <w:tc>
          <w:tcPr>
            <w:tcW w:type="dxa" w:w="3009"/>
          </w:tcPr>
          <w:p>
            <w:pPr>
              <w:spacing w:after="20" w:before="20"/>
            </w:pPr>
            <w:r>
              <w:rPr>
                <w:sz w:val="18"/>
                <w:szCs w:val="18"/>
              </w:rPr>
              <w:t xml:space="preserve">reset button</w:t>
            </w:r>
          </w:p>
        </w:tc>
        <w:tc>
          <w:tcPr>
            <w:tcW w:type="dxa" w:w="3009"/>
          </w:tcPr>
          <w:p>
            <w:pPr>
              <w:spacing w:after="20" w:before="20"/>
            </w:pPr>
            <w:r>
              <w:rPr>
                <w:sz w:val="18"/>
                <w:szCs w:val="18"/>
              </w:rPr>
              <w:t xml:space="preserve">as the development board has it</w:t>
            </w:r>
          </w:p>
        </w:tc>
      </w:tr>
      <w:tr>
        <w:tc>
          <w:tcPr>
            <w:tcW w:type="dxa" w:w="1103"/>
          </w:tcPr>
          <w:p>
            <w:pPr>
              <w:spacing w:after="20" w:before="20"/>
            </w:pPr>
            <w:r>
              <w:rPr>
                <w:sz w:val="18"/>
                <w:szCs w:val="18"/>
              </w:rPr>
              <w:t xml:space="preserve">GPIO4</w:t>
            </w:r>
          </w:p>
        </w:tc>
        <w:tc>
          <w:tcPr>
            <w:tcW w:type="dxa" w:w="1905"/>
          </w:tcPr>
          <w:p>
            <w:pPr>
              <w:spacing w:after="20" w:before="20"/>
            </w:pPr>
            <w:r>
              <w:rPr>
                <w:rFonts w:ascii="Consolas" w:hAnsi="Consolas"/>
                <w:sz w:val="17"/>
                <w:szCs w:val="17"/>
              </w:rPr>
              <w:t xml:space="preserve">HEAT_INNER_PWM</w:t>
            </w:r>
          </w:p>
        </w:tc>
        <w:tc>
          <w:tcPr>
            <w:tcW w:type="dxa" w:w="3009"/>
          </w:tcPr>
          <w:p>
            <w:pPr>
              <w:spacing w:after="20" w:before="20"/>
            </w:pPr>
            <w:r>
              <w:rPr>
                <w:sz w:val="18"/>
                <w:szCs w:val="18"/>
              </w:rPr>
              <w:t xml:space="preserve">gate driver input A</w:t>
            </w:r>
          </w:p>
        </w:tc>
        <w:tc>
          <w:tcPr>
            <w:tcW w:type="dxa" w:w="3009"/>
          </w:tcPr>
          <w:p>
            <w:pPr>
              <w:spacing w:after="20" w:before="20"/>
            </w:pPr>
            <w:r>
              <w:rPr>
                <w:sz w:val="18"/>
                <w:szCs w:val="18"/>
              </w:rPr>
              <w:t xml:space="preserve">LEDC channel 0</w:t>
            </w:r>
          </w:p>
        </w:tc>
      </w:tr>
      <w:tr>
        <w:tc>
          <w:tcPr>
            <w:tcW w:type="dxa" w:w="1103"/>
          </w:tcPr>
          <w:p>
            <w:pPr>
              <w:spacing w:after="20" w:before="20"/>
            </w:pPr>
            <w:r>
              <w:rPr>
                <w:sz w:val="18"/>
                <w:szCs w:val="18"/>
              </w:rPr>
              <w:t xml:space="preserve">GPIO5</w:t>
            </w:r>
          </w:p>
        </w:tc>
        <w:tc>
          <w:tcPr>
            <w:tcW w:type="dxa" w:w="1905"/>
          </w:tcPr>
          <w:p>
            <w:pPr>
              <w:spacing w:after="20" w:before="20"/>
            </w:pPr>
            <w:r>
              <w:rPr>
                <w:rFonts w:ascii="Consolas" w:hAnsi="Consolas"/>
                <w:sz w:val="17"/>
                <w:szCs w:val="17"/>
              </w:rPr>
              <w:t xml:space="preserve">HEAT_GUARD_PWM</w:t>
            </w:r>
          </w:p>
        </w:tc>
        <w:tc>
          <w:tcPr>
            <w:tcW w:type="dxa" w:w="3009"/>
          </w:tcPr>
          <w:p>
            <w:pPr>
              <w:spacing w:after="20" w:before="20"/>
            </w:pPr>
            <w:r>
              <w:rPr>
                <w:sz w:val="18"/>
                <w:szCs w:val="18"/>
              </w:rPr>
              <w:t xml:space="preserve">gate driver input B</w:t>
            </w:r>
          </w:p>
        </w:tc>
        <w:tc>
          <w:tcPr>
            <w:tcW w:type="dxa" w:w="3009"/>
          </w:tcPr>
          <w:p>
            <w:pPr>
              <w:spacing w:after="20" w:before="20"/>
            </w:pPr>
            <w:r>
              <w:rPr>
                <w:sz w:val="18"/>
                <w:szCs w:val="18"/>
              </w:rPr>
              <w:t xml:space="preserve">LEDC channel 1</w:t>
            </w:r>
          </w:p>
        </w:tc>
      </w:tr>
      <w:tr>
        <w:tc>
          <w:tcPr>
            <w:tcW w:type="dxa" w:w="1103"/>
          </w:tcPr>
          <w:p>
            <w:pPr>
              <w:spacing w:after="20" w:before="20"/>
            </w:pPr>
            <w:r>
              <w:rPr>
                <w:sz w:val="18"/>
                <w:szCs w:val="18"/>
              </w:rPr>
              <w:t xml:space="preserve">GPIO6</w:t>
            </w:r>
          </w:p>
        </w:tc>
        <w:tc>
          <w:tcPr>
            <w:tcW w:type="dxa" w:w="1905"/>
          </w:tcPr>
          <w:p>
            <w:pPr>
              <w:spacing w:after="20" w:before="20"/>
            </w:pPr>
            <w:r>
              <w:rPr>
                <w:rFonts w:ascii="Consolas" w:hAnsi="Consolas"/>
                <w:sz w:val="17"/>
                <w:szCs w:val="17"/>
              </w:rPr>
              <w:t xml:space="preserve">FAN_INNER_PWM</w:t>
            </w:r>
          </w:p>
        </w:tc>
        <w:tc>
          <w:tcPr>
            <w:tcW w:type="dxa" w:w="3009"/>
          </w:tcPr>
          <w:p>
            <w:pPr>
              <w:spacing w:after="20" w:before="20"/>
            </w:pPr>
            <w:r>
              <w:rPr>
                <w:sz w:val="18"/>
                <w:szCs w:val="18"/>
              </w:rPr>
              <w:t xml:space="preserve">inner fan header pin 4, through an open-drain buffer</w:t>
            </w:r>
          </w:p>
        </w:tc>
        <w:tc>
          <w:tcPr>
            <w:tcW w:type="dxa" w:w="3009"/>
          </w:tcPr>
          <w:p>
            <w:pPr>
              <w:spacing w:after="20" w:before="20"/>
            </w:pPr>
            <w:r>
              <w:rPr>
                <w:sz w:val="18"/>
                <w:szCs w:val="18"/>
              </w:rPr>
              <w:t xml:space="preserve">LEDC channel 2 at 25 kHz</w:t>
            </w:r>
          </w:p>
        </w:tc>
      </w:tr>
      <w:tr>
        <w:tc>
          <w:tcPr>
            <w:tcW w:type="dxa" w:w="1103"/>
          </w:tcPr>
          <w:p>
            <w:pPr>
              <w:spacing w:after="20" w:before="20"/>
            </w:pPr>
            <w:r>
              <w:rPr>
                <w:sz w:val="18"/>
                <w:szCs w:val="18"/>
              </w:rPr>
              <w:t xml:space="preserve">GPIO7</w:t>
            </w:r>
          </w:p>
        </w:tc>
        <w:tc>
          <w:tcPr>
            <w:tcW w:type="dxa" w:w="1905"/>
          </w:tcPr>
          <w:p>
            <w:pPr>
              <w:spacing w:after="20" w:before="20"/>
            </w:pPr>
            <w:r>
              <w:rPr>
                <w:rFonts w:ascii="Consolas" w:hAnsi="Consolas"/>
                <w:sz w:val="17"/>
                <w:szCs w:val="17"/>
              </w:rPr>
              <w:t xml:space="preserve">FAN_GUARD_PWM</w:t>
            </w:r>
          </w:p>
        </w:tc>
        <w:tc>
          <w:tcPr>
            <w:tcW w:type="dxa" w:w="3009"/>
          </w:tcPr>
          <w:p>
            <w:pPr>
              <w:spacing w:after="20" w:before="20"/>
            </w:pPr>
            <w:r>
              <w:rPr>
                <w:sz w:val="18"/>
                <w:szCs w:val="18"/>
              </w:rPr>
              <w:t xml:space="preserve">guard fan header pin 4, through an open-drain buffer</w:t>
            </w:r>
          </w:p>
        </w:tc>
        <w:tc>
          <w:tcPr>
            <w:tcW w:type="dxa" w:w="3009"/>
          </w:tcPr>
          <w:p>
            <w:pPr>
              <w:spacing w:after="20" w:before="20"/>
            </w:pPr>
            <w:r>
              <w:rPr>
                <w:sz w:val="18"/>
                <w:szCs w:val="18"/>
              </w:rPr>
              <w:t xml:space="preserve">LEDC channel 3 at 25 kHz</w:t>
            </w:r>
          </w:p>
        </w:tc>
      </w:tr>
      <w:tr>
        <w:tc>
          <w:tcPr>
            <w:tcW w:type="dxa" w:w="1103"/>
          </w:tcPr>
          <w:p>
            <w:pPr>
              <w:spacing w:after="20" w:before="20"/>
            </w:pPr>
            <w:r>
              <w:rPr>
                <w:sz w:val="18"/>
                <w:szCs w:val="18"/>
              </w:rPr>
              <w:t xml:space="preserve">GPIO15</w:t>
            </w:r>
          </w:p>
        </w:tc>
        <w:tc>
          <w:tcPr>
            <w:tcW w:type="dxa" w:w="1905"/>
          </w:tcPr>
          <w:p>
            <w:pPr>
              <w:spacing w:after="20" w:before="20"/>
            </w:pPr>
            <w:r>
              <w:rPr>
                <w:rFonts w:ascii="Consolas" w:hAnsi="Consolas"/>
                <w:sz w:val="17"/>
                <w:szCs w:val="17"/>
              </w:rPr>
              <w:t xml:space="preserve">FAN_REJECT_PWM</w:t>
            </w:r>
          </w:p>
        </w:tc>
        <w:tc>
          <w:tcPr>
            <w:tcW w:type="dxa" w:w="3009"/>
          </w:tcPr>
          <w:p>
            <w:pPr>
              <w:spacing w:after="20" w:before="20"/>
            </w:pPr>
            <w:r>
              <w:rPr>
                <w:sz w:val="18"/>
                <w:szCs w:val="18"/>
              </w:rPr>
              <w:t xml:space="preserve">reject fan header pin 4, through an open-drain buffer</w:t>
            </w:r>
          </w:p>
        </w:tc>
        <w:tc>
          <w:tcPr>
            <w:tcW w:type="dxa" w:w="3009"/>
          </w:tcPr>
          <w:p>
            <w:pPr>
              <w:spacing w:after="20" w:before="20"/>
            </w:pPr>
            <w:r>
              <w:rPr>
                <w:sz w:val="18"/>
                <w:szCs w:val="18"/>
              </w:rPr>
              <w:t xml:space="preserve">LEDC channel 4 at 25 kHz</w:t>
            </w:r>
          </w:p>
        </w:tc>
      </w:tr>
      <w:tr>
        <w:tc>
          <w:tcPr>
            <w:tcW w:type="dxa" w:w="1103"/>
          </w:tcPr>
          <w:p>
            <w:pPr>
              <w:spacing w:after="20" w:before="20"/>
            </w:pPr>
            <w:r>
              <w:rPr>
                <w:sz w:val="18"/>
                <w:szCs w:val="18"/>
              </w:rPr>
              <w:t xml:space="preserve">GPIO16</w:t>
            </w:r>
          </w:p>
        </w:tc>
        <w:tc>
          <w:tcPr>
            <w:tcW w:type="dxa" w:w="1905"/>
          </w:tcPr>
          <w:p>
            <w:pPr>
              <w:spacing w:after="20" w:before="20"/>
            </w:pPr>
            <w:r>
              <w:rPr>
                <w:rFonts w:ascii="Consolas" w:hAnsi="Consolas"/>
                <w:sz w:val="17"/>
                <w:szCs w:val="17"/>
              </w:rPr>
              <w:t xml:space="preserve">FAN_INNER_TACH</w:t>
            </w:r>
          </w:p>
        </w:tc>
        <w:tc>
          <w:tcPr>
            <w:tcW w:type="dxa" w:w="3009"/>
          </w:tcPr>
          <w:p>
            <w:pPr>
              <w:spacing w:after="20" w:before="20"/>
            </w:pPr>
            <w:r>
              <w:rPr>
                <w:sz w:val="18"/>
                <w:szCs w:val="18"/>
              </w:rPr>
              <w:t xml:space="preserve">inner fan header pin 3</w:t>
            </w:r>
          </w:p>
        </w:tc>
        <w:tc>
          <w:tcPr>
            <w:tcW w:type="dxa" w:w="3009"/>
          </w:tcPr>
          <w:p>
            <w:pPr>
              <w:spacing w:after="20" w:before="20"/>
            </w:pPr>
            <w:r>
              <w:rPr>
                <w:sz w:val="18"/>
                <w:szCs w:val="18"/>
              </w:rPr>
              <w:t xml:space="preserve">10 kΩ pull-up to </w:t>
            </w:r>
            <w:r>
              <w:rPr>
                <w:b/>
                <w:sz w:val="18"/>
                <w:szCs w:val="18"/>
              </w:rPr>
              <w:t xml:space="preserve">3V3</w:t>
            </w:r>
          </w:p>
        </w:tc>
      </w:tr>
      <w:tr>
        <w:tc>
          <w:tcPr>
            <w:tcW w:type="dxa" w:w="1103"/>
          </w:tcPr>
          <w:p>
            <w:pPr>
              <w:spacing w:after="20" w:before="20"/>
            </w:pPr>
            <w:r>
              <w:rPr>
                <w:sz w:val="18"/>
                <w:szCs w:val="18"/>
              </w:rPr>
              <w:t xml:space="preserve">GPIO17</w:t>
            </w:r>
          </w:p>
        </w:tc>
        <w:tc>
          <w:tcPr>
            <w:tcW w:type="dxa" w:w="1905"/>
          </w:tcPr>
          <w:p>
            <w:pPr>
              <w:spacing w:after="20" w:before="20"/>
            </w:pPr>
            <w:r>
              <w:rPr>
                <w:rFonts w:ascii="Consolas" w:hAnsi="Consolas"/>
                <w:sz w:val="17"/>
                <w:szCs w:val="17"/>
              </w:rPr>
              <w:t xml:space="preserve">FAN_GUARD_TACH</w:t>
            </w:r>
          </w:p>
        </w:tc>
        <w:tc>
          <w:tcPr>
            <w:tcW w:type="dxa" w:w="3009"/>
          </w:tcPr>
          <w:p>
            <w:pPr>
              <w:spacing w:after="20" w:before="20"/>
            </w:pPr>
            <w:r>
              <w:rPr>
                <w:sz w:val="18"/>
                <w:szCs w:val="18"/>
              </w:rPr>
              <w:t xml:space="preserve">guard fan header pin 3</w:t>
            </w:r>
          </w:p>
        </w:tc>
        <w:tc>
          <w:tcPr>
            <w:tcW w:type="dxa" w:w="3009"/>
          </w:tcPr>
          <w:p>
            <w:pPr>
              <w:spacing w:after="20" w:before="20"/>
            </w:pPr>
            <w:r>
              <w:rPr>
                <w:sz w:val="18"/>
                <w:szCs w:val="18"/>
              </w:rPr>
              <w:t xml:space="preserve">10 kΩ pull-up to 3V3</w:t>
            </w:r>
          </w:p>
        </w:tc>
      </w:tr>
      <w:tr>
        <w:tc>
          <w:tcPr>
            <w:tcW w:type="dxa" w:w="1103"/>
          </w:tcPr>
          <w:p>
            <w:pPr>
              <w:spacing w:after="20" w:before="20"/>
            </w:pPr>
            <w:r>
              <w:rPr>
                <w:sz w:val="18"/>
                <w:szCs w:val="18"/>
              </w:rPr>
              <w:t xml:space="preserve">GPIO18</w:t>
            </w:r>
          </w:p>
        </w:tc>
        <w:tc>
          <w:tcPr>
            <w:tcW w:type="dxa" w:w="1905"/>
          </w:tcPr>
          <w:p>
            <w:pPr>
              <w:spacing w:after="20" w:before="20"/>
            </w:pPr>
            <w:r>
              <w:rPr>
                <w:rFonts w:ascii="Consolas" w:hAnsi="Consolas"/>
                <w:sz w:val="17"/>
                <w:szCs w:val="17"/>
              </w:rPr>
              <w:t xml:space="preserve">FAN_REJECT_TACH</w:t>
            </w:r>
          </w:p>
        </w:tc>
        <w:tc>
          <w:tcPr>
            <w:tcW w:type="dxa" w:w="3009"/>
          </w:tcPr>
          <w:p>
            <w:pPr>
              <w:spacing w:after="20" w:before="20"/>
            </w:pPr>
            <w:r>
              <w:rPr>
                <w:sz w:val="18"/>
                <w:szCs w:val="18"/>
              </w:rPr>
              <w:t xml:space="preserve">reject fan header pin 3</w:t>
            </w:r>
          </w:p>
        </w:tc>
        <w:tc>
          <w:tcPr>
            <w:tcW w:type="dxa" w:w="3009"/>
          </w:tcPr>
          <w:p>
            <w:pPr>
              <w:spacing w:after="20" w:before="20"/>
            </w:pPr>
            <w:r>
              <w:rPr>
                <w:sz w:val="18"/>
                <w:szCs w:val="18"/>
              </w:rPr>
              <w:t xml:space="preserve">10 kΩ pull-up to 3V3</w:t>
            </w:r>
          </w:p>
        </w:tc>
      </w:tr>
      <w:tr>
        <w:tc>
          <w:tcPr>
            <w:tcW w:type="dxa" w:w="1103"/>
          </w:tcPr>
          <w:p>
            <w:pPr>
              <w:spacing w:after="20" w:before="20"/>
            </w:pPr>
            <w:r>
              <w:rPr>
                <w:sz w:val="18"/>
                <w:szCs w:val="18"/>
              </w:rPr>
              <w:t xml:space="preserve">GPIO8</w:t>
            </w:r>
          </w:p>
        </w:tc>
        <w:tc>
          <w:tcPr>
            <w:tcW w:type="dxa" w:w="1905"/>
          </w:tcPr>
          <w:p>
            <w:pPr>
              <w:spacing w:after="20" w:before="20"/>
            </w:pPr>
            <w:r>
              <w:rPr>
                <w:b/>
                <w:sz w:val="18"/>
                <w:szCs w:val="18"/>
              </w:rPr>
              <w:t xml:space="preserve">the spare</w:t>
            </w:r>
          </w:p>
        </w:tc>
        <w:tc>
          <w:tcPr>
            <w:tcW w:type="dxa" w:w="3009"/>
          </w:tcPr>
          <w:p>
            <w:pPr>
              <w:spacing w:after="20" w:before="20"/>
            </w:pPr>
            <w:r>
              <w:rPr>
                <w:sz w:val="18"/>
                <w:szCs w:val="18"/>
              </w:rPr>
              <w:t xml:space="preserve">reserved</w:t>
            </w:r>
          </w:p>
        </w:tc>
        <w:tc>
          <w:tcPr>
            <w:tcW w:type="dxa" w:w="3009"/>
          </w:tcPr>
          <w:p>
            <w:pPr>
              <w:spacing w:after="20" w:before="20"/>
            </w:pPr>
            <w:r>
              <w:rPr>
                <w:sz w:val="18"/>
                <w:szCs w:val="18"/>
              </w:rPr>
              <w:t xml:space="preserve">The last ADC1 pin. Held for a heatsink thermistor or an interlock sense line — and claimed by the firmware for the current-sense ALERT line instead (§9.4)</w:t>
            </w:r>
          </w:p>
        </w:tc>
      </w:tr>
      <w:tr>
        <w:tc>
          <w:tcPr>
            <w:tcW w:type="dxa" w:w="1103"/>
          </w:tcPr>
          <w:p>
            <w:pPr>
              <w:spacing w:after="20" w:before="20"/>
            </w:pPr>
            <w:r>
              <w:rPr>
                <w:sz w:val="18"/>
                <w:szCs w:val="18"/>
              </w:rPr>
              <w:t xml:space="preserve">GPIO3</w:t>
            </w:r>
          </w:p>
        </w:tc>
        <w:tc>
          <w:tcPr>
            <w:tcW w:type="dxa" w:w="19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9"/>
          </w:tcPr>
          <w:p>
            <w:pPr>
              <w:spacing w:after="20" w:before="20"/>
            </w:pPr>
            <w:r>
              <w:rPr>
                <w:sz w:val="18"/>
                <w:szCs w:val="18"/>
              </w:rPr>
              <w:t xml:space="preserve">strapping: JTAG source, no internal pull resistor</w:t>
            </w:r>
          </w:p>
        </w:tc>
      </w:tr>
      <w:tr>
        <w:tc>
          <w:tcPr>
            <w:tcW w:type="dxa" w:w="1103"/>
          </w:tcPr>
          <w:p>
            <w:pPr>
              <w:spacing w:after="20" w:before="20"/>
            </w:pPr>
            <w:r>
              <w:rPr>
                <w:sz w:val="18"/>
                <w:szCs w:val="18"/>
              </w:rPr>
              <w:t xml:space="preserve">GPIO46</w:t>
            </w:r>
          </w:p>
        </w:tc>
        <w:tc>
          <w:tcPr>
            <w:tcW w:type="dxa" w:w="19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9"/>
          </w:tcPr>
          <w:p>
            <w:pPr>
              <w:spacing w:after="20" w:before="20"/>
            </w:pPr>
            <w:r>
              <w:rPr>
                <w:sz w:val="18"/>
                <w:szCs w:val="18"/>
              </w:rPr>
              <w:t xml:space="preserve">strapping: boot mode and ROM log</w:t>
            </w:r>
          </w:p>
        </w:tc>
      </w:tr>
      <w:tr>
        <w:tc>
          <w:tcPr>
            <w:tcW w:type="dxa" w:w="1103"/>
          </w:tcPr>
          <w:p>
            <w:pPr>
              <w:spacing w:after="20" w:before="20"/>
            </w:pPr>
            <w:r>
              <w:rPr>
                <w:sz w:val="18"/>
                <w:szCs w:val="18"/>
              </w:rPr>
              <w:t xml:space="preserve">GPIO9</w:t>
            </w:r>
          </w:p>
        </w:tc>
        <w:tc>
          <w:tcPr>
            <w:tcW w:type="dxa" w:w="1905"/>
          </w:tcPr>
          <w:p>
            <w:pPr>
              <w:spacing w:after="20" w:before="20"/>
            </w:pPr>
            <w:r>
              <w:rPr>
                <w:rFonts w:ascii="Consolas" w:hAnsi="Consolas"/>
                <w:sz w:val="17"/>
                <w:szCs w:val="17"/>
              </w:rPr>
              <w:t xml:space="preserve">RTD_CS_1</w:t>
            </w:r>
          </w:p>
        </w:tc>
        <w:tc>
          <w:tcPr>
            <w:tcW w:type="dxa" w:w="3009"/>
          </w:tcPr>
          <w:p>
            <w:pPr>
              <w:spacing w:after="20" w:before="20"/>
            </w:pPr>
            <w:r>
              <w:rPr>
                <w:sz w:val="18"/>
                <w:szCs w:val="18"/>
              </w:rPr>
              <w:t xml:space="preserve">MAX31865 #1 chip select</w:t>
            </w:r>
          </w:p>
        </w:tc>
        <w:tc>
          <w:tcPr>
            <w:tcW w:type="dxa" w:w="3009"/>
          </w:tcPr>
          <w:p>
            <w:pPr>
              <w:spacing w:after="20" w:before="20"/>
            </w:pPr>
            <w:r>
              <w:rPr>
                <w:sz w:val="18"/>
                <w:szCs w:val="18"/>
              </w:rPr>
              <w:t xml:space="preserve">10 kΩ pull-up to 3V3. This is the water </w:t>
            </w:r>
            <w:r>
              <w:rPr>
                <w:b/>
                <w:sz w:val="18"/>
                <w:szCs w:val="18"/>
              </w:rPr>
              <w:t xml:space="preserve">inlet</w:t>
            </w:r>
            <w:r>
              <w:rPr>
                <w:sz w:val="18"/>
                <w:szCs w:val="18"/>
              </w:rPr>
              <w:t xml:space="preserve"> probe — see §8.8</w:t>
            </w:r>
          </w:p>
        </w:tc>
      </w:tr>
      <w:tr>
        <w:tc>
          <w:tcPr>
            <w:tcW w:type="dxa" w:w="1103"/>
          </w:tcPr>
          <w:p>
            <w:pPr>
              <w:spacing w:after="20" w:before="20"/>
            </w:pPr>
            <w:r>
              <w:rPr>
                <w:sz w:val="18"/>
                <w:szCs w:val="18"/>
              </w:rPr>
              <w:t xml:space="preserve">GPIO10</w:t>
            </w:r>
          </w:p>
        </w:tc>
        <w:tc>
          <w:tcPr>
            <w:tcW w:type="dxa" w:w="1905"/>
          </w:tcPr>
          <w:p>
            <w:pPr>
              <w:spacing w:after="20" w:before="20"/>
            </w:pPr>
            <w:r>
              <w:rPr>
                <w:rFonts w:ascii="Consolas" w:hAnsi="Consolas"/>
                <w:sz w:val="17"/>
                <w:szCs w:val="17"/>
              </w:rPr>
              <w:t xml:space="preserve">RTD_CS_2</w:t>
            </w:r>
          </w:p>
        </w:tc>
        <w:tc>
          <w:tcPr>
            <w:tcW w:type="dxa" w:w="3009"/>
          </w:tcPr>
          <w:p>
            <w:pPr>
              <w:spacing w:after="20" w:before="20"/>
            </w:pPr>
            <w:r>
              <w:rPr>
                <w:sz w:val="18"/>
                <w:szCs w:val="18"/>
              </w:rPr>
              <w:t xml:space="preserve">MAX31865 #2 chip select</w:t>
            </w:r>
          </w:p>
        </w:tc>
        <w:tc>
          <w:tcPr>
            <w:tcW w:type="dxa" w:w="3009"/>
          </w:tcPr>
          <w:p>
            <w:pPr>
              <w:spacing w:after="20" w:before="20"/>
            </w:pPr>
            <w:r>
              <w:rPr>
                <w:sz w:val="18"/>
                <w:szCs w:val="18"/>
              </w:rPr>
              <w:t xml:space="preserve">10 kΩ pull-up to 3V3. The water </w:t>
            </w:r>
            <w:r>
              <w:rPr>
                <w:b/>
                <w:sz w:val="18"/>
                <w:szCs w:val="18"/>
              </w:rPr>
              <w:t xml:space="preserve">outlet</w:t>
            </w:r>
            <w:r>
              <w:rPr>
                <w:sz w:val="18"/>
                <w:szCs w:val="18"/>
              </w:rPr>
              <w:t xml:space="preserve"> probe</w:t>
            </w:r>
          </w:p>
        </w:tc>
      </w:tr>
      <w:tr>
        <w:tc>
          <w:tcPr>
            <w:tcW w:type="dxa" w:w="1103"/>
          </w:tcPr>
          <w:p>
            <w:pPr>
              <w:spacing w:after="20" w:before="20"/>
            </w:pPr>
            <w:r>
              <w:rPr>
                <w:sz w:val="18"/>
                <w:szCs w:val="18"/>
              </w:rPr>
              <w:t xml:space="preserve">GPIO11</w:t>
            </w:r>
          </w:p>
        </w:tc>
        <w:tc>
          <w:tcPr>
            <w:tcW w:type="dxa" w:w="1905"/>
          </w:tcPr>
          <w:p>
            <w:pPr>
              <w:spacing w:after="20" w:before="20"/>
            </w:pPr>
            <w:r>
              <w:rPr>
                <w:rFonts w:ascii="Consolas" w:hAnsi="Consolas"/>
                <w:sz w:val="17"/>
                <w:szCs w:val="17"/>
              </w:rPr>
              <w:t xml:space="preserve">SPI_MOSI</w:t>
            </w:r>
          </w:p>
        </w:tc>
        <w:tc>
          <w:tcPr>
            <w:tcW w:type="dxa" w:w="3009"/>
          </w:tcPr>
          <w:p>
            <w:pPr>
              <w:spacing w:after="20" w:before="20"/>
            </w:pPr>
            <w:r>
              <w:rPr>
                <w:sz w:val="18"/>
                <w:szCs w:val="18"/>
              </w:rPr>
              <w:t xml:space="preserve">both MAX31865, stepper driver</w:t>
            </w:r>
          </w:p>
        </w:tc>
        <w:tc>
          <w:tcPr>
            <w:tcW w:type="dxa" w:w="3009"/>
          </w:tcPr>
          <w:p>
            <w:pPr>
              <w:spacing w:after="20" w:before="20"/>
            </w:pPr>
            <w:r>
              <w:rPr>
                <w:sz w:val="18"/>
                <w:szCs w:val="18"/>
              </w:rPr>
              <w:t xml:space="preserve">native FSPI pad</w:t>
            </w:r>
          </w:p>
        </w:tc>
      </w:tr>
      <w:tr>
        <w:tc>
          <w:tcPr>
            <w:tcW w:type="dxa" w:w="1103"/>
          </w:tcPr>
          <w:p>
            <w:pPr>
              <w:spacing w:after="20" w:before="20"/>
            </w:pPr>
            <w:r>
              <w:rPr>
                <w:sz w:val="18"/>
                <w:szCs w:val="18"/>
              </w:rPr>
              <w:t xml:space="preserve">GPIO12</w:t>
            </w:r>
          </w:p>
        </w:tc>
        <w:tc>
          <w:tcPr>
            <w:tcW w:type="dxa" w:w="1905"/>
          </w:tcPr>
          <w:p>
            <w:pPr>
              <w:spacing w:after="20" w:before="20"/>
            </w:pPr>
            <w:r>
              <w:rPr>
                <w:rFonts w:ascii="Consolas" w:hAnsi="Consolas"/>
                <w:sz w:val="17"/>
                <w:szCs w:val="17"/>
              </w:rPr>
              <w:t xml:space="preserve">SPI_SCLK</w:t>
            </w:r>
          </w:p>
        </w:tc>
        <w:tc>
          <w:tcPr>
            <w:tcW w:type="dxa" w:w="3009"/>
          </w:tcPr>
          <w:p>
            <w:pPr>
              <w:spacing w:after="20" w:before="20"/>
            </w:pPr>
            <w:r>
              <w:rPr>
                <w:sz w:val="18"/>
                <w:szCs w:val="18"/>
              </w:rPr>
              <w:t xml:space="preserve">both MAX31865, stepper driver</w:t>
            </w:r>
          </w:p>
        </w:tc>
        <w:tc>
          <w:tcPr>
            <w:tcW w:type="dxa" w:w="3009"/>
          </w:tcPr>
          <w:p>
            <w:pPr>
              <w:spacing w:after="20" w:before="20"/>
            </w:pPr>
            <w:r>
              <w:rPr>
                <w:sz w:val="18"/>
                <w:szCs w:val="18"/>
              </w:rPr>
              <w:t xml:space="preserve">native FSPI pad</w:t>
            </w:r>
          </w:p>
        </w:tc>
      </w:tr>
      <w:tr>
        <w:tc>
          <w:tcPr>
            <w:tcW w:type="dxa" w:w="1103"/>
          </w:tcPr>
          <w:p>
            <w:pPr>
              <w:spacing w:after="20" w:before="20"/>
            </w:pPr>
            <w:r>
              <w:rPr>
                <w:sz w:val="18"/>
                <w:szCs w:val="18"/>
              </w:rPr>
              <w:t xml:space="preserve">GPIO13</w:t>
            </w:r>
          </w:p>
        </w:tc>
        <w:tc>
          <w:tcPr>
            <w:tcW w:type="dxa" w:w="1905"/>
          </w:tcPr>
          <w:p>
            <w:pPr>
              <w:spacing w:after="20" w:before="20"/>
            </w:pPr>
            <w:r>
              <w:rPr>
                <w:rFonts w:ascii="Consolas" w:hAnsi="Consolas"/>
                <w:sz w:val="17"/>
                <w:szCs w:val="17"/>
              </w:rPr>
              <w:t xml:space="preserve">SPI_MISO</w:t>
            </w:r>
          </w:p>
        </w:tc>
        <w:tc>
          <w:tcPr>
            <w:tcW w:type="dxa" w:w="3009"/>
          </w:tcPr>
          <w:p>
            <w:pPr>
              <w:spacing w:after="20" w:before="20"/>
            </w:pPr>
            <w:r>
              <w:rPr>
                <w:sz w:val="18"/>
                <w:szCs w:val="18"/>
              </w:rPr>
              <w:t xml:space="preserve">both MAX31865, stepper driver</w:t>
            </w:r>
          </w:p>
        </w:tc>
        <w:tc>
          <w:tcPr>
            <w:tcW w:type="dxa" w:w="3009"/>
          </w:tcPr>
          <w:p>
            <w:pPr>
              <w:spacing w:after="20" w:before="20"/>
            </w:pPr>
            <w:r>
              <w:rPr>
                <w:sz w:val="18"/>
                <w:szCs w:val="18"/>
              </w:rPr>
              <w:t xml:space="preserve">native FSPI pad</w:t>
            </w:r>
          </w:p>
        </w:tc>
      </w:tr>
      <w:tr>
        <w:tc>
          <w:tcPr>
            <w:tcW w:type="dxa" w:w="1103"/>
          </w:tcPr>
          <w:p>
            <w:pPr>
              <w:spacing w:after="20" w:before="20"/>
            </w:pPr>
            <w:r>
              <w:rPr>
                <w:sz w:val="18"/>
                <w:szCs w:val="18"/>
              </w:rPr>
              <w:t xml:space="preserve">GPIO14</w:t>
            </w:r>
          </w:p>
        </w:tc>
        <w:tc>
          <w:tcPr>
            <w:tcW w:type="dxa" w:w="1905"/>
          </w:tcPr>
          <w:p>
            <w:pPr>
              <w:spacing w:after="20" w:before="20"/>
            </w:pPr>
            <w:r>
              <w:rPr>
                <w:rFonts w:ascii="Consolas" w:hAnsi="Consolas"/>
                <w:sz w:val="17"/>
                <w:szCs w:val="17"/>
              </w:rPr>
              <w:t xml:space="preserve">PUMP_CS</w:t>
            </w:r>
          </w:p>
        </w:tc>
        <w:tc>
          <w:tcPr>
            <w:tcW w:type="dxa" w:w="3009"/>
          </w:tcPr>
          <w:p>
            <w:pPr>
              <w:spacing w:after="20" w:before="20"/>
            </w:pPr>
            <w:r>
              <w:rPr>
                <w:sz w:val="18"/>
                <w:szCs w:val="18"/>
              </w:rPr>
              <w:t xml:space="preserve">stepper driver chip select</w:t>
            </w:r>
          </w:p>
        </w:tc>
        <w:tc>
          <w:tcPr>
            <w:tcW w:type="dxa" w:w="3009"/>
          </w:tcPr>
          <w:p>
            <w:pPr>
              <w:spacing w:after="20" w:before="20"/>
            </w:pPr>
            <w:r>
              <w:rPr>
                <w:sz w:val="18"/>
                <w:szCs w:val="18"/>
              </w:rPr>
              <w:t xml:space="preserve">10 kΩ pull-up to 3V3</w:t>
            </w:r>
          </w:p>
        </w:tc>
      </w:tr>
      <w:tr>
        <w:tc>
          <w:tcPr>
            <w:tcW w:type="dxa" w:w="1103"/>
          </w:tcPr>
          <w:p>
            <w:pPr>
              <w:spacing w:after="20" w:before="20"/>
            </w:pPr>
            <w:r>
              <w:rPr>
                <w:sz w:val="18"/>
                <w:szCs w:val="18"/>
              </w:rPr>
              <w:t xml:space="preserve">5V</w:t>
            </w:r>
          </w:p>
        </w:tc>
        <w:tc>
          <w:tcPr>
            <w:tcW w:type="dxa" w:w="1905"/>
          </w:tcPr>
          <w:p>
            <w:pPr>
              <w:spacing w:after="20" w:before="20"/>
            </w:pPr>
            <w:r>
              <w:rPr>
                <w:rFonts w:ascii="Consolas" w:hAnsi="Consolas"/>
                <w:sz w:val="17"/>
                <w:szCs w:val="17"/>
              </w:rPr>
              <w:t xml:space="preserve">+5V</w:t>
            </w:r>
          </w:p>
        </w:tc>
        <w:tc>
          <w:tcPr>
            <w:tcW w:type="dxa" w:w="3009"/>
          </w:tcPr>
          <w:p>
            <w:pPr>
              <w:spacing w:after="20" w:before="20"/>
            </w:pPr>
            <w:r>
              <w:rPr>
                <w:b/>
                <w:sz w:val="18"/>
                <w:szCs w:val="18"/>
              </w:rPr>
              <w:t xml:space="preserve">the buck output lands here</w:t>
            </w:r>
          </w:p>
        </w:tc>
        <w:tc>
          <w:tcPr>
            <w:tcW w:type="dxa" w:w="3009"/>
          </w:tcPr>
          <w:p>
            <w:pPr>
              <w:spacing w:after="20" w:before="20"/>
            </w:pPr>
            <w:r>
              <w:rPr>
                <w:sz w:val="18"/>
                <w:szCs w:val="18"/>
              </w:rPr>
              <w:t xml:space="preserve">this pin is an </w:t>
            </w:r>
            <w:r>
              <w:rPr>
                <w:i/>
                <w:sz w:val="18"/>
                <w:szCs w:val="18"/>
              </w:rPr>
              <w:t xml:space="preserve">input</w:t>
            </w:r>
            <w:r>
              <w:rPr>
                <w:sz w:val="18"/>
                <w:szCs w:val="18"/>
              </w:rPr>
              <w:t xml:space="preserve"> to the module</w:t>
            </w:r>
          </w:p>
        </w:tc>
      </w:tr>
      <w:tr>
        <w:tc>
          <w:tcPr>
            <w:tcW w:type="dxa" w:w="1103"/>
          </w:tcPr>
          <w:p>
            <w:pPr>
              <w:spacing w:after="20" w:before="20"/>
            </w:pPr>
            <w:r>
              <w:rPr>
                <w:sz w:val="18"/>
                <w:szCs w:val="18"/>
              </w:rPr>
              <w:t xml:space="preserve">G</w:t>
            </w:r>
          </w:p>
        </w:tc>
        <w:tc>
          <w:tcPr>
            <w:tcW w:type="dxa" w:w="1905"/>
          </w:tcPr>
          <w:p>
            <w:pPr>
              <w:spacing w:after="20" w:before="20"/>
            </w:pPr>
            <w:r>
              <w:rPr>
                <w:rFonts w:ascii="Consolas" w:hAnsi="Consolas"/>
                <w:sz w:val="17"/>
                <w:szCs w:val="17"/>
              </w:rPr>
              <w:t xml:space="preserve">GND</w:t>
            </w:r>
          </w:p>
        </w:tc>
        <w:tc>
          <w:tcPr>
            <w:tcW w:type="dxa" w:w="3009"/>
          </w:tcPr>
          <w:p>
            <w:pPr>
              <w:spacing w:after="20" w:before="20"/>
            </w:pPr>
          </w:p>
        </w:tc>
        <w:tc>
          <w:tcPr>
            <w:tcW w:type="dxa" w:w="3009"/>
          </w:tcPr>
          <w:p>
            <w:pPr>
              <w:spacing w:after="20" w:before="20"/>
            </w:pPr>
          </w:p>
        </w:tc>
      </w:tr>
    </w:tbl>
    <w:p>
      <w:pPr>
        <w:spacing w:before="60" w:after="200"/>
        <w:jc w:val="left"/>
      </w:pPr>
      <w:r>
        <w:rPr>
          <w:sz w:val="18"/>
          <w:szCs w:val="18"/>
        </w:rPr>
        <w:t xml:space="preserve">Table 34. The left header (J1), in header order. The two 3V3 pins are the module's regulator output and are the whole 3.3 V supply for the sensor front end.</w:t>
      </w:r>
    </w:p>
    <w:tbl>
      <w:tblPr>
        <w:tblStyle w:val="TableGrid"/>
        <w:tblW w:type="auto" w:w="0"/>
        <w:jc w:val="center"/>
        <w:tblLayout w:type="fixed"/>
        <w:tblLook w:firstColumn="1" w:firstRow="1" w:lastColumn="0" w:lastRow="0" w:noHBand="0" w:noVBand="1" w:val="04A0"/>
      </w:tblPr>
      <w:tblGrid>
        <w:gridCol w:w="1304"/>
        <w:gridCol w:w="1705"/>
        <w:gridCol w:w="3009"/>
        <w:gridCol w:w="3008"/>
      </w:tblGrid>
      <w:tr>
        <w:trPr>
          <w:tblHeader w:val="true"/>
        </w:trPr>
        <w:tc>
          <w:tcPr>
            <w:tcW w:type="dxa" w:w="1304"/>
            <w:shd w:val="clear" w:color="auto" w:fill="DEEAF6"/>
          </w:tcPr>
          <w:p>
            <w:pPr>
              <w:spacing w:after="20" w:before="20"/>
            </w:pPr>
            <w:r>
              <w:rPr>
                <w:b/>
                <w:sz w:val="18"/>
                <w:szCs w:val="18"/>
              </w:rPr>
              <w:t xml:space="preserve">Pin</w:t>
            </w:r>
          </w:p>
        </w:tc>
        <w:tc>
          <w:tcPr>
            <w:tcW w:type="dxa" w:w="1705"/>
            <w:shd w:val="clear" w:color="auto" w:fill="DEEAF6"/>
          </w:tcPr>
          <w:p>
            <w:pPr>
              <w:spacing w:after="20" w:before="20"/>
            </w:pPr>
            <w:r>
              <w:rPr>
                <w:b/>
                <w:sz w:val="18"/>
                <w:szCs w:val="18"/>
              </w:rPr>
              <w:t xml:space="preserve">Net</w:t>
            </w:r>
          </w:p>
        </w:tc>
        <w:tc>
          <w:tcPr>
            <w:tcW w:type="dxa" w:w="3009"/>
            <w:shd w:val="clear" w:color="auto" w:fill="DEEAF6"/>
          </w:tcPr>
          <w:p>
            <w:pPr>
              <w:spacing w:after="20" w:before="20"/>
            </w:pPr>
            <w:r>
              <w:rPr>
                <w:b/>
                <w:sz w:val="18"/>
                <w:szCs w:val="18"/>
              </w:rPr>
              <w:t xml:space="preserve">Connects to</w:t>
            </w:r>
          </w:p>
        </w:tc>
        <w:tc>
          <w:tcPr>
            <w:tcW w:type="dxa" w:w="3008"/>
            <w:shd w:val="clear" w:color="auto" w:fill="DEEAF6"/>
          </w:tcPr>
          <w:p>
            <w:pPr>
              <w:spacing w:after="20" w:before="20"/>
            </w:pPr>
            <w:r>
              <w:rPr>
                <w:b/>
                <w:sz w:val="18"/>
                <w:szCs w:val="18"/>
              </w:rPr>
              <w:t xml:space="preserve">Notes</w:t>
            </w:r>
          </w:p>
        </w:tc>
      </w:tr>
      <w:tr>
        <w:tc>
          <w:tcPr>
            <w:tcW w:type="dxa" w:w="1304"/>
          </w:tcPr>
          <w:p>
            <w:pPr>
              <w:spacing w:after="20" w:before="20"/>
            </w:pPr>
            <w:r>
              <w:rPr>
                <w:sz w:val="18"/>
                <w:szCs w:val="18"/>
              </w:rPr>
              <w:t xml:space="preserve">G</w:t>
            </w:r>
          </w:p>
        </w:tc>
        <w:tc>
          <w:tcPr>
            <w:tcW w:type="dxa" w:w="1705"/>
          </w:tcPr>
          <w:p>
            <w:pPr>
              <w:spacing w:after="20" w:before="20"/>
            </w:pPr>
            <w:r>
              <w:rPr>
                <w:rFonts w:ascii="Consolas" w:hAnsi="Consolas"/>
                <w:sz w:val="17"/>
                <w:szCs w:val="17"/>
              </w:rPr>
              <w:t xml:space="preserve">GND</w:t>
            </w:r>
          </w:p>
        </w:tc>
        <w:tc>
          <w:tcPr>
            <w:tcW w:type="dxa" w:w="3009"/>
          </w:tcPr>
          <w:p>
            <w:pPr>
              <w:spacing w:after="20" w:before="20"/>
            </w:pPr>
          </w:p>
        </w:tc>
        <w:tc>
          <w:tcPr>
            <w:tcW w:type="dxa" w:w="3008"/>
          </w:tcPr>
          <w:p>
            <w:pPr>
              <w:spacing w:after="20" w:before="20"/>
            </w:pPr>
          </w:p>
        </w:tc>
      </w:tr>
      <w:tr>
        <w:tc>
          <w:tcPr>
            <w:tcW w:type="dxa" w:w="1304"/>
          </w:tcPr>
          <w:p>
            <w:pPr>
              <w:spacing w:after="20" w:before="20"/>
            </w:pPr>
            <w:r>
              <w:rPr>
                <w:sz w:val="18"/>
                <w:szCs w:val="18"/>
              </w:rPr>
              <w:t xml:space="preserve">GPIO43</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UART0 transmit — left to the USB-UART console</w:t>
            </w:r>
          </w:p>
        </w:tc>
      </w:tr>
      <w:tr>
        <w:tc>
          <w:tcPr>
            <w:tcW w:type="dxa" w:w="1304"/>
          </w:tcPr>
          <w:p>
            <w:pPr>
              <w:spacing w:after="20" w:before="20"/>
            </w:pPr>
            <w:r>
              <w:rPr>
                <w:sz w:val="18"/>
                <w:szCs w:val="18"/>
              </w:rPr>
              <w:t xml:space="preserve">GPIO44</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UART0 receive</w:t>
            </w:r>
          </w:p>
        </w:tc>
      </w:tr>
      <w:tr>
        <w:tc>
          <w:tcPr>
            <w:tcW w:type="dxa" w:w="1304"/>
          </w:tcPr>
          <w:p>
            <w:pPr>
              <w:spacing w:after="20" w:before="20"/>
            </w:pPr>
            <w:r>
              <w:rPr>
                <w:sz w:val="18"/>
                <w:szCs w:val="18"/>
              </w:rPr>
              <w:t xml:space="preserve">GPIO1</w:t>
            </w:r>
          </w:p>
        </w:tc>
        <w:tc>
          <w:tcPr>
            <w:tcW w:type="dxa" w:w="1705"/>
          </w:tcPr>
          <w:p>
            <w:pPr>
              <w:spacing w:after="20" w:before="20"/>
            </w:pPr>
            <w:r>
              <w:rPr>
                <w:rFonts w:ascii="Consolas" w:hAnsi="Consolas"/>
                <w:sz w:val="17"/>
                <w:szCs w:val="17"/>
              </w:rPr>
              <w:t xml:space="preserve">I2C0_SDA</w:t>
            </w:r>
          </w:p>
        </w:tc>
        <w:tc>
          <w:tcPr>
            <w:tcW w:type="dxa" w:w="3009"/>
          </w:tcPr>
          <w:p>
            <w:pPr>
              <w:spacing w:after="20" w:before="20"/>
            </w:pPr>
            <w:r>
              <w:rPr>
                <w:sz w:val="18"/>
                <w:szCs w:val="18"/>
              </w:rPr>
              <w:t xml:space="preserve">2 × INA226, INA3221, board temperature sensor</w:t>
            </w:r>
          </w:p>
        </w:tc>
        <w:tc>
          <w:tcPr>
            <w:tcW w:type="dxa" w:w="3008"/>
          </w:tcPr>
          <w:p>
            <w:pPr>
              <w:spacing w:after="20" w:before="20"/>
            </w:pPr>
            <w:r>
              <w:rPr>
                <w:sz w:val="18"/>
                <w:szCs w:val="18"/>
              </w:rPr>
              <w:t xml:space="preserve">the on-board telemetry bus; 2.2 kΩ pull-ups to 3V3</w:t>
            </w:r>
          </w:p>
        </w:tc>
      </w:tr>
      <w:tr>
        <w:tc>
          <w:tcPr>
            <w:tcW w:type="dxa" w:w="1304"/>
          </w:tcPr>
          <w:p>
            <w:pPr>
              <w:spacing w:after="20" w:before="20"/>
            </w:pPr>
            <w:r>
              <w:rPr>
                <w:sz w:val="18"/>
                <w:szCs w:val="18"/>
              </w:rPr>
              <w:t xml:space="preserve">GPIO2</w:t>
            </w:r>
          </w:p>
        </w:tc>
        <w:tc>
          <w:tcPr>
            <w:tcW w:type="dxa" w:w="1705"/>
          </w:tcPr>
          <w:p>
            <w:pPr>
              <w:spacing w:after="20" w:before="20"/>
            </w:pPr>
            <w:r>
              <w:rPr>
                <w:rFonts w:ascii="Consolas" w:hAnsi="Consolas"/>
                <w:sz w:val="17"/>
                <w:szCs w:val="17"/>
              </w:rPr>
              <w:t xml:space="preserve">I2C0_SCL</w:t>
            </w:r>
          </w:p>
        </w:tc>
        <w:tc>
          <w:tcPr>
            <w:tcW w:type="dxa" w:w="3009"/>
          </w:tcPr>
          <w:p>
            <w:pPr>
              <w:spacing w:after="20" w:before="20"/>
            </w:pPr>
            <w:r>
              <w:rPr>
                <w:sz w:val="18"/>
                <w:szCs w:val="18"/>
              </w:rPr>
              <w:t xml:space="preserve">the same devices</w:t>
            </w:r>
          </w:p>
        </w:tc>
        <w:tc>
          <w:tcPr>
            <w:tcW w:type="dxa" w:w="3008"/>
          </w:tcPr>
          <w:p>
            <w:pPr>
              <w:spacing w:after="20" w:before="20"/>
            </w:pPr>
          </w:p>
        </w:tc>
      </w:tr>
      <w:tr>
        <w:tc>
          <w:tcPr>
            <w:tcW w:type="dxa" w:w="1304"/>
          </w:tcPr>
          <w:p>
            <w:pPr>
              <w:spacing w:after="20" w:before="20"/>
            </w:pPr>
            <w:r>
              <w:rPr>
                <w:sz w:val="18"/>
                <w:szCs w:val="18"/>
              </w:rPr>
              <w:t xml:space="preserve">GPIO42</w:t>
            </w:r>
          </w:p>
        </w:tc>
        <w:tc>
          <w:tcPr>
            <w:tcW w:type="dxa" w:w="1705"/>
          </w:tcPr>
          <w:p>
            <w:pPr>
              <w:spacing w:after="20" w:before="20"/>
            </w:pPr>
            <w:r>
              <w:rPr>
                <w:rFonts w:ascii="Consolas" w:hAnsi="Consolas"/>
                <w:sz w:val="17"/>
                <w:szCs w:val="17"/>
              </w:rPr>
              <w:t xml:space="preserve">I2C1_SDA</w:t>
            </w:r>
          </w:p>
        </w:tc>
        <w:tc>
          <w:tcPr>
            <w:tcW w:type="dxa" w:w="3009"/>
          </w:tcPr>
          <w:p>
            <w:pPr>
              <w:spacing w:after="20" w:before="20"/>
            </w:pPr>
            <w:r>
              <w:rPr>
                <w:sz w:val="18"/>
                <w:szCs w:val="18"/>
              </w:rPr>
              <w:t xml:space="preserve">off-board header → multiplexer → TMP117 array</w:t>
            </w:r>
          </w:p>
        </w:tc>
        <w:tc>
          <w:tcPr>
            <w:tcW w:type="dxa" w:w="3008"/>
          </w:tcPr>
          <w:p>
            <w:pPr>
              <w:spacing w:after="20" w:before="20"/>
            </w:pPr>
            <w:r>
              <w:rPr>
                <w:sz w:val="18"/>
                <w:szCs w:val="18"/>
              </w:rPr>
              <w:t xml:space="preserve">4.7 kΩ pull-ups; ESD array at the connector</w:t>
            </w:r>
          </w:p>
        </w:tc>
      </w:tr>
      <w:tr>
        <w:tc>
          <w:tcPr>
            <w:tcW w:type="dxa" w:w="1304"/>
          </w:tcPr>
          <w:p>
            <w:pPr>
              <w:spacing w:after="20" w:before="20"/>
            </w:pPr>
            <w:r>
              <w:rPr>
                <w:sz w:val="18"/>
                <w:szCs w:val="18"/>
              </w:rPr>
              <w:t xml:space="preserve">GPIO41</w:t>
            </w:r>
          </w:p>
        </w:tc>
        <w:tc>
          <w:tcPr>
            <w:tcW w:type="dxa" w:w="1705"/>
          </w:tcPr>
          <w:p>
            <w:pPr>
              <w:spacing w:after="20" w:before="20"/>
            </w:pPr>
            <w:r>
              <w:rPr>
                <w:rFonts w:ascii="Consolas" w:hAnsi="Consolas"/>
                <w:sz w:val="17"/>
                <w:szCs w:val="17"/>
              </w:rPr>
              <w:t xml:space="preserve">I2C1_SCL</w:t>
            </w:r>
          </w:p>
        </w:tc>
        <w:tc>
          <w:tcPr>
            <w:tcW w:type="dxa" w:w="3009"/>
          </w:tcPr>
          <w:p>
            <w:pPr>
              <w:spacing w:after="20" w:before="20"/>
            </w:pPr>
            <w:r>
              <w:rPr>
                <w:sz w:val="18"/>
                <w:szCs w:val="18"/>
              </w:rPr>
              <w:t xml:space="preserve">the same run</w:t>
            </w:r>
          </w:p>
        </w:tc>
        <w:tc>
          <w:tcPr>
            <w:tcW w:type="dxa" w:w="3008"/>
          </w:tcPr>
          <w:p>
            <w:pPr>
              <w:spacing w:after="20" w:before="20"/>
            </w:pPr>
          </w:p>
        </w:tc>
      </w:tr>
      <w:tr>
        <w:tc>
          <w:tcPr>
            <w:tcW w:type="dxa" w:w="1304"/>
          </w:tcPr>
          <w:p>
            <w:pPr>
              <w:spacing w:after="20" w:before="20"/>
            </w:pPr>
            <w:r>
              <w:rPr>
                <w:sz w:val="18"/>
                <w:szCs w:val="18"/>
              </w:rPr>
              <w:t xml:space="preserve">GPIO40</w:t>
            </w:r>
          </w:p>
        </w:tc>
        <w:tc>
          <w:tcPr>
            <w:tcW w:type="dxa" w:w="1705"/>
          </w:tcPr>
          <w:p>
            <w:pPr>
              <w:spacing w:after="20" w:before="20"/>
            </w:pPr>
            <w:r>
              <w:rPr>
                <w:rFonts w:ascii="Consolas" w:hAnsi="Consolas"/>
                <w:sz w:val="17"/>
                <w:szCs w:val="17"/>
              </w:rPr>
              <w:t xml:space="preserve">PUMP_STEP</w:t>
            </w:r>
          </w:p>
        </w:tc>
        <w:tc>
          <w:tcPr>
            <w:tcW w:type="dxa" w:w="3009"/>
          </w:tcPr>
          <w:p>
            <w:pPr>
              <w:spacing w:after="20" w:before="20"/>
            </w:pPr>
            <w:r>
              <w:rPr>
                <w:sz w:val="18"/>
                <w:szCs w:val="18"/>
              </w:rPr>
              <w:t xml:space="preserve">stepper driver STEP</w:t>
            </w:r>
          </w:p>
        </w:tc>
        <w:tc>
          <w:tcPr>
            <w:tcW w:type="dxa" w:w="3008"/>
          </w:tcPr>
          <w:p>
            <w:pPr>
              <w:spacing w:after="20" w:before="20"/>
            </w:pPr>
            <w:r>
              <w:rPr>
                <w:sz w:val="18"/>
                <w:szCs w:val="18"/>
              </w:rPr>
              <w:t xml:space="preserve">hardware pulse source (LEDC / RMT / MCPWM)</w:t>
            </w:r>
          </w:p>
        </w:tc>
      </w:tr>
      <w:tr>
        <w:tc>
          <w:tcPr>
            <w:tcW w:type="dxa" w:w="1304"/>
          </w:tcPr>
          <w:p>
            <w:pPr>
              <w:spacing w:after="20" w:before="20"/>
            </w:pPr>
            <w:r>
              <w:rPr>
                <w:sz w:val="18"/>
                <w:szCs w:val="18"/>
              </w:rPr>
              <w:t xml:space="preserve">GPIO39</w:t>
            </w:r>
          </w:p>
        </w:tc>
        <w:tc>
          <w:tcPr>
            <w:tcW w:type="dxa" w:w="1705"/>
          </w:tcPr>
          <w:p>
            <w:pPr>
              <w:spacing w:after="20" w:before="20"/>
            </w:pPr>
            <w:r>
              <w:rPr>
                <w:rFonts w:ascii="Consolas" w:hAnsi="Consolas"/>
                <w:sz w:val="17"/>
                <w:szCs w:val="17"/>
              </w:rPr>
              <w:t xml:space="preserve">PUMP_ENN</w:t>
            </w:r>
          </w:p>
        </w:tc>
        <w:tc>
          <w:tcPr>
            <w:tcW w:type="dxa" w:w="3009"/>
          </w:tcPr>
          <w:p>
            <w:pPr>
              <w:spacing w:after="20" w:before="20"/>
            </w:pPr>
            <w:r>
              <w:rPr>
                <w:sz w:val="18"/>
                <w:szCs w:val="18"/>
              </w:rPr>
              <w:t xml:space="preserve">stepper driver enable</w:t>
            </w:r>
          </w:p>
        </w:tc>
        <w:tc>
          <w:tcPr>
            <w:tcW w:type="dxa" w:w="3008"/>
          </w:tcPr>
          <w:p>
            <w:pPr>
              <w:spacing w:after="20" w:before="20"/>
            </w:pPr>
            <w:r>
              <w:rPr>
                <w:b/>
                <w:sz w:val="18"/>
                <w:szCs w:val="18"/>
              </w:rPr>
              <w:t xml:space="preserve">active low</w:t>
            </w:r>
            <w:r>
              <w:rPr>
                <w:sz w:val="18"/>
                <w:szCs w:val="18"/>
              </w:rPr>
              <w:t xml:space="preserve">, and pulled up at boot by the chip — deliberate, see the callout above</w:t>
            </w:r>
          </w:p>
        </w:tc>
      </w:tr>
      <w:tr>
        <w:tc>
          <w:tcPr>
            <w:tcW w:type="dxa" w:w="1304"/>
          </w:tcPr>
          <w:p>
            <w:pPr>
              <w:spacing w:after="20" w:before="20"/>
            </w:pPr>
            <w:r>
              <w:rPr>
                <w:sz w:val="18"/>
                <w:szCs w:val="18"/>
              </w:rPr>
              <w:t xml:space="preserve">GPIO38</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RGB LED on board revision v1.1</w:t>
            </w:r>
          </w:p>
        </w:tc>
      </w:tr>
      <w:tr>
        <w:tc>
          <w:tcPr>
            <w:tcW w:type="dxa" w:w="1304"/>
          </w:tcPr>
          <w:p>
            <w:pPr>
              <w:spacing w:after="20" w:before="20"/>
            </w:pPr>
            <w:r>
              <w:rPr>
                <w:sz w:val="18"/>
                <w:szCs w:val="18"/>
              </w:rPr>
              <w:t xml:space="preserve">GPIO37, 36, 35</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octal PSRAM on any R8 module</w:t>
            </w:r>
          </w:p>
        </w:tc>
      </w:tr>
      <w:tr>
        <w:tc>
          <w:tcPr>
            <w:tcW w:type="dxa" w:w="1304"/>
          </w:tcPr>
          <w:p>
            <w:pPr>
              <w:spacing w:after="20" w:before="20"/>
            </w:pPr>
            <w:r>
              <w:rPr>
                <w:sz w:val="18"/>
                <w:szCs w:val="18"/>
              </w:rPr>
              <w:t xml:space="preserve">GPIO0</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BOOT strapping pin and the on-board button</w:t>
            </w:r>
          </w:p>
        </w:tc>
      </w:tr>
      <w:tr>
        <w:tc>
          <w:tcPr>
            <w:tcW w:type="dxa" w:w="1304"/>
          </w:tcPr>
          <w:p>
            <w:pPr>
              <w:spacing w:after="20" w:before="20"/>
            </w:pPr>
            <w:r>
              <w:rPr>
                <w:sz w:val="18"/>
                <w:szCs w:val="18"/>
              </w:rPr>
              <w:t xml:space="preserve">GPIO45</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flash-voltage strapping pin</w:t>
            </w:r>
          </w:p>
        </w:tc>
      </w:tr>
      <w:tr>
        <w:tc>
          <w:tcPr>
            <w:tcW w:type="dxa" w:w="1304"/>
          </w:tcPr>
          <w:p>
            <w:pPr>
              <w:spacing w:after="20" w:before="20"/>
            </w:pPr>
            <w:r>
              <w:rPr>
                <w:sz w:val="18"/>
                <w:szCs w:val="18"/>
              </w:rPr>
              <w:t xml:space="preserve">GPIO48</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RGB LED on board revision v1.0</w:t>
            </w:r>
          </w:p>
        </w:tc>
      </w:tr>
      <w:tr>
        <w:tc>
          <w:tcPr>
            <w:tcW w:type="dxa" w:w="1304"/>
          </w:tcPr>
          <w:p>
            <w:pPr>
              <w:spacing w:after="20" w:before="20"/>
            </w:pPr>
            <w:r>
              <w:rPr>
                <w:sz w:val="18"/>
                <w:szCs w:val="18"/>
              </w:rPr>
              <w:t xml:space="preserve">GPIO47</w:t>
            </w:r>
          </w:p>
        </w:tc>
        <w:tc>
          <w:tcPr>
            <w:tcW w:type="dxa" w:w="1705"/>
          </w:tcPr>
          <w:p>
            <w:pPr>
              <w:spacing w:after="20" w:before="20"/>
            </w:pPr>
            <w:r>
              <w:rPr>
                <w:rFonts w:ascii="Consolas" w:hAnsi="Consolas"/>
                <w:sz w:val="17"/>
                <w:szCs w:val="17"/>
              </w:rPr>
              <w:t xml:space="preserve">PUMP_DIR</w:t>
            </w:r>
          </w:p>
        </w:tc>
        <w:tc>
          <w:tcPr>
            <w:tcW w:type="dxa" w:w="3009"/>
          </w:tcPr>
          <w:p>
            <w:pPr>
              <w:spacing w:after="20" w:before="20"/>
            </w:pPr>
            <w:r>
              <w:rPr>
                <w:sz w:val="18"/>
                <w:szCs w:val="18"/>
              </w:rPr>
              <w:t xml:space="preserve">stepper driver direction</w:t>
            </w:r>
          </w:p>
        </w:tc>
        <w:tc>
          <w:tcPr>
            <w:tcW w:type="dxa" w:w="3008"/>
          </w:tcPr>
          <w:p>
            <w:pPr>
              <w:spacing w:after="20" w:before="20"/>
            </w:pPr>
          </w:p>
        </w:tc>
      </w:tr>
      <w:tr>
        <w:tc>
          <w:tcPr>
            <w:tcW w:type="dxa" w:w="1304"/>
          </w:tcPr>
          <w:p>
            <w:pPr>
              <w:spacing w:after="20" w:before="20"/>
            </w:pPr>
            <w:r>
              <w:rPr>
                <w:sz w:val="18"/>
                <w:szCs w:val="18"/>
              </w:rPr>
              <w:t xml:space="preserve">GPIO21</w:t>
            </w:r>
          </w:p>
        </w:tc>
        <w:tc>
          <w:tcPr>
            <w:tcW w:type="dxa" w:w="1705"/>
          </w:tcPr>
          <w:p>
            <w:pPr>
              <w:spacing w:after="20" w:before="20"/>
            </w:pPr>
            <w:r>
              <w:rPr>
                <w:rFonts w:ascii="Consolas" w:hAnsi="Consolas"/>
                <w:sz w:val="17"/>
                <w:szCs w:val="17"/>
              </w:rPr>
              <w:t xml:space="preserve">FLOW_PULSE</w:t>
            </w:r>
          </w:p>
        </w:tc>
        <w:tc>
          <w:tcPr>
            <w:tcW w:type="dxa" w:w="3009"/>
          </w:tcPr>
          <w:p>
            <w:pPr>
              <w:spacing w:after="20" w:before="20"/>
            </w:pPr>
            <w:r>
              <w:rPr>
                <w:sz w:val="18"/>
                <w:szCs w:val="18"/>
              </w:rPr>
              <w:t xml:space="preserve">flow sensor, 3-pin header</w:t>
            </w:r>
          </w:p>
        </w:tc>
        <w:tc>
          <w:tcPr>
            <w:tcW w:type="dxa" w:w="3008"/>
          </w:tcPr>
          <w:p>
            <w:pPr>
              <w:spacing w:after="20" w:before="20"/>
            </w:pPr>
            <w:r>
              <w:rPr>
                <w:sz w:val="18"/>
                <w:szCs w:val="18"/>
              </w:rPr>
              <w:t xml:space="preserve">3.3 V logic straight to the GPIO — no level shifting</w:t>
            </w:r>
          </w:p>
        </w:tc>
      </w:tr>
      <w:tr>
        <w:tc>
          <w:tcPr>
            <w:tcW w:type="dxa" w:w="1304"/>
          </w:tcPr>
          <w:p>
            <w:pPr>
              <w:spacing w:after="20" w:before="20"/>
            </w:pPr>
            <w:r>
              <w:rPr>
                <w:sz w:val="18"/>
                <w:szCs w:val="18"/>
              </w:rPr>
              <w:t xml:space="preserve">GPIO20</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USB D+</w:t>
            </w:r>
          </w:p>
        </w:tc>
      </w:tr>
      <w:tr>
        <w:tc>
          <w:tcPr>
            <w:tcW w:type="dxa" w:w="1304"/>
          </w:tcPr>
          <w:p>
            <w:pPr>
              <w:spacing w:after="20" w:before="20"/>
            </w:pPr>
            <w:r>
              <w:rPr>
                <w:sz w:val="18"/>
                <w:szCs w:val="18"/>
              </w:rPr>
              <w:t xml:space="preserve">GPIO19</w:t>
            </w:r>
          </w:p>
        </w:tc>
        <w:tc>
          <w:tcPr>
            <w:tcW w:type="dxa" w:w="1705"/>
          </w:tcPr>
          <w:p>
            <w:pPr>
              <w:spacing w:after="20" w:before="20"/>
            </w:pPr>
            <w:r>
              <w:rPr>
                <w:sz w:val="18"/>
                <w:szCs w:val="18"/>
              </w:rPr>
              <w:t xml:space="preserve">—</w:t>
            </w:r>
          </w:p>
        </w:tc>
        <w:tc>
          <w:tcPr>
            <w:tcW w:type="dxa" w:w="3009"/>
          </w:tcPr>
          <w:p>
            <w:pPr>
              <w:spacing w:after="20" w:before="20"/>
            </w:pPr>
            <w:r>
              <w:rPr>
                <w:b/>
                <w:sz w:val="18"/>
                <w:szCs w:val="18"/>
              </w:rPr>
              <w:t xml:space="preserve">no connect</w:t>
            </w:r>
          </w:p>
        </w:tc>
        <w:tc>
          <w:tcPr>
            <w:tcW w:type="dxa" w:w="3008"/>
          </w:tcPr>
          <w:p>
            <w:pPr>
              <w:spacing w:after="20" w:before="20"/>
            </w:pPr>
            <w:r>
              <w:rPr>
                <w:sz w:val="18"/>
                <w:szCs w:val="18"/>
              </w:rPr>
              <w:t xml:space="preserve">USB D−</w:t>
            </w:r>
          </w:p>
        </w:tc>
      </w:tr>
      <w:tr>
        <w:tc>
          <w:tcPr>
            <w:tcW w:type="dxa" w:w="1304"/>
          </w:tcPr>
          <w:p>
            <w:pPr>
              <w:spacing w:after="20" w:before="20"/>
            </w:pPr>
            <w:r>
              <w:rPr>
                <w:sz w:val="18"/>
                <w:szCs w:val="18"/>
              </w:rPr>
              <w:t xml:space="preserve">G (× 3)</w:t>
            </w:r>
          </w:p>
        </w:tc>
        <w:tc>
          <w:tcPr>
            <w:tcW w:type="dxa" w:w="1705"/>
          </w:tcPr>
          <w:p>
            <w:pPr>
              <w:spacing w:after="20" w:before="20"/>
            </w:pPr>
            <w:r>
              <w:rPr>
                <w:rFonts w:ascii="Consolas" w:hAnsi="Consolas"/>
                <w:sz w:val="17"/>
                <w:szCs w:val="17"/>
              </w:rPr>
              <w:t xml:space="preserve">GND</w:t>
            </w:r>
          </w:p>
        </w:tc>
        <w:tc>
          <w:tcPr>
            <w:tcW w:type="dxa" w:w="3009"/>
          </w:tcPr>
          <w:p>
            <w:pPr>
              <w:spacing w:after="20" w:before="20"/>
            </w:pPr>
          </w:p>
        </w:tc>
        <w:tc>
          <w:tcPr>
            <w:tcW w:type="dxa" w:w="3008"/>
          </w:tcPr>
          <w:p>
            <w:pPr>
              <w:spacing w:after="20" w:before="20"/>
            </w:pPr>
          </w:p>
        </w:tc>
      </w:tr>
    </w:tbl>
    <w:p>
      <w:pPr>
        <w:spacing w:before="60" w:after="200"/>
        <w:jc w:val="left"/>
      </w:pPr>
      <w:r>
        <w:rPr>
          <w:sz w:val="18"/>
          <w:szCs w:val="18"/>
        </w:rPr>
        <w:t xml:space="preserve">Table 35. The right header (J3), in header order. Ten of its pins are no-connect, which is what the budget of Table 33 counts.</w:t>
      </w:r>
    </w:p>
    <w:p>
      <w:pPr>
        <w:pStyle w:val="Heading3"/>
      </w:pPr>
      <w:r>
        <w:t xml:space="preserve">Wiring notes that would otherwise bite</w:t>
      </w:r>
    </w:p>
    <w:p>
      <w:pPr>
        <w:spacing w:after="120"/>
      </w:pPr>
      <w:r>
        <w:t xml:space="preserve">Four interfaces on this board have a detail that is invisible in a block diagram and expensive at bring-up. Three of them have already been covered — the gate drivers need no level shifter (§8.5.2), the fan PWM must be open-drain and the tachometer must pull up to 3.3 V (§8.5.3). The fourth is the shared SPI bus, which carries three devices of two different kinds:</w:t>
      </w:r>
    </w:p>
    <w:p>
      <w:pPr>
        <w:spacing w:after="60" w:before="0"/>
        <w:ind w:left="720" w:hanging="360"/>
      </w:pPr>
      <w:r>
        <w:t xml:space="preserve">•</w:t>
      </w:r>
      <w:r>
        <w:tab/>
      </w:r>
      <w:r>
        <w:rPr>
          <w:b/>
        </w:rPr>
        <w:t xml:space="preserve">Clock rate is set by the slowest device.</w:t>
      </w:r>
      <w:r>
        <w:t xml:space="preserve"> The stepper driver tops out near 4 MHz and the RTD converters at 5 MHz, so the bus is capped at </w:t>
      </w:r>
      <w:r>
        <w:rPr>
          <w:b/>
        </w:rPr>
        <w:t xml:space="preserve">4 MHz</w:t>
      </w:r>
      <w:r>
        <w:t xml:space="preserve">. In practice 1 MHz is ample — nothing on this bus is throughput-bound.</w:t>
      </w:r>
    </w:p>
    <w:p>
      <w:pPr>
        <w:spacing w:after="60" w:before="0"/>
        <w:ind w:left="720" w:hanging="360"/>
      </w:pPr>
      <w:r>
        <w:t xml:space="preserve">•</w:t>
      </w:r>
      <w:r>
        <w:tab/>
      </w:r>
      <w:r>
        <w:rPr>
          <w:b/>
        </w:rPr>
        <w:t xml:space="preserve">Mode was thought to need standardising, and does not.</w:t>
      </w:r>
      <w:r>
        <w:t xml:space="preserve"> The RTD converter accepts SPI modes 1 and 3 while the stepper driver is mode 3 only, so the design note specifies mode 3 across the bus. The firmware showed this is unnecessary: the controller is reprogrammed per transfer from each device's own specification, and chip select gates the deselected part through the clock-polarity change (§9.16). It is a note on the schematic, not a constraint on it.</w:t>
      </w:r>
    </w:p>
    <w:p>
      <w:pPr>
        <w:spacing w:after="60" w:before="0"/>
        <w:ind w:left="720" w:hanging="360"/>
      </w:pPr>
      <w:r>
        <w:t xml:space="preserve">•</w:t>
      </w:r>
      <w:r>
        <w:tab/>
      </w:r>
      <w:r>
        <w:rPr>
          <w:b/>
        </w:rPr>
        <w:t xml:space="preserve">All three chip selects are pulled up to 3.3 V</w:t>
      </w:r>
      <w:r>
        <w:t xml:space="preserve"> with 10 kΩ, so nothing on the bus is selected while the module is in reset.</w:t>
      </w:r>
    </w:p>
    <w:p>
      <w:pPr>
        <w:spacing w:after="60" w:before="0"/>
        <w:ind w:left="720" w:hanging="360"/>
      </w:pPr>
      <w:r>
        <w:t xml:space="preserve">•</w:t>
      </w:r>
      <w:r>
        <w:tab/>
      </w:r>
      <w:r>
        <w:rPr>
          <w:b/>
        </w:rPr>
        <w:t xml:space="preserve">GPIO11, 12 and 13 are the native FSPI pads</w:t>
      </w:r>
      <w:r>
        <w:t xml:space="preserve">, so the bus uses the direct IOMUX path rather than the GPIO matrix — worth keeping even though the signal rate does not demand it, because it is free.</w:t>
      </w:r>
    </w:p>
    <w:p>
      <w:pPr>
        <w:spacing w:after="60" w:before="0"/>
        <w:ind w:left="720" w:hanging="360"/>
      </w:pPr>
      <w:r>
        <w:t xml:space="preserve">•</w:t>
      </w:r>
      <w:r>
        <w:tab/>
      </w:r>
      <w:r>
        <w:rPr>
          <w:b/>
        </w:rPr>
        <w:t xml:space="preserve">The RTD converters' data-ready lines are not routed.</w:t>
      </w:r>
      <w:r>
        <w:t xml:space="preserve"> The firmware polls instead. If they were ever wanted, the spare pin of Table 33 is where one would go — which is a second claim on a pin that already has two.</w:t>
      </w:r>
    </w:p>
    <w:p>
      <w:pPr>
        <w:pStyle w:val="Heading3"/>
      </w:pPr>
      <w:r>
        <w:t xml:space="preserve">The I²C address plan</w:t>
      </w:r>
    </w:p>
    <w:p>
      <w:pPr>
        <w:spacing w:after="120"/>
      </w:pPr>
      <w:r>
        <w:t xml:space="preserve">Two I²C buses, and the address map matters more than it looks: two of the parts share a default address, and the collision is invisible until a bus scan comes back one device short.</w:t>
      </w:r>
    </w:p>
    <w:tbl>
      <w:tblPr>
        <w:tblStyle w:val="TableGrid"/>
        <w:tblW w:type="auto" w:w="0"/>
        <w:jc w:val="center"/>
        <w:tblLayout w:type="fixed"/>
        <w:tblLook w:firstColumn="1" w:firstRow="1" w:lastColumn="0" w:lastRow="0" w:noHBand="0" w:noVBand="1" w:val="04A0"/>
      </w:tblPr>
      <w:tblGrid>
        <w:gridCol w:w="1905"/>
        <w:gridCol w:w="2908"/>
        <w:gridCol w:w="1605"/>
        <w:gridCol w:w="2608"/>
      </w:tblGrid>
      <w:tr>
        <w:trPr>
          <w:tblHeader w:val="true"/>
        </w:trPr>
        <w:tc>
          <w:tcPr>
            <w:tcW w:type="dxa" w:w="1905"/>
            <w:shd w:val="clear" w:color="auto" w:fill="DEEAF6"/>
          </w:tcPr>
          <w:p>
            <w:pPr>
              <w:spacing w:after="20" w:before="20"/>
            </w:pPr>
            <w:r>
              <w:rPr>
                <w:b/>
                <w:sz w:val="18"/>
                <w:szCs w:val="18"/>
              </w:rPr>
              <w:t xml:space="preserve">Bus</w:t>
            </w:r>
          </w:p>
        </w:tc>
        <w:tc>
          <w:tcPr>
            <w:tcW w:type="dxa" w:w="2908"/>
            <w:shd w:val="clear" w:color="auto" w:fill="DEEAF6"/>
          </w:tcPr>
          <w:p>
            <w:pPr>
              <w:spacing w:after="20" w:before="20"/>
            </w:pPr>
            <w:r>
              <w:rPr>
                <w:b/>
                <w:sz w:val="18"/>
                <w:szCs w:val="18"/>
              </w:rPr>
              <w:t xml:space="preserve">Device</w:t>
            </w:r>
          </w:p>
        </w:tc>
        <w:tc>
          <w:tcPr>
            <w:tcW w:type="dxa" w:w="1605"/>
            <w:shd w:val="clear" w:color="auto" w:fill="DEEAF6"/>
          </w:tcPr>
          <w:p>
            <w:pPr>
              <w:spacing w:after="20" w:before="20"/>
            </w:pPr>
            <w:r>
              <w:rPr>
                <w:b/>
                <w:sz w:val="18"/>
                <w:szCs w:val="18"/>
              </w:rPr>
              <w:t xml:space="preserve">Address</w:t>
            </w:r>
          </w:p>
        </w:tc>
        <w:tc>
          <w:tcPr>
            <w:tcW w:type="dxa" w:w="2608"/>
            <w:shd w:val="clear" w:color="auto" w:fill="DEEAF6"/>
          </w:tcPr>
          <w:p>
            <w:pPr>
              <w:spacing w:after="20" w:before="20"/>
            </w:pPr>
            <w:r>
              <w:rPr>
                <w:b/>
                <w:sz w:val="18"/>
                <w:szCs w:val="18"/>
              </w:rPr>
              <w:t xml:space="preserve">Set by</w:t>
            </w:r>
          </w:p>
        </w:tc>
      </w:tr>
      <w:tr>
        <w:tc>
          <w:tcPr>
            <w:tcW w:type="dxa" w:w="1905"/>
          </w:tcPr>
          <w:p>
            <w:pPr>
              <w:spacing w:after="20" w:before="20"/>
            </w:pPr>
            <w:r>
              <w:rPr>
                <w:sz w:val="18"/>
                <w:szCs w:val="18"/>
              </w:rPr>
              <w:t xml:space="preserve">I2C0 — on-board</w:t>
            </w:r>
          </w:p>
        </w:tc>
        <w:tc>
          <w:tcPr>
            <w:tcW w:type="dxa" w:w="2908"/>
          </w:tcPr>
          <w:p>
            <w:pPr>
              <w:spacing w:after="20" w:before="20"/>
            </w:pPr>
            <w:r>
              <w:rPr>
                <w:sz w:val="18"/>
                <w:szCs w:val="18"/>
              </w:rPr>
              <w:t xml:space="preserve">INA226, inner heater</w:t>
            </w:r>
          </w:p>
        </w:tc>
        <w:tc>
          <w:tcPr>
            <w:tcW w:type="dxa" w:w="1605"/>
          </w:tcPr>
          <w:p>
            <w:pPr>
              <w:spacing w:after="20" w:before="20"/>
            </w:pPr>
            <w:r>
              <w:rPr>
                <w:rFonts w:ascii="Consolas" w:hAnsi="Consolas"/>
                <w:sz w:val="17"/>
                <w:szCs w:val="17"/>
              </w:rPr>
              <w:t xml:space="preserve">0x40</w:t>
            </w:r>
          </w:p>
        </w:tc>
        <w:tc>
          <w:tcPr>
            <w:tcW w:type="dxa" w:w="2608"/>
          </w:tcPr>
          <w:p>
            <w:pPr>
              <w:spacing w:after="20" w:before="20"/>
            </w:pPr>
            <w:r>
              <w:rPr>
                <w:sz w:val="18"/>
                <w:szCs w:val="18"/>
              </w:rPr>
              <w:t xml:space="preserve">both address pins to ground</w:t>
            </w:r>
          </w:p>
        </w:tc>
      </w:tr>
      <w:tr>
        <w:tc>
          <w:tcPr>
            <w:tcW w:type="dxa" w:w="1905"/>
          </w:tcPr>
          <w:p>
            <w:pPr>
              <w:spacing w:after="20" w:before="20"/>
            </w:pPr>
            <w:r>
              <w:rPr>
                <w:sz w:val="18"/>
                <w:szCs w:val="18"/>
              </w:rPr>
              <w:t xml:space="preserve">I2C0</w:t>
            </w:r>
          </w:p>
        </w:tc>
        <w:tc>
          <w:tcPr>
            <w:tcW w:type="dxa" w:w="2908"/>
          </w:tcPr>
          <w:p>
            <w:pPr>
              <w:spacing w:after="20" w:before="20"/>
            </w:pPr>
            <w:r>
              <w:rPr>
                <w:sz w:val="18"/>
                <w:szCs w:val="18"/>
              </w:rPr>
              <w:t xml:space="preserve">INA226, guard heater</w:t>
            </w:r>
          </w:p>
        </w:tc>
        <w:tc>
          <w:tcPr>
            <w:tcW w:type="dxa" w:w="1605"/>
          </w:tcPr>
          <w:p>
            <w:pPr>
              <w:spacing w:after="20" w:before="20"/>
            </w:pPr>
            <w:r>
              <w:rPr>
                <w:rFonts w:ascii="Consolas" w:hAnsi="Consolas"/>
                <w:sz w:val="17"/>
                <w:szCs w:val="17"/>
              </w:rPr>
              <w:t xml:space="preserve">0x41</w:t>
            </w:r>
          </w:p>
        </w:tc>
        <w:tc>
          <w:tcPr>
            <w:tcW w:type="dxa" w:w="2608"/>
          </w:tcPr>
          <w:p>
            <w:pPr>
              <w:spacing w:after="20" w:before="20"/>
            </w:pPr>
            <w:r>
              <w:rPr>
                <w:sz w:val="18"/>
                <w:szCs w:val="18"/>
              </w:rPr>
              <w:t xml:space="preserve">address pin to supply</w:t>
            </w:r>
          </w:p>
        </w:tc>
      </w:tr>
      <w:tr>
        <w:tc>
          <w:tcPr>
            <w:tcW w:type="dxa" w:w="1905"/>
          </w:tcPr>
          <w:p>
            <w:pPr>
              <w:spacing w:after="20" w:before="20"/>
            </w:pPr>
            <w:r>
              <w:rPr>
                <w:sz w:val="18"/>
                <w:szCs w:val="18"/>
              </w:rPr>
              <w:t xml:space="preserve">I2C0</w:t>
            </w:r>
          </w:p>
        </w:tc>
        <w:tc>
          <w:tcPr>
            <w:tcW w:type="dxa" w:w="2908"/>
          </w:tcPr>
          <w:p>
            <w:pPr>
              <w:spacing w:after="20" w:before="20"/>
            </w:pPr>
            <w:r>
              <w:rPr>
                <w:sz w:val="18"/>
                <w:szCs w:val="18"/>
              </w:rPr>
              <w:t xml:space="preserve">INA3221, fans and pump</w:t>
            </w:r>
          </w:p>
        </w:tc>
        <w:tc>
          <w:tcPr>
            <w:tcW w:type="dxa" w:w="1605"/>
          </w:tcPr>
          <w:p>
            <w:pPr>
              <w:spacing w:after="20" w:before="20"/>
            </w:pPr>
            <w:r>
              <w:rPr>
                <w:rFonts w:ascii="Consolas" w:hAnsi="Consolas"/>
                <w:sz w:val="17"/>
                <w:szCs w:val="17"/>
              </w:rPr>
              <w:t xml:space="preserve">0x43</w:t>
            </w:r>
          </w:p>
        </w:tc>
        <w:tc>
          <w:tcPr>
            <w:tcW w:type="dxa" w:w="2608"/>
          </w:tcPr>
          <w:p>
            <w:pPr>
              <w:spacing w:after="20" w:before="20"/>
            </w:pPr>
            <w:r>
              <w:rPr>
                <w:b/>
                <w:sz w:val="18"/>
                <w:szCs w:val="18"/>
              </w:rPr>
              <w:t xml:space="preserve">address pin to SCL</w:t>
            </w:r>
            <w:r>
              <w:rPr>
                <w:sz w:val="18"/>
                <w:szCs w:val="18"/>
              </w:rPr>
              <w:t xml:space="preserve"> — see below</w:t>
            </w:r>
          </w:p>
        </w:tc>
      </w:tr>
      <w:tr>
        <w:tc>
          <w:tcPr>
            <w:tcW w:type="dxa" w:w="1905"/>
          </w:tcPr>
          <w:p>
            <w:pPr>
              <w:spacing w:after="20" w:before="20"/>
            </w:pPr>
            <w:r>
              <w:rPr>
                <w:sz w:val="18"/>
                <w:szCs w:val="18"/>
              </w:rPr>
              <w:t xml:space="preserve">I2C0</w:t>
            </w:r>
          </w:p>
        </w:tc>
        <w:tc>
          <w:tcPr>
            <w:tcW w:type="dxa" w:w="2908"/>
          </w:tcPr>
          <w:p>
            <w:pPr>
              <w:spacing w:after="20" w:before="20"/>
            </w:pPr>
            <w:r>
              <w:rPr>
                <w:sz w:val="18"/>
                <w:szCs w:val="18"/>
              </w:rPr>
              <w:t xml:space="preserve">board temperature sensor at the MOSFETs</w:t>
            </w:r>
          </w:p>
        </w:tc>
        <w:tc>
          <w:tcPr>
            <w:tcW w:type="dxa" w:w="1605"/>
          </w:tcPr>
          <w:p>
            <w:pPr>
              <w:spacing w:after="20" w:before="20"/>
            </w:pPr>
            <w:r>
              <w:rPr>
                <w:rFonts w:ascii="Consolas" w:hAnsi="Consolas"/>
                <w:sz w:val="17"/>
                <w:szCs w:val="17"/>
              </w:rPr>
              <w:t xml:space="preserve">0x48</w:t>
            </w:r>
          </w:p>
        </w:tc>
        <w:tc>
          <w:tcPr>
            <w:tcW w:type="dxa" w:w="2608"/>
          </w:tcPr>
          <w:p>
            <w:pPr>
              <w:spacing w:after="20" w:before="20"/>
            </w:pPr>
            <w:r>
              <w:rPr>
                <w:sz w:val="18"/>
                <w:szCs w:val="18"/>
              </w:rPr>
              <w:t xml:space="preserve">address pin to ground</w:t>
            </w:r>
          </w:p>
        </w:tc>
      </w:tr>
      <w:tr>
        <w:tc>
          <w:tcPr>
            <w:tcW w:type="dxa" w:w="1905"/>
          </w:tcPr>
          <w:p>
            <w:pPr>
              <w:spacing w:after="20" w:before="20"/>
            </w:pPr>
            <w:r>
              <w:rPr>
                <w:sz w:val="18"/>
                <w:szCs w:val="18"/>
              </w:rPr>
              <w:t xml:space="preserve">I2C1 — off-board</w:t>
            </w:r>
          </w:p>
        </w:tc>
        <w:tc>
          <w:tcPr>
            <w:tcW w:type="dxa" w:w="2908"/>
          </w:tcPr>
          <w:p>
            <w:pPr>
              <w:spacing w:after="20" w:before="20"/>
            </w:pPr>
            <w:r>
              <w:rPr>
                <w:sz w:val="18"/>
                <w:szCs w:val="18"/>
              </w:rPr>
              <w:t xml:space="preserve">TCA9548A multiplexer</w:t>
            </w:r>
          </w:p>
        </w:tc>
        <w:tc>
          <w:tcPr>
            <w:tcW w:type="dxa" w:w="1605"/>
          </w:tcPr>
          <w:p>
            <w:pPr>
              <w:spacing w:after="20" w:before="20"/>
            </w:pPr>
            <w:r>
              <w:rPr>
                <w:rFonts w:ascii="Consolas" w:hAnsi="Consolas"/>
                <w:sz w:val="17"/>
                <w:szCs w:val="17"/>
              </w:rPr>
              <w:t xml:space="preserve">0x70</w:t>
            </w:r>
          </w:p>
        </w:tc>
        <w:tc>
          <w:tcPr>
            <w:tcW w:type="dxa" w:w="2608"/>
          </w:tcPr>
          <w:p>
            <w:pPr>
              <w:spacing w:after="20" w:before="20"/>
            </w:pPr>
            <w:r>
              <w:rPr>
                <w:sz w:val="18"/>
                <w:szCs w:val="18"/>
              </w:rPr>
              <w:t xml:space="preserve">all three address pins to ground</w:t>
            </w:r>
          </w:p>
        </w:tc>
      </w:tr>
      <w:tr>
        <w:tc>
          <w:tcPr>
            <w:tcW w:type="dxa" w:w="1905"/>
          </w:tcPr>
          <w:p>
            <w:pPr>
              <w:spacing w:after="20" w:before="20"/>
            </w:pPr>
            <w:r>
              <w:rPr>
                <w:sz w:val="18"/>
                <w:szCs w:val="18"/>
              </w:rPr>
              <w:t xml:space="preserve">I2C1, behind the multiplexer</w:t>
            </w:r>
          </w:p>
        </w:tc>
        <w:tc>
          <w:tcPr>
            <w:tcW w:type="dxa" w:w="2908"/>
          </w:tcPr>
          <w:p>
            <w:pPr>
              <w:spacing w:after="20" w:before="20"/>
            </w:pPr>
            <w:r>
              <w:rPr>
                <w:sz w:val="18"/>
                <w:szCs w:val="18"/>
              </w:rPr>
              <w:t xml:space="preserve">TMP117 chamber array</w:t>
            </w:r>
          </w:p>
        </w:tc>
        <w:tc>
          <w:tcPr>
            <w:tcW w:type="dxa" w:w="1605"/>
          </w:tcPr>
          <w:p>
            <w:pPr>
              <w:spacing w:after="20" w:before="20"/>
            </w:pPr>
            <w:r>
              <w:rPr>
                <w:rFonts w:ascii="Consolas" w:hAnsi="Consolas"/>
                <w:sz w:val="17"/>
                <w:szCs w:val="17"/>
              </w:rPr>
              <w:t xml:space="preserve">0x48</w:t>
            </w:r>
            <w:r>
              <w:rPr>
                <w:sz w:val="18"/>
                <w:szCs w:val="18"/>
              </w:rPr>
              <w:t xml:space="preserve">–</w:t>
            </w:r>
            <w:r>
              <w:rPr>
                <w:rFonts w:ascii="Consolas" w:hAnsi="Consolas"/>
                <w:sz w:val="17"/>
                <w:szCs w:val="17"/>
              </w:rPr>
              <w:t xml:space="preserve">0x4B</w:t>
            </w:r>
            <w:r>
              <w:rPr>
                <w:sz w:val="18"/>
                <w:szCs w:val="18"/>
              </w:rPr>
              <w:t xml:space="preserve"> per channel</w:t>
            </w:r>
          </w:p>
        </w:tc>
        <w:tc>
          <w:tcPr>
            <w:tcW w:type="dxa" w:w="2608"/>
          </w:tcPr>
          <w:p>
            <w:pPr>
              <w:spacing w:after="20" w:before="20"/>
            </w:pPr>
            <w:r>
              <w:rPr>
                <w:sz w:val="18"/>
                <w:szCs w:val="18"/>
              </w:rPr>
              <w:t xml:space="preserve">four addresses per multiplexer leg — which is why the multiplexer is necessary rather than convenient</w:t>
            </w:r>
          </w:p>
        </w:tc>
      </w:tr>
    </w:tbl>
    <w:p>
      <w:pPr>
        <w:spacing w:before="60" w:after="200"/>
        <w:jc w:val="left"/>
      </w:pPr>
      <w:r>
        <w:rPr>
          <w:sz w:val="18"/>
          <w:szCs w:val="18"/>
        </w:rPr>
        <w:t xml:space="preserve">Table 36. The I²C address plan. The INA226 and the INA3221 both default to </w:t>
      </w:r>
      <w:r>
        <w:rPr>
          <w:rFonts w:ascii="Consolas" w:hAnsi="Consolas"/>
          <w:sz w:val="17"/>
          <w:szCs w:val="17"/>
        </w:rPr>
        <w:t xml:space="preserve">0x40</w:t>
      </w:r>
      <w:r>
        <w:rPr>
          <w:sz w:val="18"/>
          <w:szCs w:val="18"/>
        </w:rPr>
        <w:t xml:space="preserve">, which is the only reason the INA3221's address pin goes to SCL rather than to ground.</w:t>
      </w:r>
    </w:p>
    <w:p>
      <w:pPr>
        <w:spacing w:after="120"/>
      </w:pPr>
      <w:r>
        <w:rPr>
          <w:b/>
        </w:rPr>
        <w:t xml:space="preserve">Two buses rather than one is a deliberate 2-pin expense.</w:t>
      </w:r>
      <w:r>
        <w:t xml:space="preserve"> I2C0 carries the heater current telemetry, which is the feedback the control loop and the safety logic run on. I2C1 leaves the board on handled cable into a hot chamber. Keeping them separate means a shorted probe lead cannot take the power monitoring down with it — and the pins were available. As a bonus, GPIO41 and GPIO42 are JTAG pads that idle high at boot, which is the I²C idle state anyway.</w:t>
      </w:r>
    </w:p>
    <w:p>
      <w:pPr>
        <w:pStyle w:val="Heading3"/>
      </w:pPr>
      <w:r>
        <w:t xml:space="preserve">Peripheral resource check</w:t>
      </w:r>
    </w:p>
    <w:p>
      <w:pPr>
        <w:spacing w:after="120"/>
      </w:pPr>
      <w:r>
        <w:t xml:space="preserve">Pins are not the only finite resource; the peripherals behind them are too, and this design fills one of them exactly.</w:t>
      </w:r>
    </w:p>
    <w:tbl>
      <w:tblPr>
        <w:tblStyle w:val="TableGrid"/>
        <w:tblW w:type="auto" w:w="0"/>
        <w:jc w:val="center"/>
        <w:tblLayout w:type="fixed"/>
        <w:tblLook w:firstColumn="1" w:firstRow="1" w:lastColumn="0" w:lastRow="0" w:noHBand="0" w:noVBand="1" w:val="04A0"/>
      </w:tblPr>
      <w:tblGrid>
        <w:gridCol w:w="1605"/>
        <w:gridCol w:w="2608"/>
        <w:gridCol w:w="2407"/>
        <w:gridCol w:w="2406"/>
      </w:tblGrid>
      <w:tr>
        <w:trPr>
          <w:tblHeader w:val="true"/>
        </w:trPr>
        <w:tc>
          <w:tcPr>
            <w:tcW w:type="dxa" w:w="1605"/>
            <w:shd w:val="clear" w:color="auto" w:fill="DEEAF6"/>
          </w:tcPr>
          <w:p>
            <w:pPr>
              <w:spacing w:after="20" w:before="20"/>
            </w:pPr>
            <w:r>
              <w:rPr>
                <w:b/>
                <w:sz w:val="18"/>
                <w:szCs w:val="18"/>
              </w:rPr>
              <w:t xml:space="preserve">Resource</w:t>
            </w:r>
          </w:p>
        </w:tc>
        <w:tc>
          <w:tcPr>
            <w:tcW w:type="dxa" w:w="2608"/>
            <w:shd w:val="clear" w:color="auto" w:fill="DEEAF6"/>
          </w:tcPr>
          <w:p>
            <w:pPr>
              <w:spacing w:after="20" w:before="20"/>
            </w:pPr>
            <w:r>
              <w:rPr>
                <w:b/>
                <w:sz w:val="18"/>
                <w:szCs w:val="18"/>
              </w:rPr>
              <w:t xml:space="preserve">Needed</w:t>
            </w:r>
          </w:p>
        </w:tc>
        <w:tc>
          <w:tcPr>
            <w:tcW w:type="dxa" w:w="2407"/>
            <w:shd w:val="clear" w:color="auto" w:fill="DEEAF6"/>
          </w:tcPr>
          <w:p>
            <w:pPr>
              <w:spacing w:after="20" w:before="20"/>
            </w:pPr>
            <w:r>
              <w:rPr>
                <w:b/>
                <w:sz w:val="18"/>
                <w:szCs w:val="18"/>
              </w:rPr>
              <w:t xml:space="preserve">Available</w:t>
            </w:r>
          </w:p>
        </w:tc>
        <w:tc>
          <w:tcPr>
            <w:tcW w:type="dxa" w:w="2406"/>
            <w:shd w:val="clear" w:color="auto" w:fill="DEEAF6"/>
          </w:tcPr>
          <w:p>
            <w:pPr>
              <w:spacing w:after="20" w:before="20"/>
            </w:pPr>
            <w:r>
              <w:rPr>
                <w:b/>
                <w:sz w:val="18"/>
                <w:szCs w:val="18"/>
              </w:rPr>
              <w:t xml:space="preserve">Verdict</w:t>
            </w:r>
          </w:p>
        </w:tc>
      </w:tr>
      <w:tr>
        <w:tc>
          <w:tcPr>
            <w:tcW w:type="dxa" w:w="1605"/>
          </w:tcPr>
          <w:p>
            <w:pPr>
              <w:spacing w:after="20" w:before="20"/>
            </w:pPr>
            <w:r>
              <w:rPr>
                <w:sz w:val="18"/>
                <w:szCs w:val="18"/>
              </w:rPr>
              <w:t xml:space="preserve">LEDC channels</w:t>
            </w:r>
          </w:p>
        </w:tc>
        <w:tc>
          <w:tcPr>
            <w:tcW w:type="dxa" w:w="2608"/>
          </w:tcPr>
          <w:p>
            <w:pPr>
              <w:spacing w:after="20" w:before="20"/>
            </w:pPr>
            <w:r>
              <w:rPr>
                <w:sz w:val="18"/>
                <w:szCs w:val="18"/>
              </w:rPr>
              <w:t xml:space="preserve">5 — two heaters, three fans</w:t>
            </w:r>
          </w:p>
        </w:tc>
        <w:tc>
          <w:tcPr>
            <w:tcW w:type="dxa" w:w="2407"/>
          </w:tcPr>
          <w:p>
            <w:pPr>
              <w:spacing w:after="20" w:before="20"/>
            </w:pPr>
            <w:r>
              <w:rPr>
                <w:sz w:val="18"/>
                <w:szCs w:val="18"/>
              </w:rPr>
              <w:t xml:space="preserve">8 (low-speed mode on this part)</w:t>
            </w:r>
          </w:p>
        </w:tc>
        <w:tc>
          <w:tcPr>
            <w:tcW w:type="dxa" w:w="2406"/>
          </w:tcPr>
          <w:p>
            <w:pPr>
              <w:spacing w:after="20" w:before="20"/>
            </w:pPr>
            <w:r>
              <w:rPr>
                <w:sz w:val="18"/>
                <w:szCs w:val="18"/>
              </w:rPr>
              <w:t xml:space="preserve">fits</w:t>
            </w:r>
          </w:p>
        </w:tc>
      </w:tr>
      <w:tr>
        <w:tc>
          <w:tcPr>
            <w:tcW w:type="dxa" w:w="1605"/>
          </w:tcPr>
          <w:p>
            <w:pPr>
              <w:spacing w:after="20" w:before="20"/>
            </w:pPr>
            <w:r>
              <w:rPr>
                <w:sz w:val="18"/>
                <w:szCs w:val="18"/>
              </w:rPr>
              <w:t xml:space="preserve">LEDC timers</w:t>
            </w:r>
          </w:p>
        </w:tc>
        <w:tc>
          <w:tcPr>
            <w:tcW w:type="dxa" w:w="2608"/>
          </w:tcPr>
          <w:p>
            <w:pPr>
              <w:spacing w:after="20" w:before="20"/>
            </w:pPr>
            <w:r>
              <w:rPr>
                <w:sz w:val="18"/>
                <w:szCs w:val="18"/>
              </w:rPr>
              <w:t xml:space="preserve">2 — one heater rate, one 25 kHz fan rate</w:t>
            </w:r>
          </w:p>
        </w:tc>
        <w:tc>
          <w:tcPr>
            <w:tcW w:type="dxa" w:w="2407"/>
          </w:tcPr>
          <w:p>
            <w:pPr>
              <w:spacing w:after="20" w:before="20"/>
            </w:pPr>
            <w:r>
              <w:rPr>
                <w:sz w:val="18"/>
                <w:szCs w:val="18"/>
              </w:rPr>
              <w:t xml:space="preserve">4</w:t>
            </w:r>
          </w:p>
        </w:tc>
        <w:tc>
          <w:tcPr>
            <w:tcW w:type="dxa" w:w="2406"/>
          </w:tcPr>
          <w:p>
            <w:pPr>
              <w:spacing w:after="20" w:before="20"/>
            </w:pPr>
            <w:r>
              <w:rPr>
                <w:sz w:val="18"/>
                <w:szCs w:val="18"/>
              </w:rPr>
              <w:t xml:space="preserve">fits</w:t>
            </w:r>
          </w:p>
        </w:tc>
      </w:tr>
      <w:tr>
        <w:tc>
          <w:tcPr>
            <w:tcW w:type="dxa" w:w="1605"/>
          </w:tcPr>
          <w:p>
            <w:pPr>
              <w:spacing w:after="20" w:before="20"/>
            </w:pPr>
            <w:r>
              <w:rPr>
                <w:sz w:val="18"/>
                <w:szCs w:val="18"/>
              </w:rPr>
              <w:t xml:space="preserve">SPI host</w:t>
            </w:r>
          </w:p>
        </w:tc>
        <w:tc>
          <w:tcPr>
            <w:tcW w:type="dxa" w:w="2608"/>
          </w:tcPr>
          <w:p>
            <w:pPr>
              <w:spacing w:after="20" w:before="20"/>
            </w:pPr>
            <w:r>
              <w:rPr>
                <w:sz w:val="18"/>
                <w:szCs w:val="18"/>
              </w:rPr>
              <w:t xml:space="preserve">1 host, 3 devices</w:t>
            </w:r>
          </w:p>
        </w:tc>
        <w:tc>
          <w:tcPr>
            <w:tcW w:type="dxa" w:w="2407"/>
          </w:tcPr>
          <w:p>
            <w:pPr>
              <w:spacing w:after="20" w:before="20"/>
            </w:pPr>
            <w:r>
              <w:rPr>
                <w:sz w:val="18"/>
                <w:szCs w:val="18"/>
              </w:rPr>
              <w:t xml:space="preserve">2</w:t>
            </w:r>
          </w:p>
        </w:tc>
        <w:tc>
          <w:tcPr>
            <w:tcW w:type="dxa" w:w="2406"/>
          </w:tcPr>
          <w:p>
            <w:pPr>
              <w:spacing w:after="20" w:before="20"/>
            </w:pPr>
            <w:r>
              <w:rPr>
                <w:sz w:val="18"/>
                <w:szCs w:val="18"/>
              </w:rPr>
              <w:t xml:space="preserve">fits</w:t>
            </w:r>
          </w:p>
        </w:tc>
      </w:tr>
      <w:tr>
        <w:tc>
          <w:tcPr>
            <w:tcW w:type="dxa" w:w="1605"/>
          </w:tcPr>
          <w:p>
            <w:pPr>
              <w:spacing w:after="20" w:before="20"/>
            </w:pPr>
            <w:r>
              <w:rPr>
                <w:sz w:val="18"/>
                <w:szCs w:val="18"/>
              </w:rPr>
              <w:t xml:space="preserve">I²C controllers</w:t>
            </w:r>
          </w:p>
        </w:tc>
        <w:tc>
          <w:tcPr>
            <w:tcW w:type="dxa" w:w="2608"/>
          </w:tcPr>
          <w:p>
            <w:pPr>
              <w:spacing w:after="20" w:before="20"/>
            </w:pPr>
            <w:r>
              <w:rPr>
                <w:sz w:val="18"/>
                <w:szCs w:val="18"/>
              </w:rPr>
              <w:t xml:space="preserve">2</w:t>
            </w:r>
          </w:p>
        </w:tc>
        <w:tc>
          <w:tcPr>
            <w:tcW w:type="dxa" w:w="2407"/>
          </w:tcPr>
          <w:p>
            <w:pPr>
              <w:spacing w:after="20" w:before="20"/>
            </w:pPr>
            <w:r>
              <w:rPr>
                <w:sz w:val="18"/>
                <w:szCs w:val="18"/>
              </w:rPr>
              <w:t xml:space="preserve">2</w:t>
            </w:r>
          </w:p>
        </w:tc>
        <w:tc>
          <w:tcPr>
            <w:tcW w:type="dxa" w:w="2406"/>
          </w:tcPr>
          <w:p>
            <w:pPr>
              <w:spacing w:after="20" w:before="20"/>
            </w:pPr>
            <w:r>
              <w:rPr>
                <w:b/>
                <w:sz w:val="18"/>
                <w:szCs w:val="18"/>
              </w:rPr>
              <w:t xml:space="preserve">exactly full</w:t>
            </w:r>
          </w:p>
        </w:tc>
      </w:tr>
      <w:tr>
        <w:tc>
          <w:tcPr>
            <w:tcW w:type="dxa" w:w="1605"/>
          </w:tcPr>
          <w:p>
            <w:pPr>
              <w:spacing w:after="20" w:before="20"/>
            </w:pPr>
            <w:r>
              <w:rPr>
                <w:sz w:val="18"/>
                <w:szCs w:val="18"/>
              </w:rPr>
              <w:t xml:space="preserve">Pulse inputs</w:t>
            </w:r>
          </w:p>
        </w:tc>
        <w:tc>
          <w:tcPr>
            <w:tcW w:type="dxa" w:w="2608"/>
          </w:tcPr>
          <w:p>
            <w:pPr>
              <w:spacing w:after="20" w:before="20"/>
            </w:pPr>
            <w:r>
              <w:rPr>
                <w:sz w:val="18"/>
                <w:szCs w:val="18"/>
              </w:rPr>
              <w:t xml:space="preserve">4 — three tachometers and the flow sensor</w:t>
            </w:r>
          </w:p>
        </w:tc>
        <w:tc>
          <w:tcPr>
            <w:tcW w:type="dxa" w:w="2407"/>
          </w:tcPr>
          <w:p>
            <w:pPr>
              <w:spacing w:after="20" w:before="20"/>
            </w:pPr>
            <w:r>
              <w:rPr>
                <w:sz w:val="18"/>
                <w:szCs w:val="18"/>
              </w:rPr>
              <w:t xml:space="preserve">pulse-counter units, or plain GPIO interrupts</w:t>
            </w:r>
          </w:p>
        </w:tc>
        <w:tc>
          <w:tcPr>
            <w:tcW w:type="dxa" w:w="2406"/>
          </w:tcPr>
          <w:p>
            <w:pPr>
              <w:spacing w:after="20" w:before="20"/>
            </w:pPr>
            <w:r>
              <w:rPr>
                <w:sz w:val="18"/>
                <w:szCs w:val="18"/>
              </w:rPr>
              <w:t xml:space="preserve">fits — a tachometer is ≈ 60 Hz at 1800 rpm, which an interrupt handles without consuming a counter unit</w:t>
            </w:r>
          </w:p>
        </w:tc>
      </w:tr>
      <w:tr>
        <w:tc>
          <w:tcPr>
            <w:tcW w:type="dxa" w:w="1605"/>
          </w:tcPr>
          <w:p>
            <w:pPr>
              <w:spacing w:after="20" w:before="20"/>
            </w:pPr>
            <w:r>
              <w:rPr>
                <w:sz w:val="18"/>
                <w:szCs w:val="18"/>
              </w:rPr>
              <w:t xml:space="preserve">UART</w:t>
            </w:r>
          </w:p>
        </w:tc>
        <w:tc>
          <w:tcPr>
            <w:tcW w:type="dxa" w:w="2608"/>
          </w:tcPr>
          <w:p>
            <w:pPr>
              <w:spacing w:after="20" w:before="20"/>
            </w:pPr>
            <w:r>
              <w:rPr>
                <w:sz w:val="18"/>
                <w:szCs w:val="18"/>
              </w:rPr>
              <w:t xml:space="preserve">none beyond the console</w:t>
            </w:r>
          </w:p>
        </w:tc>
        <w:tc>
          <w:tcPr>
            <w:tcW w:type="dxa" w:w="2407"/>
          </w:tcPr>
          <w:p>
            <w:pPr>
              <w:spacing w:after="20" w:before="20"/>
            </w:pPr>
            <w:r>
              <w:rPr>
                <w:sz w:val="18"/>
                <w:szCs w:val="18"/>
              </w:rPr>
              <w:t xml:space="preserve">console plus two spare</w:t>
            </w:r>
          </w:p>
        </w:tc>
        <w:tc>
          <w:tcPr>
            <w:tcW w:type="dxa" w:w="2406"/>
          </w:tcPr>
          <w:p>
            <w:pPr>
              <w:spacing w:after="20" w:before="20"/>
            </w:pPr>
            <w:r>
              <w:rPr>
                <w:sz w:val="18"/>
                <w:szCs w:val="18"/>
              </w:rPr>
              <w:t xml:space="preserve">fits</w:t>
            </w:r>
          </w:p>
        </w:tc>
      </w:tr>
    </w:tbl>
    <w:p>
      <w:pPr>
        <w:spacing w:before="60" w:after="200"/>
        <w:jc w:val="left"/>
      </w:pPr>
      <w:r>
        <w:rPr>
          <w:sz w:val="18"/>
          <w:szCs w:val="18"/>
        </w:rPr>
        <w:t xml:space="preserve">Table 37. Peripheral resource check. The I²C row is the one with no margin, which is the cost of the two-bus decision above.</w:t>
      </w:r>
    </w:p>
    <w:p>
      <w:pPr>
        <w:pStyle w:val="Heading3"/>
      </w:pPr>
      <w:r>
        <w:t xml:space="preserve">If more pins are needed later</w:t>
      </w:r>
    </w:p>
    <w:p>
      <w:pPr>
        <w:spacing w:after="120"/>
      </w:pPr>
      <w:r>
        <w:t xml:space="preserve">Nothing in the current scope needs more than the twenty-three usable pins, but the scope did grow once — the firmware's three-screen panel of §9.13 has no home on this board, and an SPI display needs three more pins. Four levers exist — one worth a pin, three worth two each — and together they would take the usable count to thirty.</w:t>
      </w:r>
    </w:p>
    <w:tbl>
      <w:tblPr>
        <w:tblStyle w:val="TableGrid"/>
        <w:tblW w:type="auto" w:w="0"/>
        <w:jc w:val="center"/>
        <w:tblLayout w:type="fixed"/>
        <w:tblLook w:firstColumn="1" w:firstRow="1" w:lastColumn="0" w:lastRow="0" w:noHBand="0" w:noVBand="1" w:val="04A0"/>
      </w:tblPr>
      <w:tblGrid>
        <w:gridCol w:w="3410"/>
        <w:gridCol w:w="802"/>
        <w:gridCol w:w="4814"/>
      </w:tblGrid>
      <w:tr>
        <w:trPr>
          <w:tblHeader w:val="true"/>
        </w:trPr>
        <w:tc>
          <w:tcPr>
            <w:tcW w:type="dxa" w:w="3410"/>
            <w:shd w:val="clear" w:color="auto" w:fill="DEEAF6"/>
          </w:tcPr>
          <w:p>
            <w:pPr>
              <w:spacing w:after="20" w:before="20"/>
            </w:pPr>
            <w:r>
              <w:rPr>
                <w:b/>
                <w:sz w:val="18"/>
                <w:szCs w:val="18"/>
              </w:rPr>
              <w:t xml:space="preserve">Lever</w:t>
            </w:r>
          </w:p>
        </w:tc>
        <w:tc>
          <w:tcPr>
            <w:tcW w:type="dxa" w:w="802"/>
            <w:shd w:val="clear" w:color="auto" w:fill="DEEAF6"/>
          </w:tcPr>
          <w:p>
            <w:pPr>
              <w:spacing w:after="20" w:before="20"/>
            </w:pPr>
            <w:r>
              <w:rPr>
                <w:b/>
                <w:sz w:val="18"/>
                <w:szCs w:val="18"/>
              </w:rPr>
              <w:t xml:space="preserve">Gain</w:t>
            </w:r>
          </w:p>
        </w:tc>
        <w:tc>
          <w:tcPr>
            <w:tcW w:type="dxa" w:w="4814"/>
            <w:shd w:val="clear" w:color="auto" w:fill="DEEAF6"/>
          </w:tcPr>
          <w:p>
            <w:pPr>
              <w:spacing w:after="20" w:before="20"/>
            </w:pPr>
            <w:r>
              <w:rPr>
                <w:b/>
                <w:sz w:val="18"/>
                <w:szCs w:val="18"/>
              </w:rPr>
              <w:t xml:space="preserve">What it costs</w:t>
            </w:r>
          </w:p>
        </w:tc>
      </w:tr>
      <w:tr>
        <w:tc>
          <w:tcPr>
            <w:tcW w:type="dxa" w:w="3410"/>
          </w:tcPr>
          <w:p>
            <w:pPr>
              <w:spacing w:after="20" w:before="20"/>
            </w:pPr>
            <w:r>
              <w:rPr>
                <w:sz w:val="18"/>
                <w:szCs w:val="18"/>
              </w:rPr>
              <w:t xml:space="preserve">Use whichever RGB-LED pin the board revision in hand does not (GPIO48 on v1.1, GPIO38 on v1.0)</w:t>
            </w:r>
          </w:p>
        </w:tc>
        <w:tc>
          <w:tcPr>
            <w:tcW w:type="dxa" w:w="802"/>
          </w:tcPr>
          <w:p>
            <w:pPr>
              <w:spacing w:after="20" w:before="20"/>
            </w:pPr>
            <w:r>
              <w:rPr>
                <w:sz w:val="18"/>
                <w:szCs w:val="18"/>
              </w:rPr>
              <w:t xml:space="preserve">+1</w:t>
            </w:r>
          </w:p>
        </w:tc>
        <w:tc>
          <w:tcPr>
            <w:tcW w:type="dxa" w:w="4814"/>
          </w:tcPr>
          <w:p>
            <w:pPr>
              <w:spacing w:after="20" w:before="20"/>
            </w:pPr>
            <w:r>
              <w:rPr>
                <w:sz w:val="18"/>
                <w:szCs w:val="18"/>
              </w:rPr>
              <w:t xml:space="preserve">ties the design to one development-board revision</w:t>
            </w:r>
          </w:p>
        </w:tc>
      </w:tr>
      <w:tr>
        <w:tc>
          <w:tcPr>
            <w:tcW w:type="dxa" w:w="3410"/>
          </w:tcPr>
          <w:p>
            <w:pPr>
              <w:spacing w:after="20" w:before="20"/>
            </w:pPr>
            <w:r>
              <w:rPr>
                <w:sz w:val="18"/>
                <w:szCs w:val="18"/>
              </w:rPr>
              <w:t xml:space="preserve">Drive the pump over SPI only — the driver has an on-chip ramp generator — and drop STEP and DIR</w:t>
            </w:r>
          </w:p>
        </w:tc>
        <w:tc>
          <w:tcPr>
            <w:tcW w:type="dxa" w:w="802"/>
          </w:tcPr>
          <w:p>
            <w:pPr>
              <w:spacing w:after="20" w:before="20"/>
            </w:pPr>
            <w:r>
              <w:rPr>
                <w:sz w:val="18"/>
                <w:szCs w:val="18"/>
              </w:rPr>
              <w:t xml:space="preserve">+2</w:t>
            </w:r>
          </w:p>
        </w:tc>
        <w:tc>
          <w:tcPr>
            <w:tcW w:type="dxa" w:w="4814"/>
          </w:tcPr>
          <w:p>
            <w:pPr>
              <w:spacing w:after="20" w:before="20"/>
            </w:pPr>
            <w:r>
              <w:rPr>
                <w:sz w:val="18"/>
                <w:szCs w:val="18"/>
              </w:rPr>
              <w:t xml:space="preserve">motion timing moves from hardware pulses to SPI writes. </w:t>
            </w:r>
            <w:r>
              <w:rPr>
                <w:b/>
                <w:sz w:val="18"/>
                <w:szCs w:val="18"/>
              </w:rPr>
              <w:t xml:space="preserve">The cheapest of the four</w:t>
            </w:r>
            <w:r>
              <w:rPr>
                <w:sz w:val="18"/>
                <w:szCs w:val="18"/>
              </w:rPr>
              <w:t xml:space="preserve"> for a display, since the flow command is slow</w:t>
            </w:r>
          </w:p>
        </w:tc>
      </w:tr>
      <w:tr>
        <w:tc>
          <w:tcPr>
            <w:tcW w:type="dxa" w:w="3410"/>
          </w:tcPr>
          <w:p>
            <w:pPr>
              <w:spacing w:after="20" w:before="20"/>
            </w:pPr>
            <w:r>
              <w:rPr>
                <w:sz w:val="18"/>
                <w:szCs w:val="18"/>
              </w:rPr>
              <w:t xml:space="preserve">Collapse to a single I²C bus</w:t>
            </w:r>
          </w:p>
        </w:tc>
        <w:tc>
          <w:tcPr>
            <w:tcW w:type="dxa" w:w="802"/>
          </w:tcPr>
          <w:p>
            <w:pPr>
              <w:spacing w:after="20" w:before="20"/>
            </w:pPr>
            <w:r>
              <w:rPr>
                <w:sz w:val="18"/>
                <w:szCs w:val="18"/>
              </w:rPr>
              <w:t xml:space="preserve">+2</w:t>
            </w:r>
          </w:p>
        </w:tc>
        <w:tc>
          <w:tcPr>
            <w:tcW w:type="dxa" w:w="4814"/>
          </w:tcPr>
          <w:p>
            <w:pPr>
              <w:spacing w:after="20" w:before="20"/>
            </w:pPr>
            <w:r>
              <w:rPr>
                <w:sz w:val="18"/>
                <w:szCs w:val="18"/>
              </w:rPr>
              <w:t xml:space="preserve">a chamber-cable fault takes the power telemetry down with it — the exact failure the split was bought to prevent</w:t>
            </w:r>
          </w:p>
        </w:tc>
      </w:tr>
      <w:tr>
        <w:tc>
          <w:tcPr>
            <w:tcW w:type="dxa" w:w="3410"/>
          </w:tcPr>
          <w:p>
            <w:pPr>
              <w:spacing w:after="20" w:before="20"/>
            </w:pPr>
            <w:r>
              <w:rPr>
                <w:sz w:val="18"/>
                <w:szCs w:val="18"/>
              </w:rPr>
              <w:t xml:space="preserve">Give up native USB and reclaim GPIO19/20</w:t>
            </w:r>
          </w:p>
        </w:tc>
        <w:tc>
          <w:tcPr>
            <w:tcW w:type="dxa" w:w="802"/>
          </w:tcPr>
          <w:p>
            <w:pPr>
              <w:spacing w:after="20" w:before="20"/>
            </w:pPr>
            <w:r>
              <w:rPr>
                <w:sz w:val="18"/>
                <w:szCs w:val="18"/>
              </w:rPr>
              <w:t xml:space="preserve">+2</w:t>
            </w:r>
          </w:p>
        </w:tc>
        <w:tc>
          <w:tcPr>
            <w:tcW w:type="dxa" w:w="4814"/>
          </w:tcPr>
          <w:p>
            <w:pPr>
              <w:spacing w:after="20" w:before="20"/>
            </w:pPr>
            <w:r>
              <w:rPr>
                <w:sz w:val="18"/>
                <w:szCs w:val="18"/>
              </w:rPr>
              <w:t xml:space="preserve">loses USB-CDC and USB-JTAG; the on-board UART bridge still flashes and consoles fine</w:t>
            </w:r>
          </w:p>
        </w:tc>
      </w:tr>
    </w:tbl>
    <w:p>
      <w:pPr>
        <w:spacing w:before="60" w:after="200"/>
        <w:jc w:val="left"/>
      </w:pPr>
      <w:r>
        <w:rPr>
          <w:sz w:val="18"/>
          <w:szCs w:val="18"/>
        </w:rPr>
        <w:t xml:space="preserve">Table 38. Levers to free more pins, in the order they should be considered.</w:t>
      </w:r>
    </w:p>
    <w:p>
      <w:pPr>
        <w:pStyle w:val="Heading2"/>
      </w:pPr>
      <w:r>
        <w:t xml:space="preserve">What was not done, and what is open</w:t>
      </w:r>
    </w:p>
    <w:p>
      <w:pPr>
        <w:spacing w:after="120"/>
      </w:pPr>
      <w:r>
        <w:t xml:space="preserve">The design stops at the point where a schematic would begin. Stated plainly, so that no part of this section is mistaken for a built board: </w:t>
      </w:r>
      <w:r>
        <w:rPr>
          <w:b/>
        </w:rPr>
        <w:t xml:space="preserve">there is no schematic capture, no layout, no fabrication and no assembly.</w:t>
      </w:r>
      <w:r>
        <w:t xml:space="preserve"> Nothing in this section has been measured, and no part in Table 32 has been bought.</w:t>
      </w:r>
    </w:p>
    <w:p>
      <w:pPr>
        <w:spacing w:after="120"/>
      </w:pPr>
      <w:r>
        <w:t xml:space="preserve">What does exist is a design that is complete enough to draw from: both rails budgeted from the loads up, a protection scheme with a stated reason for every part </w:t>
      </w:r>
      <w:r>
        <w:rPr>
          <w:b/>
        </w:rPr>
        <w:t xml:space="preserve">and for every part deliberately absent</w:t>
      </w:r>
      <w:r>
        <w:t xml:space="preserve">, a component list checked for footprint, stock and sizing, and a pin assignment that the firmware has already been built against. The items below are what a schematic pass would have to close first.</w:t>
      </w:r>
    </w:p>
    <w:tbl>
      <w:tblPr>
        <w:tblStyle w:val="TableGrid"/>
        <w:tblW w:type="auto" w:w="0"/>
        <w:jc w:val="center"/>
        <w:tblLayout w:type="fixed"/>
        <w:tblLook w:firstColumn="1" w:firstRow="1" w:lastColumn="0" w:lastRow="0" w:noHBand="0" w:noVBand="1" w:val="04A0"/>
      </w:tblPr>
      <w:tblGrid>
        <w:gridCol w:w="501"/>
        <w:gridCol w:w="2507"/>
        <w:gridCol w:w="6018"/>
      </w:tblGrid>
      <w:tr>
        <w:trPr>
          <w:tblHeader w:val="true"/>
        </w:trPr>
        <w:tc>
          <w:tcPr>
            <w:tcW w:type="dxa" w:w="501"/>
            <w:shd w:val="clear" w:color="auto" w:fill="DEEAF6"/>
          </w:tcPr>
          <w:p>
            <w:pPr>
              <w:spacing w:after="20" w:before="20"/>
            </w:pPr>
            <w:r>
              <w:rPr>
                <w:b/>
                <w:sz w:val="18"/>
                <w:szCs w:val="18"/>
              </w:rPr>
              <w:t xml:space="preserve">#</w:t>
            </w:r>
          </w:p>
        </w:tc>
        <w:tc>
          <w:tcPr>
            <w:tcW w:type="dxa" w:w="2507"/>
            <w:shd w:val="clear" w:color="auto" w:fill="DEEAF6"/>
          </w:tcPr>
          <w:p>
            <w:pPr>
              <w:spacing w:after="20" w:before="20"/>
            </w:pPr>
            <w:r>
              <w:rPr>
                <w:b/>
                <w:sz w:val="18"/>
                <w:szCs w:val="18"/>
              </w:rPr>
              <w:t xml:space="preserve">Item</w:t>
            </w:r>
          </w:p>
        </w:tc>
        <w:tc>
          <w:tcPr>
            <w:tcW w:type="dxa" w:w="6018"/>
            <w:shd w:val="clear" w:color="auto" w:fill="DEEAF6"/>
          </w:tcPr>
          <w:p>
            <w:pPr>
              <w:spacing w:after="20" w:before="20"/>
            </w:pPr>
            <w:r>
              <w:rPr>
                <w:b/>
                <w:sz w:val="18"/>
                <w:szCs w:val="18"/>
              </w:rPr>
              <w:t xml:space="preserve">Why it matters</w:t>
            </w:r>
          </w:p>
        </w:tc>
      </w:tr>
      <w:tr>
        <w:tc>
          <w:tcPr>
            <w:tcW w:type="dxa" w:w="501"/>
          </w:tcPr>
          <w:p>
            <w:pPr>
              <w:spacing w:after="20" w:before="20"/>
            </w:pPr>
            <w:r>
              <w:rPr>
                <w:sz w:val="18"/>
                <w:szCs w:val="18"/>
              </w:rPr>
              <w:t xml:space="preserve">1</w:t>
            </w:r>
          </w:p>
        </w:tc>
        <w:tc>
          <w:tcPr>
            <w:tcW w:type="dxa" w:w="2507"/>
          </w:tcPr>
          <w:p>
            <w:pPr>
              <w:spacing w:after="20" w:before="20"/>
            </w:pPr>
            <w:r>
              <w:rPr>
                <w:sz w:val="18"/>
                <w:szCs w:val="18"/>
              </w:rPr>
              <w:t xml:space="preserve">The pump motor's phase current is unpublished</w:t>
            </w:r>
          </w:p>
        </w:tc>
        <w:tc>
          <w:tcPr>
            <w:tcW w:type="dxa" w:w="6018"/>
          </w:tcPr>
          <w:p>
            <w:pPr>
              <w:spacing w:after="20" w:before="20"/>
            </w:pPr>
            <w:r>
              <w:rPr>
                <w:sz w:val="18"/>
                <w:szCs w:val="18"/>
              </w:rPr>
              <w:t xml:space="preserve">The one real engineering question left open. It decides whether the selected driver is adequate or whether the higher-current alternative of §8.6 is needed, and the 5.5 A channel allocation cannot be closed without it. Mitigations: ask the vendor; or lay the driver out as a pluggable module so the answer costs a swap, not a respin.</w:t>
            </w:r>
          </w:p>
        </w:tc>
      </w:tr>
      <w:tr>
        <w:tc>
          <w:tcPr>
            <w:tcW w:type="dxa" w:w="501"/>
          </w:tcPr>
          <w:p>
            <w:pPr>
              <w:spacing w:after="20" w:before="20"/>
            </w:pPr>
            <w:r>
              <w:rPr>
                <w:sz w:val="18"/>
                <w:szCs w:val="18"/>
              </w:rPr>
              <w:t xml:space="preserve">2</w:t>
            </w:r>
          </w:p>
        </w:tc>
        <w:tc>
          <w:tcPr>
            <w:tcW w:type="dxa" w:w="2507"/>
          </w:tcPr>
          <w:p>
            <w:pPr>
              <w:spacing w:after="20" w:before="20"/>
            </w:pPr>
            <w:r>
              <w:rPr>
                <w:sz w:val="18"/>
                <w:szCs w:val="18"/>
              </w:rPr>
              <w:t xml:space="preserve">Which gate-driver variant</w:t>
            </w:r>
          </w:p>
        </w:tc>
        <w:tc>
          <w:tcPr>
            <w:tcW w:type="dxa" w:w="6018"/>
          </w:tcPr>
          <w:p>
            <w:pPr>
              <w:spacing w:after="20" w:before="20"/>
            </w:pPr>
            <w:r>
              <w:rPr>
                <w:sz w:val="18"/>
                <w:szCs w:val="18"/>
              </w:rPr>
              <w:t xml:space="preserve">The pin map was drawn against a dual-channel driver; the component list defaults to two single-channel parts. Both work, but </w:t>
            </w:r>
            <w:r>
              <w:rPr>
                <w:b/>
                <w:sz w:val="18"/>
                <w:szCs w:val="18"/>
              </w:rPr>
              <w:t xml:space="preserve">the zero-GPIO enable interlock of §8.5.2 was computed from the dual part's own thresholds</w:t>
            </w:r>
            <w:r>
              <w:rPr>
                <w:sz w:val="18"/>
                <w:szCs w:val="18"/>
              </w:rPr>
              <w:t xml:space="preserve"> — those numbers need re-checking against whichever variant is fitted.</w:t>
            </w:r>
          </w:p>
        </w:tc>
      </w:tr>
      <w:tr>
        <w:tc>
          <w:tcPr>
            <w:tcW w:type="dxa" w:w="501"/>
          </w:tcPr>
          <w:p>
            <w:pPr>
              <w:spacing w:after="20" w:before="20"/>
            </w:pPr>
            <w:r>
              <w:rPr>
                <w:sz w:val="18"/>
                <w:szCs w:val="18"/>
              </w:rPr>
              <w:t xml:space="preserve">3</w:t>
            </w:r>
          </w:p>
        </w:tc>
        <w:tc>
          <w:tcPr>
            <w:tcW w:type="dxa" w:w="2507"/>
          </w:tcPr>
          <w:p>
            <w:pPr>
              <w:spacing w:after="20" w:before="20"/>
            </w:pPr>
            <w:r>
              <w:rPr>
                <w:sz w:val="18"/>
                <w:szCs w:val="18"/>
              </w:rPr>
              <w:t xml:space="preserve">Which RTD variant was ordered</w:t>
            </w:r>
          </w:p>
        </w:tc>
        <w:tc>
          <w:tcPr>
            <w:tcW w:type="dxa" w:w="6018"/>
          </w:tcPr>
          <w:p>
            <w:pPr>
              <w:spacing w:after="20" w:before="20"/>
            </w:pPr>
            <w:r>
              <w:rPr>
                <w:sz w:val="18"/>
                <w:szCs w:val="18"/>
              </w:rPr>
              <w:t xml:space="preserve">The water probes come in Pt100, Pt500 and Pt1000 forms, and the choice sets the MAX31865's reference resistor. The wire count matters too: the accuracy budget of §5.6 assumes 4-wire, and a 2- or 3-wire probe changes the lead-compensation story.</w:t>
            </w:r>
          </w:p>
        </w:tc>
      </w:tr>
      <w:tr>
        <w:tc>
          <w:tcPr>
            <w:tcW w:type="dxa" w:w="501"/>
          </w:tcPr>
          <w:p>
            <w:pPr>
              <w:spacing w:after="20" w:before="20"/>
            </w:pPr>
            <w:r>
              <w:rPr>
                <w:sz w:val="18"/>
                <w:szCs w:val="18"/>
              </w:rPr>
              <w:t xml:space="preserve">4</w:t>
            </w:r>
          </w:p>
        </w:tc>
        <w:tc>
          <w:tcPr>
            <w:tcW w:type="dxa" w:w="2507"/>
          </w:tcPr>
          <w:p>
            <w:pPr>
              <w:spacing w:after="20" w:before="20"/>
            </w:pPr>
            <w:r>
              <w:rPr>
                <w:sz w:val="18"/>
                <w:szCs w:val="18"/>
              </w:rPr>
              <w:t xml:space="preserve">The board temperature sensor part is unspecified</w:t>
            </w:r>
          </w:p>
        </w:tc>
        <w:tc>
          <w:tcPr>
            <w:tcW w:type="dxa" w:w="6018"/>
          </w:tcPr>
          <w:p>
            <w:pPr>
              <w:spacing w:after="20" w:before="20"/>
            </w:pPr>
            <w:r>
              <w:rPr>
                <w:sz w:val="18"/>
                <w:szCs w:val="18"/>
              </w:rPr>
              <w:t xml:space="preserve">It is declared in firmware as a TMP11x-class device at </w:t>
            </w:r>
            <w:r>
              <w:rPr>
                <w:rFonts w:ascii="Consolas" w:hAnsi="Consolas"/>
                <w:sz w:val="17"/>
                <w:szCs w:val="17"/>
              </w:rPr>
              <w:t xml:space="preserve">0x48</w:t>
            </w:r>
            <w:r>
              <w:rPr>
                <w:sz w:val="18"/>
                <w:szCs w:val="18"/>
              </w:rPr>
              <w:t xml:space="preserve"> and treated as optional, so a different part is a one-line change (§9.16) — but it is not chosen.</w:t>
            </w:r>
          </w:p>
        </w:tc>
      </w:tr>
      <w:tr>
        <w:tc>
          <w:tcPr>
            <w:tcW w:type="dxa" w:w="501"/>
          </w:tcPr>
          <w:p>
            <w:pPr>
              <w:spacing w:after="20" w:before="20"/>
            </w:pPr>
            <w:r>
              <w:rPr>
                <w:sz w:val="18"/>
                <w:szCs w:val="18"/>
              </w:rPr>
              <w:t xml:space="preserve">5</w:t>
            </w:r>
          </w:p>
        </w:tc>
        <w:tc>
          <w:tcPr>
            <w:tcW w:type="dxa" w:w="2507"/>
          </w:tcPr>
          <w:p>
            <w:pPr>
              <w:spacing w:after="20" w:before="20"/>
            </w:pPr>
            <w:r>
              <w:rPr>
                <w:sz w:val="18"/>
                <w:szCs w:val="18"/>
              </w:rPr>
              <w:t xml:space="preserve">Two chip-select nets are misnamed</w:t>
            </w:r>
          </w:p>
        </w:tc>
        <w:tc>
          <w:tcPr>
            <w:tcW w:type="dxa" w:w="6018"/>
          </w:tcPr>
          <w:p>
            <w:pPr>
              <w:spacing w:after="20" w:before="20"/>
            </w:pPr>
            <w:r>
              <w:rPr>
                <w:sz w:val="18"/>
                <w:szCs w:val="18"/>
              </w:rPr>
              <w:t xml:space="preserve">The two RTD converters are the water </w:t>
            </w:r>
            <w:r>
              <w:rPr>
                <w:b/>
                <w:sz w:val="18"/>
                <w:szCs w:val="18"/>
              </w:rPr>
              <w:t xml:space="preserve">inlet and outlet</w:t>
            </w:r>
            <w:r>
              <w:rPr>
                <w:sz w:val="18"/>
                <w:szCs w:val="18"/>
              </w:rPr>
              <w:t xml:space="preserve"> pair; the original net names suggested chamber sensors, which are the TMP117 array on the other bus. Table 34 uses corrected names. Fix this before bring-up, not after someone has trusted them (§9.16).</w:t>
            </w:r>
          </w:p>
        </w:tc>
      </w:tr>
      <w:tr>
        <w:tc>
          <w:tcPr>
            <w:tcW w:type="dxa" w:w="501"/>
          </w:tcPr>
          <w:p>
            <w:pPr>
              <w:spacing w:after="20" w:before="20"/>
            </w:pPr>
            <w:r>
              <w:rPr>
                <w:sz w:val="18"/>
                <w:szCs w:val="18"/>
              </w:rPr>
              <w:t xml:space="preserve">6</w:t>
            </w:r>
          </w:p>
        </w:tc>
        <w:tc>
          <w:tcPr>
            <w:tcW w:type="dxa" w:w="2507"/>
          </w:tcPr>
          <w:p>
            <w:pPr>
              <w:spacing w:after="20" w:before="20"/>
            </w:pPr>
            <w:r>
              <w:rPr>
                <w:sz w:val="18"/>
                <w:szCs w:val="18"/>
              </w:rPr>
              <w:t xml:space="preserve">The panel has nowhere to go</w:t>
            </w:r>
          </w:p>
        </w:tc>
        <w:tc>
          <w:tcPr>
            <w:tcW w:type="dxa" w:w="6018"/>
          </w:tcPr>
          <w:p>
            <w:pPr>
              <w:spacing w:after="20" w:before="20"/>
            </w:pPr>
            <w:r>
              <w:rPr>
                <w:sz w:val="18"/>
                <w:szCs w:val="18"/>
              </w:rPr>
              <w:t xml:space="preserve">The three-screen operator panel of §9.13 was an explicit requirement and the twenty-two signals plus one spare leave no room for the three pins an SPI display needs. Table 38 lists the levers; dropping STEP/DIR is the cheapest. </w:t>
            </w:r>
            <w:r>
              <w:rPr>
                <w:b/>
                <w:sz w:val="18"/>
                <w:szCs w:val="18"/>
              </w:rPr>
              <w:t xml:space="preserve">This is a decision, not an oversight.</w:t>
            </w:r>
          </w:p>
        </w:tc>
      </w:tr>
      <w:tr>
        <w:tc>
          <w:tcPr>
            <w:tcW w:type="dxa" w:w="501"/>
          </w:tcPr>
          <w:p>
            <w:pPr>
              <w:spacing w:after="20" w:before="20"/>
            </w:pPr>
            <w:r>
              <w:rPr>
                <w:sz w:val="18"/>
                <w:szCs w:val="18"/>
              </w:rPr>
              <w:t xml:space="preserve">7</w:t>
            </w:r>
          </w:p>
        </w:tc>
        <w:tc>
          <w:tcPr>
            <w:tcW w:type="dxa" w:w="2507"/>
          </w:tcPr>
          <w:p>
            <w:pPr>
              <w:spacing w:after="20" w:before="20"/>
            </w:pPr>
            <w:r>
              <w:rPr>
                <w:sz w:val="18"/>
                <w:szCs w:val="18"/>
              </w:rPr>
              <w:t xml:space="preserve">Confirm the fan models and counts</w:t>
            </w:r>
          </w:p>
        </w:tc>
        <w:tc>
          <w:tcPr>
            <w:tcW w:type="dxa" w:w="6018"/>
          </w:tcPr>
          <w:p>
            <w:pPr>
              <w:spacing w:after="20" w:before="20"/>
            </w:pPr>
            <w:r>
              <w:rPr>
                <w:sz w:val="18"/>
                <w:szCs w:val="18"/>
              </w:rPr>
              <w:t xml:space="preserve">The per-group currents in Table 30 assume one specific fan and carry the 3 / 2 / 3–6 counts from an earlier plan. If the reject group is six fans it exceeds the daisy-chain limit and needs a second header — which changes a connector, not a calculation.</w:t>
            </w:r>
          </w:p>
        </w:tc>
      </w:tr>
      <w:tr>
        <w:tc>
          <w:tcPr>
            <w:tcW w:type="dxa" w:w="501"/>
          </w:tcPr>
          <w:p>
            <w:pPr>
              <w:spacing w:after="20" w:before="20"/>
            </w:pPr>
            <w:r>
              <w:rPr>
                <w:sz w:val="18"/>
                <w:szCs w:val="18"/>
              </w:rPr>
              <w:t xml:space="preserve">8</w:t>
            </w:r>
          </w:p>
        </w:tc>
        <w:tc>
          <w:tcPr>
            <w:tcW w:type="dxa" w:w="2507"/>
          </w:tcPr>
          <w:p>
            <w:pPr>
              <w:spacing w:after="20" w:before="20"/>
            </w:pPr>
            <w:r>
              <w:rPr>
                <w:sz w:val="18"/>
                <w:szCs w:val="18"/>
              </w:rPr>
              <w:t xml:space="preserve">Verify four exposed-pad footprints</w:t>
            </w:r>
          </w:p>
        </w:tc>
        <w:tc>
          <w:tcPr>
            <w:tcW w:type="dxa" w:w="6018"/>
          </w:tcPr>
          <w:p>
            <w:pPr>
              <w:spacing w:after="20" w:before="20"/>
            </w:pPr>
            <w:r>
              <w:rPr>
                <w:sz w:val="18"/>
                <w:szCs w:val="18"/>
              </w:rPr>
              <w:t xml:space="preserve">The consolidated current-sense IC, the stepper driver, the buck converter and the RTD converter are all standard package families, but their exposed-pad dimensions should be confirmed against the manufacturer drawings before copper is committed.</w:t>
            </w:r>
          </w:p>
        </w:tc>
      </w:tr>
    </w:tbl>
    <w:p>
      <w:pPr>
        <w:spacing w:before="60" w:after="200"/>
        <w:jc w:val="left"/>
      </w:pPr>
      <w:r>
        <w:rPr>
          <w:sz w:val="18"/>
          <w:szCs w:val="18"/>
        </w:rPr>
        <w:t xml:space="preserve">Table 39. Open items on the board design, in the order a schematic pass would meet them. Items 1 to 3 change parts; the rest change drawings.</w:t>
      </w:r>
    </w:p>
    <w:p>
      <w:pPr>
        <w:spacing w:after="80"/>
      </w:pPr>
    </w:p>
    <w:p>
      <w:pPr>
        <w:pStyle w:val="Heading1"/>
      </w:pPr>
      <w:r>
        <w:t>Firmware</w:t>
      </w:r>
    </w:p>
    <w:p>
      <w:pPr>
        <w:pStyle w:val="Heading2"/>
      </w:pPr>
      <w:r>
        <w:t xml:space="preserve">Scope, status and what was built</w:t>
      </w:r>
    </w:p>
    <w:p>
      <w:pPr>
        <w:spacing w:after="120"/>
      </w:pPr>
      <w:r>
        <w:t xml:space="preserve">The firmware is the instrument. Everything §4 to §7 establishes — the meter equation, the guard criterion, the two gates, the PI gains, the ranging table — is a claim about a machine that has to be executed once per second, in order, against sensors that can lie and actuators that can saturate. This section reports the application that was written to do that: an out-of-tree Zephyr application for the ESP32-S3, targeting both the carrier board of §8 and a bench development kit, with every constant traceable to the same </w:t>
      </w:r>
      <w:r>
        <w:rPr>
          <w:rFonts w:ascii="Consolas" w:hAnsi="Consolas"/>
          <w:sz w:val="19"/>
          <w:szCs w:val="19"/>
        </w:rPr>
        <w:t xml:space="preserve">params.yaml</w:t>
      </w:r>
      <w:r>
        <w:t xml:space="preserve"> the simulation of §7 reads.</w:t>
      </w:r>
    </w:p>
    <w:p>
      <w:pPr>
        <w:spacing w:after="120"/>
      </w:pPr>
      <w:r>
        <w:t xml:space="preserve">One structural point is worth making before the detail, because it decides the shape of everything that follows: </w:t>
      </w:r>
      <w:r>
        <w:rPr>
          <w:b/>
        </w:rPr>
        <w:t xml:space="preserve">the state-space model of §6 is not integrated on the microcontroller.</w:t>
      </w:r>
      <w:r>
        <w:t xml:space="preserve"> The model is used offline, to produce numbers — two PI gain pairs, an anti-windup time constant, two gate thresholds and a ranging table — and those numbers are what the firmware carries. What runs at 1 Hz is the meter equation, three PI loops, two gates, a supervisor state machine and a reduced-order disturbance observer. No matrix is multiplied at run time, and there is no online plant simulation to drift out of step with the plant.</w:t>
      </w:r>
    </w:p>
    <w:p>
      <w:pPr>
        <w:spacing w:after="120"/>
      </w:pPr>
      <w:r>
        <w:rPr>
          <w:b/>
        </w:rPr>
        <w:t xml:space="preserve">Status.</w:t>
      </w:r>
      <w:r>
        <w:t xml:space="preserve"> Both build variants compile clean from scratch, and the memory budgets below are read from the linker. </w:t>
      </w:r>
      <w:r>
        <w:rPr>
          <w:b/>
        </w:rPr>
        <w:t xml:space="preserve">Nothing has been flashed and nothing has been run.</w:t>
      </w:r>
      <w:r>
        <w:t xml:space="preserve"> Every claim in this section is a build-time or design-time claim; none of it is a measurement. The bring-up ladder of §9.16 is the path from here to a working instrument, and it has not been started.</w:t>
      </w:r>
    </w:p>
    <w:tbl>
      <w:tblPr>
        <w:tblStyle w:val="TableGrid"/>
        <w:tblW w:type="auto" w:w="0"/>
        <w:jc w:val="center"/>
        <w:tblLayout w:type="fixed"/>
        <w:tblLook w:firstColumn="1" w:firstRow="1" w:lastColumn="0" w:lastRow="0" w:noHBand="0" w:noVBand="1" w:val="04A0"/>
      </w:tblPr>
      <w:tblGrid>
        <w:gridCol w:w="1805"/>
        <w:gridCol w:w="7221"/>
      </w:tblGrid>
      <w:tr>
        <w:trPr>
          <w:tblHeader w:val="true"/>
        </w:trPr>
        <w:tc>
          <w:tcPr>
            <w:tcW w:type="dxa" w:w="1805"/>
            <w:shd w:val="clear" w:color="auto" w:fill="DEEAF6"/>
          </w:tcPr>
          <w:p>
            <w:pPr>
              <w:spacing w:after="20" w:before="20"/>
            </w:pPr>
            <w:r>
              <w:rPr>
                <w:b/>
                <w:sz w:val="18"/>
                <w:szCs w:val="18"/>
              </w:rPr>
              <w:t xml:space="preserve">Aspect</w:t>
            </w:r>
          </w:p>
        </w:tc>
        <w:tc>
          <w:tcPr>
            <w:tcW w:type="dxa" w:w="7221"/>
            <w:shd w:val="clear" w:color="auto" w:fill="DEEAF6"/>
          </w:tcPr>
          <w:p>
            <w:pPr>
              <w:spacing w:after="20" w:before="20"/>
            </w:pPr>
            <w:r>
              <w:rPr>
                <w:b/>
                <w:sz w:val="18"/>
                <w:szCs w:val="18"/>
              </w:rPr>
              <w:t xml:space="preserve">As built</w:t>
            </w:r>
          </w:p>
        </w:tc>
      </w:tr>
      <w:tr>
        <w:tc>
          <w:tcPr>
            <w:tcW w:type="dxa" w:w="1805"/>
          </w:tcPr>
          <w:p>
            <w:pPr>
              <w:spacing w:after="20" w:before="20"/>
            </w:pPr>
            <w:r>
              <w:rPr>
                <w:sz w:val="18"/>
                <w:szCs w:val="18"/>
              </w:rPr>
              <w:t xml:space="preserve">Targets</w:t>
            </w:r>
          </w:p>
        </w:tc>
        <w:tc>
          <w:tcPr>
            <w:tcW w:type="dxa" w:w="7221"/>
          </w:tcPr>
          <w:p>
            <w:pPr>
              <w:spacing w:after="20" w:before="20"/>
            </w:pPr>
            <w:r>
              <w:rPr>
                <w:rFonts w:ascii="Consolas" w:hAnsi="Consolas"/>
                <w:sz w:val="17"/>
                <w:szCs w:val="17"/>
              </w:rPr>
              <w:t xml:space="preserve">esp32s3_devkitc/esp32s3/procpu</w:t>
            </w:r>
            <w:r>
              <w:rPr>
                <w:sz w:val="18"/>
                <w:szCs w:val="18"/>
              </w:rPr>
              <w:t xml:space="preserve"> — the carrier board of §8, headless; and </w:t>
            </w:r>
            <w:r>
              <w:rPr>
                <w:rFonts w:ascii="Consolas" w:hAnsi="Consolas"/>
                <w:sz w:val="17"/>
                <w:szCs w:val="17"/>
              </w:rPr>
              <w:t xml:space="preserve">esp32s3_lcd_1_47b/esp32s3/procpu</w:t>
            </w:r>
            <w:r>
              <w:rPr>
                <w:sz w:val="18"/>
                <w:szCs w:val="18"/>
              </w:rPr>
              <w:t xml:space="preserve"> — the bench development kit, the only build carrying the LVGL panel</w:t>
            </w:r>
          </w:p>
        </w:tc>
      </w:tr>
      <w:tr>
        <w:tc>
          <w:tcPr>
            <w:tcW w:type="dxa" w:w="1805"/>
          </w:tcPr>
          <w:p>
            <w:pPr>
              <w:spacing w:after="20" w:before="20"/>
            </w:pPr>
            <w:r>
              <w:rPr>
                <w:sz w:val="18"/>
                <w:szCs w:val="18"/>
              </w:rPr>
              <w:t xml:space="preserve">Toolchain</w:t>
            </w:r>
          </w:p>
        </w:tc>
        <w:tc>
          <w:tcPr>
            <w:tcW w:type="dxa" w:w="7221"/>
          </w:tcPr>
          <w:p>
            <w:pPr>
              <w:spacing w:after="20" w:before="20"/>
            </w:pPr>
            <w:r>
              <w:rPr>
                <w:sz w:val="18"/>
                <w:szCs w:val="18"/>
              </w:rPr>
              <w:t xml:space="preserve">Zephyr 4.4.99 (</w:t>
            </w:r>
            <w:r>
              <w:rPr>
                <w:rFonts w:ascii="Consolas" w:hAnsi="Consolas"/>
                <w:sz w:val="17"/>
                <w:szCs w:val="17"/>
              </w:rPr>
              <w:t xml:space="preserve">main</w:t>
            </w:r>
            <w:r>
              <w:rPr>
                <w:sz w:val="18"/>
                <w:szCs w:val="18"/>
              </w:rPr>
              <w:t xml:space="preserve">, </w:t>
            </w:r>
            <w:r>
              <w:rPr>
                <w:rFonts w:ascii="Consolas" w:hAnsi="Consolas"/>
                <w:sz w:val="17"/>
                <w:szCs w:val="17"/>
              </w:rPr>
              <w:t xml:space="preserve">4adba2d7a</w:t>
            </w:r>
            <w:r>
              <w:rPr>
                <w:sz w:val="18"/>
                <w:szCs w:val="18"/>
              </w:rPr>
              <w:t xml:space="preserve">), Zephyr SDK 1.0.1, </w:t>
            </w:r>
            <w:r>
              <w:rPr>
                <w:rFonts w:ascii="Consolas" w:hAnsi="Consolas"/>
                <w:sz w:val="17"/>
                <w:szCs w:val="17"/>
              </w:rPr>
              <w:t xml:space="preserve">xtensa-espressif_esp32s3_zephyr-elf</w:t>
            </w:r>
            <w:r>
              <w:rPr>
                <w:sz w:val="18"/>
                <w:szCs w:val="18"/>
              </w:rPr>
              <w:t xml:space="preserve"> GCC 14.3.0</w:t>
            </w:r>
          </w:p>
        </w:tc>
      </w:tr>
      <w:tr>
        <w:tc>
          <w:tcPr>
            <w:tcW w:type="dxa" w:w="1805"/>
          </w:tcPr>
          <w:p>
            <w:pPr>
              <w:spacing w:after="20" w:before="20"/>
            </w:pPr>
            <w:r>
              <w:rPr>
                <w:sz w:val="18"/>
                <w:szCs w:val="18"/>
              </w:rPr>
              <w:t xml:space="preserve">Source</w:t>
            </w:r>
          </w:p>
        </w:tc>
        <w:tc>
          <w:tcPr>
            <w:tcW w:type="dxa" w:w="7221"/>
          </w:tcPr>
          <w:p>
            <w:pPr>
              <w:spacing w:after="20" w:before="20"/>
            </w:pPr>
            <w:r>
              <w:rPr>
                <w:sz w:val="18"/>
                <w:szCs w:val="18"/>
              </w:rPr>
              <w:t xml:space="preserve">≈ 8 450 lines across 38 files — 23 C/H files (≈ 6 500 lines), one web page, two board overlays, three custom devicetree bindings, four Kconfig fragments, one model generator</w:t>
            </w:r>
          </w:p>
        </w:tc>
      </w:tr>
      <w:tr>
        <w:tc>
          <w:tcPr>
            <w:tcW w:type="dxa" w:w="1805"/>
          </w:tcPr>
          <w:p>
            <w:pPr>
              <w:spacing w:after="20" w:before="20"/>
            </w:pPr>
            <w:r>
              <w:rPr>
                <w:sz w:val="18"/>
                <w:szCs w:val="18"/>
              </w:rPr>
              <w:t xml:space="preserve">Control tick</w:t>
            </w:r>
          </w:p>
        </w:tc>
        <w:tc>
          <w:tcPr>
            <w:tcW w:type="dxa" w:w="7221"/>
          </w:tcPr>
          <w:p>
            <w:pPr>
              <w:spacing w:after="20" w:before="20"/>
            </w:pPr>
            <w:r>
              <w:rPr>
                <w:sz w:val="18"/>
                <w:szCs w:val="18"/>
              </w:rPr>
              <w:t xml:space="preserve">1 Hz, one shared tick, every loop and every gate phase-locked to it</w:t>
            </w:r>
          </w:p>
        </w:tc>
      </w:tr>
      <w:tr>
        <w:tc>
          <w:tcPr>
            <w:tcW w:type="dxa" w:w="1805"/>
          </w:tcPr>
          <w:p>
            <w:pPr>
              <w:spacing w:after="20" w:before="20"/>
            </w:pPr>
            <w:r>
              <w:rPr>
                <w:sz w:val="18"/>
                <w:szCs w:val="18"/>
              </w:rPr>
              <w:t xml:space="preserve">Threads</w:t>
            </w:r>
          </w:p>
        </w:tc>
        <w:tc>
          <w:tcPr>
            <w:tcW w:type="dxa" w:w="7221"/>
          </w:tcPr>
          <w:p>
            <w:pPr>
              <w:spacing w:after="20" w:before="20"/>
            </w:pPr>
            <w:r>
              <w:rPr>
                <w:sz w:val="18"/>
                <w:szCs w:val="18"/>
              </w:rPr>
              <w:t xml:space="preserve">three application threads (</w:t>
            </w:r>
            <w:r>
              <w:rPr>
                <w:rFonts w:ascii="Consolas" w:hAnsi="Consolas"/>
                <w:sz w:val="17"/>
                <w:szCs w:val="17"/>
              </w:rPr>
              <w:t xml:space="preserve">main</w:t>
            </w:r>
            <w:r>
              <w:rPr>
                <w:sz w:val="18"/>
                <w:szCs w:val="18"/>
              </w:rPr>
              <w:t xml:space="preserve">/control, </w:t>
            </w:r>
            <w:r>
              <w:rPr>
                <w:rFonts w:ascii="Consolas" w:hAnsi="Consolas"/>
                <w:sz w:val="17"/>
                <w:szCs w:val="17"/>
              </w:rPr>
              <w:t xml:space="preserve">safety</w:t>
            </w:r>
            <w:r>
              <w:rPr>
                <w:sz w:val="18"/>
                <w:szCs w:val="18"/>
              </w:rPr>
              <w:t xml:space="preserve">, </w:t>
            </w:r>
            <w:r>
              <w:rPr>
                <w:rFonts w:ascii="Consolas" w:hAnsi="Consolas"/>
                <w:sz w:val="17"/>
                <w:szCs w:val="17"/>
              </w:rPr>
              <w:t xml:space="preserve">ui</w:t>
            </w:r>
            <w:r>
              <w:rPr>
                <w:sz w:val="18"/>
                <w:szCs w:val="18"/>
              </w:rPr>
              <w:t xml:space="preserve">) plus a WebSocket thread when the radio is built in</w:t>
            </w:r>
          </w:p>
        </w:tc>
      </w:tr>
      <w:tr>
        <w:tc>
          <w:tcPr>
            <w:tcW w:type="dxa" w:w="1805"/>
          </w:tcPr>
          <w:p>
            <w:pPr>
              <w:spacing w:after="20" w:before="20"/>
            </w:pPr>
            <w:r>
              <w:rPr>
                <w:sz w:val="18"/>
                <w:szCs w:val="18"/>
              </w:rPr>
              <w:t xml:space="preserve">Carrier build</w:t>
            </w:r>
          </w:p>
        </w:tc>
        <w:tc>
          <w:tcPr>
            <w:tcW w:type="dxa" w:w="7221"/>
          </w:tcPr>
          <w:p>
            <w:pPr>
              <w:spacing w:after="20" w:before="20"/>
            </w:pPr>
            <w:r>
              <w:rPr>
                <w:sz w:val="18"/>
                <w:szCs w:val="18"/>
              </w:rPr>
              <w:t xml:space="preserve">FLASH 368 kB / 8 MB (4.4 %) · DRAM 165 kB / 390 kB (41 %); with Wi-Fi, 742 kB and 261 kB (65 %)</w:t>
            </w:r>
          </w:p>
        </w:tc>
      </w:tr>
      <w:tr>
        <w:tc>
          <w:tcPr>
            <w:tcW w:type="dxa" w:w="1805"/>
          </w:tcPr>
          <w:p>
            <w:pPr>
              <w:spacing w:after="20" w:before="20"/>
            </w:pPr>
            <w:r>
              <w:rPr>
                <w:sz w:val="18"/>
                <w:szCs w:val="18"/>
              </w:rPr>
              <w:t xml:space="preserve">Development-kit build</w:t>
            </w:r>
          </w:p>
        </w:tc>
        <w:tc>
          <w:tcPr>
            <w:tcW w:type="dxa" w:w="7221"/>
          </w:tcPr>
          <w:p>
            <w:pPr>
              <w:spacing w:after="20" w:before="20"/>
            </w:pPr>
            <w:r>
              <w:rPr>
                <w:sz w:val="18"/>
                <w:szCs w:val="18"/>
              </w:rPr>
              <w:t xml:space="preserve">FLASH 717 kB / 16 MB (4.3 %) · DRAM 228 kB / 390 kB (57 %); with Wi-Fi, 1 091 kB and 322 kB (81 %)</w:t>
            </w:r>
          </w:p>
        </w:tc>
      </w:tr>
      <w:tr>
        <w:tc>
          <w:tcPr>
            <w:tcW w:type="dxa" w:w="1805"/>
          </w:tcPr>
          <w:p>
            <w:pPr>
              <w:spacing w:after="20" w:before="20"/>
            </w:pPr>
            <w:r>
              <w:rPr>
                <w:sz w:val="18"/>
                <w:szCs w:val="18"/>
              </w:rPr>
              <w:t xml:space="preserve">Not done</w:t>
            </w:r>
          </w:p>
        </w:tc>
        <w:tc>
          <w:tcPr>
            <w:tcW w:type="dxa" w:w="7221"/>
          </w:tcPr>
          <w:p>
            <w:pPr>
              <w:spacing w:after="20" w:before="20"/>
            </w:pPr>
            <w:r>
              <w:rPr>
                <w:sz w:val="18"/>
                <w:szCs w:val="18"/>
              </w:rPr>
              <w:t xml:space="preserve">never flashed, never run; no sensor has been read and no actuator has moved</w:t>
            </w:r>
          </w:p>
        </w:tc>
      </w:tr>
    </w:tbl>
    <w:p>
      <w:pPr>
        <w:spacing w:before="60" w:after="200"/>
        <w:jc w:val="left"/>
      </w:pPr>
      <w:r>
        <w:rPr>
          <w:sz w:val="18"/>
          <w:szCs w:val="18"/>
        </w:rPr>
        <w:t xml:space="preserve">Table 40. Firmware headline. The two builds share every source file and differ only in an overlay, a Kconfig fragment and whether a display exists.</w:t>
      </w:r>
    </w:p>
    <w:p>
      <w:pPr>
        <w:pStyle w:val="Heading2"/>
      </w:pPr>
      <w:r>
        <w:t xml:space="preserve">Toolchain, targets and build configuration</w:t>
      </w:r>
    </w:p>
    <w:p>
      <w:pPr>
        <w:spacing w:after="120"/>
      </w:pPr>
      <w:r>
        <w:t xml:space="preserve">The application is built with </w:t>
      </w:r>
      <w:r>
        <w:rPr>
          <w:rFonts w:ascii="Consolas" w:hAnsi="Consolas"/>
          <w:sz w:val="19"/>
          <w:szCs w:val="19"/>
        </w:rPr>
        <w:t xml:space="preserve">west</w:t>
      </w:r>
      <w:r>
        <w:t xml:space="preserve"> from outside the Zephyr tree, so nothing in this project modifies the upstream repository. Two board targets are supported and both are built and verified on every change:</w:t>
      </w:r>
    </w:p>
    <w:p>
      <w:pPr>
        <w:spacing w:after="60" w:before="0"/>
        <w:ind w:left="720" w:hanging="360"/>
      </w:pPr>
      <w:r>
        <w:t xml:space="preserve">•</w:t>
      </w:r>
      <w:r>
        <w:tab/>
      </w:r>
      <w:r>
        <w:rPr>
          <w:rFonts w:ascii="Consolas" w:hAnsi="Consolas"/>
          <w:b/>
          <w:sz w:val="19"/>
          <w:szCs w:val="19"/>
        </w:rPr>
        <w:t xml:space="preserve">esp32s3_devkitc/esp32s3/procpu</w:t>
      </w:r>
      <w:r>
        <w:t xml:space="preserve"> — the ESP32-S3-DevKitC-1-N8R8 module as fitted to the carrier board of §8. Headless: no display, no LVGL. This is the build that ships.</w:t>
      </w:r>
    </w:p>
    <w:p>
      <w:pPr>
        <w:spacing w:after="60" w:before="0"/>
        <w:ind w:left="720" w:hanging="360"/>
      </w:pPr>
      <w:r>
        <w:t xml:space="preserve">•</w:t>
      </w:r>
      <w:r>
        <w:tab/>
      </w:r>
      <w:r>
        <w:rPr>
          <w:rFonts w:ascii="Consolas" w:hAnsi="Consolas"/>
          <w:b/>
          <w:sz w:val="19"/>
          <w:szCs w:val="19"/>
        </w:rPr>
        <w:t xml:space="preserve">esp32s3_lcd_1_47b/esp32s3/procpu</w:t>
      </w:r>
      <w:r>
        <w:t xml:space="preserve"> — a Waveshare 1.47-inch development kit, used as the bench rehearsal. It is the only build with the LVGL panel, and it requires an out-of-tree </w:t>
      </w:r>
      <w:r>
        <w:rPr>
          <w:rFonts w:ascii="Consolas" w:hAnsi="Consolas"/>
          <w:sz w:val="19"/>
          <w:szCs w:val="19"/>
        </w:rPr>
        <w:t xml:space="preserve">BOARD_ROOT</w:t>
      </w:r>
      <w:r>
        <w:t xml:space="preserve"> because the board is not upstream.</w:t>
      </w:r>
    </w:p>
    <w:p>
      <w:pPr>
        <w:spacing w:after="120"/>
      </w:pPr>
      <w:r>
        <w:t xml:space="preserve">The two overlays present the </w:t>
      </w:r>
      <w:r>
        <w:rPr>
          <w:b/>
        </w:rPr>
        <w:t xml:space="preserve">same device set through the same aliases</w:t>
      </w:r>
      <w:r>
        <w:t xml:space="preserve">, so both builds exercise identical code paths. That is deliberate: a bench build that is a different program from the shipping one is a rehearsal of nothing.</w:t>
      </w:r>
    </w:p>
    <w:p>
      <w:pPr>
        <w:spacing w:after="0" w:before="0" w:line="240" w:lineRule="auto"/>
        <w:ind w:left="288"/>
      </w:pPr>
      <w:r>
        <w:rPr>
          <w:rFonts w:ascii="Consolas" w:hAnsi="Consolas"/>
          <w:sz w:val="18"/>
          <w:szCs w:val="18"/>
        </w:rPr>
        <w:t xml:space="preserve"># the carrier board</w:t>
      </w:r>
    </w:p>
    <w:p>
      <w:pPr>
        <w:spacing w:after="0" w:before="0" w:line="240" w:lineRule="auto"/>
        <w:ind w:left="288"/>
      </w:pPr>
      <w:r>
        <w:rPr>
          <w:rFonts w:ascii="Consolas" w:hAnsi="Consolas"/>
          <w:sz w:val="18"/>
          <w:szCs w:val="18"/>
        </w:rPr>
        <w:t xml:space="preserve">west build -p always -b esp32s3_devkitc/esp32s3/procpu ~/roboteq/zephyr/calorimetry \</w:t>
      </w:r>
    </w:p>
    <w:p>
      <w:pPr>
        <w:spacing w:after="0" w:before="0" w:line="240" w:lineRule="auto"/>
        <w:ind w:left="288"/>
      </w:pPr>
      <w:r>
        <w:rPr>
          <w:rFonts w:ascii="Consolas" w:hAnsi="Consolas"/>
          <w:sz w:val="18"/>
          <w:szCs w:val="18"/>
        </w:rPr>
        <w:t xml:space="preserve">    -S espressif-psram-8M -- -DEXTRA_CONF_FILE=wifi.conf</w:t>
      </w:r>
    </w:p>
    <w:p>
      <w:pPr>
        <w:spacing w:after="0" w:before="0" w:line="240" w:lineRule="auto"/>
        <w:ind w:left="288"/>
      </w:pPr>
      <w:r>
        <w:rPr>
          <w:rFonts w:ascii="Consolas" w:hAnsi="Consolas"/>
          <w:sz w:val="18"/>
          <w:szCs w:val="18"/>
        </w:rPr>
        <w:t xml:space="preserve"/>
      </w:r>
    </w:p>
    <w:p>
      <w:pPr>
        <w:spacing w:after="0" w:before="0" w:line="240" w:lineRule="auto"/>
        <w:ind w:left="288"/>
      </w:pPr>
      <w:r>
        <w:rPr>
          <w:rFonts w:ascii="Consolas" w:hAnsi="Consolas"/>
          <w:sz w:val="18"/>
          <w:szCs w:val="18"/>
        </w:rPr>
        <w:t xml:space="preserve"># the bench development kit (panel + display)</w:t>
      </w:r>
    </w:p>
    <w:p>
      <w:pPr>
        <w:spacing w:after="0" w:before="0" w:line="240" w:lineRule="auto"/>
        <w:ind w:left="288"/>
      </w:pPr>
      <w:r>
        <w:rPr>
          <w:rFonts w:ascii="Consolas" w:hAnsi="Consolas"/>
          <w:sz w:val="18"/>
          <w:szCs w:val="18"/>
        </w:rPr>
        <w:t xml:space="preserve">west build -p always -b esp32s3_lcd_1_47b/esp32s3/procpu ~/roboteq/zephyr/calorimetry -- \</w:t>
      </w:r>
    </w:p>
    <w:p>
      <w:pPr>
        <w:spacing w:after="0" w:before="0" w:line="240" w:lineRule="auto"/>
        <w:ind w:left="288"/>
      </w:pPr>
      <w:r>
        <w:rPr>
          <w:rFonts w:ascii="Consolas" w:hAnsi="Consolas"/>
          <w:sz w:val="18"/>
          <w:szCs w:val="18"/>
        </w:rPr>
        <w:t xml:space="preserve">    -DBOARD_ROOT=$HOME/roboteq/zephyr/waveshare-esp32-s3-1.47B -DEXTRA_CONF_FILE=wifi.conf</w:t>
      </w:r>
    </w:p>
    <w:p/>
    <w:p>
      <w:pPr>
        <w:spacing w:after="120"/>
      </w:pPr>
      <w:r>
        <w:t xml:space="preserve">The </w:t>
      </w:r>
      <w:r>
        <w:rPr>
          <w:rFonts w:ascii="Consolas" w:hAnsi="Consolas"/>
          <w:sz w:val="19"/>
          <w:szCs w:val="19"/>
        </w:rPr>
        <w:t xml:space="preserve">-S espressif-psram-8M</w:t>
      </w:r>
      <w:r>
        <w:t xml:space="preserve"> snippet is what makes the carrier build an N8R8. Upstream's </w:t>
      </w:r>
      <w:r>
        <w:rPr>
          <w:rFonts w:ascii="Consolas" w:hAnsi="Consolas"/>
          <w:sz w:val="19"/>
          <w:szCs w:val="19"/>
        </w:rPr>
        <w:t xml:space="preserve">esp32s3_devkitc</w:t>
      </w:r>
      <w:r>
        <w:t xml:space="preserve"> board file includes the </w:t>
      </w:r>
      <w:r>
        <w:rPr>
          <w:b/>
        </w:rPr>
        <w:t xml:space="preserve">N8</w:t>
      </w:r>
      <w:r>
        <w:t xml:space="preserve"> device tree — 8 MB flash, no PSRAM — so without the snippet the image does not match the module that is actually fitted. Dropping </w:t>
      </w:r>
      <w:r>
        <w:rPr>
          <w:rFonts w:ascii="Consolas" w:hAnsi="Consolas"/>
          <w:sz w:val="19"/>
          <w:szCs w:val="19"/>
        </w:rPr>
        <w:t xml:space="preserve">-DEXTRA_CONF_FILE=wifi.conf</w:t>
      </w:r>
      <w:r>
        <w:t xml:space="preserve"> produces a radio-less build; the dashboard then polls instead of being pushed to, which for a 1 Hz instrument is not a downgrade worth a module dependency.</w:t>
      </w:r>
    </w:p>
    <w:p>
      <w:pPr>
        <w:spacing w:after="120"/>
      </w:pPr>
      <w:r>
        <w:t xml:space="preserve">The configuration is split for exactly that reason. </w:t>
      </w:r>
      <w:r>
        <w:rPr>
          <w:rFonts w:ascii="Consolas" w:hAnsi="Consolas"/>
          <w:sz w:val="19"/>
          <w:szCs w:val="19"/>
        </w:rPr>
        <w:t xml:space="preserve">prj.conf</w:t>
      </w:r>
      <w:r>
        <w:t xml:space="preserve"> builds the whole instrument — every driver, the shell, the settings store, the HTTP server, the dashboard — with </w:t>
      </w:r>
      <w:r>
        <w:rPr>
          <w:b/>
        </w:rPr>
        <w:t xml:space="preserve">no cryptographic dependency at all</w:t>
      </w:r>
      <w:r>
        <w:t xml:space="preserve">. </w:t>
      </w:r>
      <w:r>
        <w:rPr>
          <w:rFonts w:ascii="Consolas" w:hAnsi="Consolas"/>
          <w:sz w:val="19"/>
          <w:szCs w:val="19"/>
        </w:rPr>
        <w:t xml:space="preserve">wifi.conf</w:t>
      </w:r>
      <w:r>
        <w:t xml:space="preserve"> adds the radio and the WebSocket, and only that fragment needs the </w:t>
      </w:r>
      <w:r>
        <w:rPr>
          <w:rFonts w:ascii="Consolas" w:hAnsi="Consolas"/>
          <w:sz w:val="19"/>
          <w:szCs w:val="19"/>
        </w:rPr>
        <w:t xml:space="preserve">tf-psa-crypto</w:t>
      </w:r>
      <w:r>
        <w:t xml:space="preserve"> module (§9.2.1). The base firmware therefore still builds on a workspace that has never fetched it.</w:t>
      </w:r>
    </w:p>
    <w:p>
      <w:pPr>
        <w:pStyle w:val="Heading3"/>
      </w:pPr>
      <w:r>
        <w:t xml:space="preserve">Building against a moving target</w:t>
      </w:r>
    </w:p>
    <w:p>
      <w:pPr>
        <w:spacing w:after="120"/>
      </w:pPr>
      <w:r>
        <w:t xml:space="preserve">The application was written against Zephyr </w:t>
      </w:r>
      <w:r>
        <w:rPr>
          <w:rFonts w:ascii="Consolas" w:hAnsi="Consolas"/>
          <w:sz w:val="19"/>
          <w:szCs w:val="19"/>
        </w:rPr>
        <w:t xml:space="preserve">main</w:t>
      </w:r>
      <w:r>
        <w:t xml:space="preserve"> rather than a release, which is the correct choice here (the ESP32-S3 support and several of the drivers used are newer than the last long-term-support tag) but it has a cost. Six build-level problems were hit and resolved; they are recorded because each of them will reappear for whoever next moves the tree forward.</w:t>
      </w:r>
    </w:p>
    <w:p>
      <w:pPr>
        <w:spacing w:after="60" w:before="0"/>
        <w:ind w:left="720" w:hanging="360"/>
      </w:pPr>
      <w:r>
        <w:t xml:space="preserve">•</w:t>
      </w:r>
      <w:r>
        <w:tab/>
      </w:r>
      <w:r>
        <w:rPr>
          <w:rFonts w:ascii="Consolas" w:hAnsi="Consolas"/>
          <w:b/>
          <w:sz w:val="19"/>
          <w:szCs w:val="19"/>
        </w:rPr>
        <w:t xml:space="preserve">tf-psa-crypto</w:t>
      </w:r>
      <w:r>
        <w:rPr>
          <w:b/>
        </w:rPr>
        <w:t xml:space="preserve"> must be fetched for any radio or WebSocket build.</w:t>
      </w:r>
      <w:r>
        <w:t xml:space="preserve"> </w:t>
      </w:r>
      <w:r>
        <w:rPr>
          <w:rFonts w:ascii="Consolas" w:hAnsi="Consolas"/>
          <w:sz w:val="19"/>
          <w:szCs w:val="19"/>
        </w:rPr>
        <w:t xml:space="preserve">CONFIG_WIFI_ESP32</w:t>
      </w:r>
      <w:r>
        <w:t xml:space="preserve"> hard-selects </w:t>
      </w:r>
      <w:r>
        <w:rPr>
          <w:rFonts w:ascii="Consolas" w:hAnsi="Consolas"/>
          <w:sz w:val="19"/>
          <w:szCs w:val="19"/>
        </w:rPr>
        <w:t xml:space="preserve">MBEDTLS</w:t>
      </w:r>
      <w:r>
        <w:t xml:space="preserve">, and mbedtls at this revision has been split: its build pulls in the separate </w:t>
      </w:r>
      <w:r>
        <w:rPr>
          <w:rFonts w:ascii="Consolas" w:hAnsi="Consolas"/>
          <w:sz w:val="19"/>
          <w:szCs w:val="19"/>
        </w:rPr>
        <w:t xml:space="preserve">tf-psa-crypto</w:t>
      </w:r>
      <w:r>
        <w:t xml:space="preserve"> repository for the PSA crypto core, failing otherwise with </w:t>
      </w:r>
      <w:r>
        <w:rPr>
          <w:rFonts w:ascii="Consolas" w:hAnsi="Consolas"/>
          <w:sz w:val="19"/>
          <w:szCs w:val="19"/>
        </w:rPr>
        <w:t xml:space="preserve">TF-PSA-Crypto target tfpsacrypto does not exist</w:t>
      </w:r>
      <w:r>
        <w:t xml:space="preserve">. Independently, </w:t>
      </w:r>
      <w:r>
        <w:rPr>
          <w:rFonts w:ascii="Consolas" w:hAnsi="Consolas"/>
          <w:sz w:val="19"/>
          <w:szCs w:val="19"/>
        </w:rPr>
        <w:t xml:space="preserve">CONFIG_HTTP_SERVER_WEBSOCKET</w:t>
      </w:r>
      <w:r>
        <w:t xml:space="preserve"> selects </w:t>
      </w:r>
      <w:r>
        <w:rPr>
          <w:rFonts w:ascii="Consolas" w:hAnsi="Consolas"/>
          <w:sz w:val="19"/>
          <w:szCs w:val="19"/>
        </w:rPr>
        <w:t xml:space="preserve">PSA_CRYPTO</w:t>
      </w:r>
      <w:r>
        <w:t xml:space="preserve"> for the SHA-1 in the </w:t>
      </w:r>
      <w:r>
        <w:rPr>
          <w:rFonts w:ascii="Consolas" w:hAnsi="Consolas"/>
          <w:sz w:val="19"/>
          <w:szCs w:val="19"/>
        </w:rPr>
        <w:t xml:space="preserve">Sec-WebSocket-Accept</w:t>
      </w:r>
      <w:r>
        <w:t xml:space="preserve"> handshake, so the same module is needed even with the radio off. Resolved by a filtered, shallow </w:t>
      </w:r>
      <w:r>
        <w:rPr>
          <w:rFonts w:ascii="Consolas" w:hAnsi="Consolas"/>
          <w:sz w:val="19"/>
          <w:szCs w:val="19"/>
        </w:rPr>
        <w:t xml:space="preserve">west update</w:t>
      </w:r>
      <w:r>
        <w:t xml:space="preserve"> (≈ 25 MB).</w:t>
      </w:r>
    </w:p>
    <w:p>
      <w:pPr>
        <w:spacing w:after="60" w:before="0"/>
        <w:ind w:left="720" w:hanging="360"/>
      </w:pPr>
      <w:r>
        <w:t xml:space="preserve">•</w:t>
      </w:r>
      <w:r>
        <w:tab/>
      </w:r>
      <w:r>
        <w:rPr>
          <w:b/>
        </w:rPr>
        <w:t xml:space="preserve">Three Kconfig symbols do not exist.</w:t>
      </w:r>
      <w:r>
        <w:t xml:space="preserve"> </w:t>
      </w:r>
      <w:r>
        <w:rPr>
          <w:rFonts w:ascii="Consolas" w:hAnsi="Consolas"/>
          <w:sz w:val="19"/>
          <w:szCs w:val="19"/>
        </w:rPr>
        <w:t xml:space="preserve">CONFIG_WEBSOCKET</w:t>
      </w:r>
      <w:r>
        <w:t xml:space="preserve"> is selected rather than user-settable; the keypad symbol is </w:t>
      </w:r>
      <w:r>
        <w:rPr>
          <w:rFonts w:ascii="Consolas" w:hAnsi="Consolas"/>
          <w:sz w:val="19"/>
          <w:szCs w:val="19"/>
        </w:rPr>
        <w:t xml:space="preserve">LV_Z_KEYPAD_INPUT</w:t>
      </w:r>
      <w:r>
        <w:t xml:space="preserve">, not </w:t>
      </w:r>
      <w:r>
        <w:rPr>
          <w:rFonts w:ascii="Consolas" w:hAnsi="Consolas"/>
          <w:sz w:val="19"/>
          <w:szCs w:val="19"/>
        </w:rPr>
        <w:t xml:space="preserve">LV_Z_INPUT_KEYPAD</w:t>
      </w:r>
      <w:r>
        <w:t xml:space="preserve">, and it enables itself when the devicetree contains the node; and </w:t>
      </w:r>
      <w:r>
        <w:rPr>
          <w:rFonts w:ascii="Consolas" w:hAnsi="Consolas"/>
          <w:sz w:val="19"/>
          <w:szCs w:val="19"/>
        </w:rPr>
        <w:t xml:space="preserve">CONFIG_NET_SOCKETS_POLL_MAX</w:t>
      </w:r>
      <w:r>
        <w:t xml:space="preserve"> is now </w:t>
      </w:r>
      <w:r>
        <w:rPr>
          <w:rFonts w:ascii="Consolas" w:hAnsi="Consolas"/>
          <w:sz w:val="19"/>
          <w:szCs w:val="19"/>
        </w:rPr>
        <w:t xml:space="preserve">ZVFS_POLL_MAX</w:t>
      </w:r>
      <w:r>
        <w:t xml:space="preserve">. Zephyr promotes Kconfig warnings to errors, which is a good default and is what caught all three.</w:t>
      </w:r>
    </w:p>
    <w:p>
      <w:pPr>
        <w:spacing w:after="60" w:before="0"/>
        <w:ind w:left="720" w:hanging="360"/>
      </w:pPr>
      <w:r>
        <w:t xml:space="preserve">•</w:t>
      </w:r>
      <w:r>
        <w:tab/>
      </w:r>
      <w:r>
        <w:rPr>
          <w:b/>
        </w:rPr>
        <w:t xml:space="preserve">Two APIs have moved since most published examples were written.</w:t>
      </w:r>
      <w:r>
        <w:t xml:space="preserve"> State Machine Framework run functions now return </w:t>
      </w:r>
      <w:r>
        <w:rPr>
          <w:rFonts w:ascii="Consolas" w:hAnsi="Consolas"/>
          <w:sz w:val="19"/>
          <w:szCs w:val="19"/>
        </w:rPr>
        <w:t xml:space="preserve">enum smf_state_result</w:t>
      </w:r>
      <w:r>
        <w:t xml:space="preserve"> (</w:t>
      </w:r>
      <w:r>
        <w:rPr>
          <w:rFonts w:ascii="Consolas" w:hAnsi="Consolas"/>
          <w:sz w:val="19"/>
          <w:szCs w:val="19"/>
        </w:rPr>
        <w:t xml:space="preserve">SMF_EVENT_HANDLED</w:t>
      </w:r>
      <w:r>
        <w:t xml:space="preserve"> / </w:t>
      </w:r>
      <w:r>
        <w:rPr>
          <w:rFonts w:ascii="Consolas" w:hAnsi="Consolas"/>
          <w:sz w:val="19"/>
          <w:szCs w:val="19"/>
        </w:rPr>
        <w:t xml:space="preserve">SMF_EVENT_PROPAGATE</w:t>
      </w:r>
      <w:r>
        <w:t xml:space="preserve">) rather than </w:t>
      </w:r>
      <w:r>
        <w:rPr>
          <w:rFonts w:ascii="Consolas" w:hAnsi="Consolas"/>
          <w:sz w:val="19"/>
          <w:szCs w:val="19"/>
        </w:rPr>
        <w:t xml:space="preserve">void</w:t>
      </w:r>
      <w:r>
        <w:t xml:space="preserve">, and the HTTP transaction status enumerators are </w:t>
      </w:r>
      <w:r>
        <w:rPr>
          <w:rFonts w:ascii="Consolas" w:hAnsi="Consolas"/>
          <w:sz w:val="19"/>
          <w:szCs w:val="19"/>
        </w:rPr>
        <w:t xml:space="preserve">HTTP_SERVER_REQUEST_DATA_MORE</w:t>
      </w:r>
      <w:r>
        <w:t xml:space="preserve"> / </w:t>
      </w:r>
      <w:r>
        <w:rPr>
          <w:rFonts w:ascii="Consolas" w:hAnsi="Consolas"/>
          <w:sz w:val="19"/>
          <w:szCs w:val="19"/>
        </w:rPr>
        <w:t xml:space="preserve">_FINAL</w:t>
      </w:r>
      <w:r>
        <w:t xml:space="preserve">. Separately, </w:t>
      </w:r>
      <w:r>
        <w:rPr>
          <w:rFonts w:ascii="Consolas" w:hAnsi="Consolas"/>
          <w:sz w:val="19"/>
          <w:szCs w:val="19"/>
        </w:rPr>
        <w:t xml:space="preserve">send()</w:t>
      </w:r>
      <w:r>
        <w:t xml:space="preserve"> and </w:t>
      </w:r>
      <w:r>
        <w:rPr>
          <w:rFonts w:ascii="Consolas" w:hAnsi="Consolas"/>
          <w:sz w:val="19"/>
          <w:szCs w:val="19"/>
        </w:rPr>
        <w:t xml:space="preserve">close()</w:t>
      </w:r>
      <w:r>
        <w:t xml:space="preserve"> are POSIX aliases whose availability depends on configuration; the firmware uses </w:t>
      </w:r>
      <w:r>
        <w:rPr>
          <w:rFonts w:ascii="Consolas" w:hAnsi="Consolas"/>
          <w:sz w:val="19"/>
          <w:szCs w:val="19"/>
        </w:rPr>
        <w:t xml:space="preserve">zsock_send()</w:t>
      </w:r>
      <w:r>
        <w:t xml:space="preserve"> and </w:t>
      </w:r>
      <w:r>
        <w:rPr>
          <w:rFonts w:ascii="Consolas" w:hAnsi="Consolas"/>
          <w:sz w:val="19"/>
          <w:szCs w:val="19"/>
        </w:rPr>
        <w:t xml:space="preserve">zsock_close()</w:t>
      </w:r>
      <w:r>
        <w:t xml:space="preserve">, which are always present.</w:t>
      </w:r>
    </w:p>
    <w:p>
      <w:pPr>
        <w:spacing w:after="60" w:before="0"/>
        <w:ind w:left="720" w:hanging="360"/>
      </w:pPr>
      <w:r>
        <w:t xml:space="preserve">•</w:t>
      </w:r>
      <w:r>
        <w:tab/>
      </w:r>
      <w:r>
        <w:rPr>
          <w:rFonts w:ascii="Consolas" w:hAnsi="Consolas"/>
          <w:b/>
          <w:sz w:val="19"/>
          <w:szCs w:val="19"/>
        </w:rPr>
        <w:t xml:space="preserve">CMakelists.txt</w:t>
      </w:r>
      <w:r>
        <w:rPr>
          <w:b/>
        </w:rPr>
        <w:t xml:space="preserve"> was misspelled.</w:t>
      </w:r>
      <w:r>
        <w:t xml:space="preserve"> Zephyr requires </w:t>
      </w:r>
      <w:r>
        <w:rPr>
          <w:rFonts w:ascii="Consolas" w:hAnsi="Consolas"/>
          <w:sz w:val="19"/>
          <w:szCs w:val="19"/>
        </w:rPr>
        <w:t xml:space="preserve">CMakeLists.txt</w:t>
      </w:r>
      <w:r>
        <w:t xml:space="preserve"> exactly; the file "worked" only because the development filesystem is case-insensitive and would have failed on Linux or in continuous integration.</w:t>
      </w:r>
    </w:p>
    <w:p>
      <w:pPr>
        <w:spacing w:after="60" w:before="0"/>
        <w:ind w:left="720" w:hanging="360"/>
      </w:pPr>
      <w:r>
        <w:t xml:space="preserve">•</w:t>
      </w:r>
      <w:r>
        <w:tab/>
      </w:r>
      <w:r>
        <w:rPr>
          <w:b/>
        </w:rPr>
        <w:t xml:space="preserve">An out-of-tree vendor prefix warns.</w:t>
      </w:r>
      <w:r>
        <w:t xml:space="preserve"> The custom </w:t>
      </w:r>
      <w:r>
        <w:rPr>
          <w:rFonts w:ascii="Consolas" w:hAnsi="Consolas"/>
          <w:sz w:val="19"/>
          <w:szCs w:val="19"/>
        </w:rPr>
        <w:t xml:space="preserve">compatible = "calorimeter,io"</w:t>
      </w:r>
      <w:r>
        <w:t xml:space="preserve"> produces </w:t>
      </w:r>
      <w:r>
        <w:rPr>
          <w:rFonts w:ascii="Consolas" w:hAnsi="Consolas"/>
          <w:sz w:val="19"/>
          <w:szCs w:val="19"/>
        </w:rPr>
        <w:t xml:space="preserve">unknown vendor prefix</w:t>
      </w:r>
      <w:r>
        <w:t xml:space="preserve">, silenced properly with a </w:t>
      </w:r>
      <w:r>
        <w:rPr>
          <w:rFonts w:ascii="Consolas" w:hAnsi="Consolas"/>
          <w:sz w:val="19"/>
          <w:szCs w:val="19"/>
        </w:rPr>
        <w:t xml:space="preserve">dts/bindings/vendor-prefixes.txt</w:t>
      </w:r>
      <w:r>
        <w:t xml:space="preserve"> rather than by suppressing the diagnostic.</w:t>
      </w:r>
    </w:p>
    <w:p>
      <w:pPr>
        <w:spacing w:after="60" w:before="0"/>
        <w:ind w:left="720" w:hanging="360"/>
      </w:pPr>
      <w:r>
        <w:t xml:space="preserve">•</w:t>
      </w:r>
      <w:r>
        <w:tab/>
      </w:r>
      <w:r>
        <w:rPr>
          <w:b/>
        </w:rPr>
        <w:t xml:space="preserve">The I²C multiplexer will not compile at default priorities.</w:t>
      </w:r>
      <w:r>
        <w:t xml:space="preserve"> </w:t>
      </w:r>
      <w:r>
        <w:rPr>
          <w:rFonts w:ascii="Consolas" w:hAnsi="Consolas"/>
          <w:sz w:val="19"/>
          <w:szCs w:val="19"/>
        </w:rPr>
        <w:t xml:space="preserve">i2c_tca954x.c</w:t>
      </w:r>
      <w:r>
        <w:t xml:space="preserve"> carries a </w:t>
      </w:r>
      <w:r>
        <w:rPr>
          <w:rFonts w:ascii="Consolas" w:hAnsi="Consolas"/>
          <w:sz w:val="19"/>
          <w:szCs w:val="19"/>
        </w:rPr>
        <w:t xml:space="preserve">BUILD_ASSERT</w:t>
      </w:r>
      <w:r>
        <w:t xml:space="preserve"> that the channel devices initialise after the root, and both default to </w:t>
      </w:r>
      <w:r>
        <w:rPr>
          <w:rFonts w:ascii="Consolas" w:hAnsi="Consolas"/>
          <w:sz w:val="19"/>
          <w:szCs w:val="19"/>
        </w:rPr>
        <w:t xml:space="preserve">CONFIG_I2C_INIT_PRIORITY</w:t>
      </w:r>
      <w:r>
        <w:t xml:space="preserve"> — so the driver fails to build the moment a multiplexer appears in the tree. Resolved with an explicit priority ladder: root 50, channels 51, sensors 90.</w:t>
      </w:r>
    </w:p>
    <w:p>
      <w:pPr>
        <w:pStyle w:val="Heading2"/>
      </w:pPr>
      <w:r>
        <w:t xml:space="preserve">Application structure</w:t>
      </w:r>
    </w:p>
    <w:p>
      <w:pPr>
        <w:spacing w:after="120"/>
      </w:pPr>
      <w:r>
        <w:t xml:space="preserve">The application is eleven translation units, twelve headers — one of them generated — and one web page. The organising rule is that </w:t>
      </w:r>
      <w:r>
        <w:rPr>
          <w:b/>
        </w:rPr>
        <w:t xml:space="preserve">the include graph is a tree</w:t>
      </w:r>
      <w:r>
        <w:t xml:space="preserve">: every </w:t>
      </w:r>
      <w:r>
        <w:rPr>
          <w:rFonts w:ascii="Consolas" w:hAnsi="Consolas"/>
          <w:sz w:val="19"/>
          <w:szCs w:val="19"/>
        </w:rPr>
        <w:t xml:space="preserve">.c</w:t>
      </w:r>
      <w:r>
        <w:t xml:space="preserve"> file may include </w:t>
      </w:r>
      <w:r>
        <w:rPr>
          <w:rFonts w:ascii="Consolas" w:hAnsi="Consolas"/>
          <w:sz w:val="19"/>
          <w:szCs w:val="19"/>
        </w:rPr>
        <w:t xml:space="preserve">types.h</w:t>
      </w:r>
      <w:r>
        <w:t xml:space="preserve">, and no module header includes another module's header. That single constraint is what keeps the modules independently readable and is why </w:t>
      </w:r>
      <w:r>
        <w:rPr>
          <w:rFonts w:ascii="Consolas" w:hAnsi="Consolas"/>
          <w:sz w:val="19"/>
          <w:szCs w:val="19"/>
        </w:rPr>
        <w:t xml:space="preserve">types.h</w:t>
      </w:r>
      <w:r>
        <w:t xml:space="preserve"> exists at all.</w:t>
      </w:r>
    </w:p>
    <w:tbl>
      <w:tblPr>
        <w:tblStyle w:val="TableGrid"/>
        <w:tblW w:type="auto" w:w="0"/>
        <w:jc w:val="center"/>
        <w:tblLayout w:type="fixed"/>
        <w:tblLook w:firstColumn="1" w:firstRow="1" w:lastColumn="0" w:lastRow="0" w:noHBand="0" w:noVBand="1" w:val="04A0"/>
      </w:tblPr>
      <w:tblGrid>
        <w:gridCol w:w="2006"/>
        <w:gridCol w:w="802"/>
        <w:gridCol w:w="6218"/>
      </w:tblGrid>
      <w:tr>
        <w:trPr>
          <w:tblHeader w:val="true"/>
        </w:trPr>
        <w:tc>
          <w:tcPr>
            <w:tcW w:type="dxa" w:w="2006"/>
            <w:shd w:val="clear" w:color="auto" w:fill="DEEAF6"/>
          </w:tcPr>
          <w:p>
            <w:pPr>
              <w:spacing w:after="20" w:before="20"/>
            </w:pPr>
            <w:r>
              <w:rPr>
                <w:b/>
                <w:sz w:val="18"/>
                <w:szCs w:val="18"/>
              </w:rPr>
              <w:t xml:space="preserve">File</w:t>
            </w:r>
          </w:p>
        </w:tc>
        <w:tc>
          <w:tcPr>
            <w:tcW w:type="dxa" w:w="802"/>
            <w:shd w:val="clear" w:color="auto" w:fill="DEEAF6"/>
          </w:tcPr>
          <w:p>
            <w:pPr>
              <w:spacing w:after="20" w:before="20"/>
            </w:pPr>
            <w:r>
              <w:rPr>
                <w:b/>
                <w:sz w:val="18"/>
                <w:szCs w:val="18"/>
              </w:rPr>
              <w:t xml:space="preserve">Lines</w:t>
            </w:r>
          </w:p>
        </w:tc>
        <w:tc>
          <w:tcPr>
            <w:tcW w:type="dxa" w:w="6218"/>
            <w:shd w:val="clear" w:color="auto" w:fill="DEEAF6"/>
          </w:tcPr>
          <w:p>
            <w:pPr>
              <w:spacing w:after="20" w:before="20"/>
            </w:pPr>
            <w:r>
              <w:rPr>
                <w:b/>
                <w:sz w:val="18"/>
                <w:szCs w:val="18"/>
              </w:rPr>
              <w:t xml:space="preserve">Role</w:t>
            </w:r>
          </w:p>
        </w:tc>
      </w:tr>
      <w:tr>
        <w:tc>
          <w:tcPr>
            <w:tcW w:type="dxa" w:w="2006"/>
          </w:tcPr>
          <w:p>
            <w:pPr>
              <w:spacing w:after="20" w:before="20"/>
            </w:pPr>
            <w:r>
              <w:rPr>
                <w:rFonts w:ascii="Consolas" w:hAnsi="Consolas"/>
                <w:sz w:val="17"/>
                <w:szCs w:val="17"/>
              </w:rPr>
              <w:t xml:space="preserve">main.c</w:t>
            </w:r>
          </w:p>
        </w:tc>
        <w:tc>
          <w:tcPr>
            <w:tcW w:type="dxa" w:w="802"/>
          </w:tcPr>
          <w:p>
            <w:pPr>
              <w:spacing w:after="20" w:before="20"/>
            </w:pPr>
            <w:r>
              <w:rPr>
                <w:sz w:val="18"/>
                <w:szCs w:val="18"/>
              </w:rPr>
              <w:t xml:space="preserve">547</w:t>
            </w:r>
          </w:p>
        </w:tc>
        <w:tc>
          <w:tcPr>
            <w:tcW w:type="dxa" w:w="6218"/>
          </w:tcPr>
          <w:p>
            <w:pPr>
              <w:spacing w:after="20" w:before="20"/>
            </w:pPr>
            <w:r>
              <w:rPr>
                <w:sz w:val="18"/>
                <w:szCs w:val="18"/>
              </w:rPr>
              <w:t xml:space="preserve">boot order, the 1 Hz tick, the shell commands</w:t>
            </w:r>
          </w:p>
        </w:tc>
      </w:tr>
      <w:tr>
        <w:tc>
          <w:tcPr>
            <w:tcW w:type="dxa" w:w="2006"/>
          </w:tcPr>
          <w:p>
            <w:pPr>
              <w:spacing w:after="20" w:before="20"/>
            </w:pPr>
            <w:r>
              <w:rPr>
                <w:rFonts w:ascii="Consolas" w:hAnsi="Consolas"/>
                <w:sz w:val="17"/>
                <w:szCs w:val="17"/>
              </w:rPr>
              <w:t xml:space="preserve">types.h</w:t>
            </w:r>
          </w:p>
        </w:tc>
        <w:tc>
          <w:tcPr>
            <w:tcW w:type="dxa" w:w="802"/>
          </w:tcPr>
          <w:p>
            <w:pPr>
              <w:spacing w:after="20" w:before="20"/>
            </w:pPr>
            <w:r>
              <w:rPr>
                <w:sz w:val="18"/>
                <w:szCs w:val="18"/>
              </w:rPr>
              <w:t xml:space="preserve">217</w:t>
            </w:r>
          </w:p>
        </w:tc>
        <w:tc>
          <w:tcPr>
            <w:tcW w:type="dxa" w:w="6218"/>
          </w:tcPr>
          <w:p>
            <w:pPr>
              <w:spacing w:after="20" w:before="20"/>
            </w:pPr>
            <w:r>
              <w:rPr>
                <w:rFonts w:ascii="Consolas" w:hAnsi="Consolas"/>
                <w:sz w:val="17"/>
                <w:szCs w:val="17"/>
              </w:rPr>
              <w:t xml:space="preserve">struct meas</w:t>
            </w:r>
            <w:r>
              <w:rPr>
                <w:sz w:val="18"/>
                <w:szCs w:val="18"/>
              </w:rPr>
              <w:t xml:space="preserve">, the snapshot, the fault word, the command type</w:t>
            </w:r>
          </w:p>
        </w:tc>
      </w:tr>
      <w:tr>
        <w:tc>
          <w:tcPr>
            <w:tcW w:type="dxa" w:w="2006"/>
          </w:tcPr>
          <w:p>
            <w:pPr>
              <w:spacing w:after="20" w:before="20"/>
            </w:pPr>
            <w:r>
              <w:rPr>
                <w:rFonts w:ascii="Consolas" w:hAnsi="Consolas"/>
                <w:sz w:val="17"/>
                <w:szCs w:val="17"/>
              </w:rPr>
              <w:t xml:space="preserve">model_gen.h</w:t>
            </w:r>
          </w:p>
        </w:tc>
        <w:tc>
          <w:tcPr>
            <w:tcW w:type="dxa" w:w="802"/>
          </w:tcPr>
          <w:p>
            <w:pPr>
              <w:spacing w:after="20" w:before="20"/>
            </w:pPr>
            <w:r>
              <w:rPr>
                <w:sz w:val="18"/>
                <w:szCs w:val="18"/>
              </w:rPr>
              <w:t xml:space="preserve">186</w:t>
            </w:r>
          </w:p>
        </w:tc>
        <w:tc>
          <w:tcPr>
            <w:tcW w:type="dxa" w:w="6218"/>
          </w:tcPr>
          <w:p>
            <w:pPr>
              <w:spacing w:after="20" w:before="20"/>
            </w:pPr>
            <w:r>
              <w:rPr>
                <w:b/>
                <w:sz w:val="18"/>
                <w:szCs w:val="18"/>
              </w:rPr>
              <w:t xml:space="preserve">generated</w:t>
            </w:r>
            <w:r>
              <w:rPr>
                <w:sz w:val="18"/>
                <w:szCs w:val="18"/>
              </w:rPr>
              <w:t xml:space="preserve"> — plant constants, gains, gates, ranging table</w:t>
            </w:r>
          </w:p>
        </w:tc>
      </w:tr>
      <w:tr>
        <w:tc>
          <w:tcPr>
            <w:tcW w:type="dxa" w:w="2006"/>
          </w:tcPr>
          <w:p>
            <w:pPr>
              <w:spacing w:after="20" w:before="20"/>
            </w:pPr>
            <w:r>
              <w:rPr>
                <w:rFonts w:ascii="Consolas" w:hAnsi="Consolas"/>
                <w:sz w:val="17"/>
                <w:szCs w:val="17"/>
              </w:rPr>
              <w:t xml:space="preserve">control-system.c/h</w:t>
            </w:r>
          </w:p>
        </w:tc>
        <w:tc>
          <w:tcPr>
            <w:tcW w:type="dxa" w:w="802"/>
          </w:tcPr>
          <w:p>
            <w:pPr>
              <w:spacing w:after="20" w:before="20"/>
            </w:pPr>
            <w:r>
              <w:rPr>
                <w:sz w:val="18"/>
                <w:szCs w:val="18"/>
              </w:rPr>
              <w:t xml:space="preserve">660</w:t>
            </w:r>
          </w:p>
        </w:tc>
        <w:tc>
          <w:tcPr>
            <w:tcW w:type="dxa" w:w="6218"/>
          </w:tcPr>
          <w:p>
            <w:pPr>
              <w:spacing w:after="20" w:before="20"/>
            </w:pPr>
            <w:r>
              <w:rPr>
                <w:sz w:val="18"/>
                <w:szCs w:val="18"/>
              </w:rPr>
              <w:t xml:space="preserve">plain C, no Zephyr: meter, PI loops, gates, observer</w:t>
            </w:r>
          </w:p>
        </w:tc>
      </w:tr>
      <w:tr>
        <w:tc>
          <w:tcPr>
            <w:tcW w:type="dxa" w:w="2006"/>
          </w:tcPr>
          <w:p>
            <w:pPr>
              <w:spacing w:after="20" w:before="20"/>
            </w:pPr>
            <w:r>
              <w:rPr>
                <w:rFonts w:ascii="Consolas" w:hAnsi="Consolas"/>
                <w:sz w:val="17"/>
                <w:szCs w:val="17"/>
              </w:rPr>
              <w:t xml:space="preserve">temp-sense.c/h</w:t>
            </w:r>
          </w:p>
        </w:tc>
        <w:tc>
          <w:tcPr>
            <w:tcW w:type="dxa" w:w="802"/>
          </w:tcPr>
          <w:p>
            <w:pPr>
              <w:spacing w:after="20" w:before="20"/>
            </w:pPr>
            <w:r>
              <w:rPr>
                <w:sz w:val="18"/>
                <w:szCs w:val="18"/>
              </w:rPr>
              <w:t xml:space="preserve">376</w:t>
            </w:r>
          </w:p>
        </w:tc>
        <w:tc>
          <w:tcPr>
            <w:tcW w:type="dxa" w:w="6218"/>
          </w:tcPr>
          <w:p>
            <w:pPr>
              <w:spacing w:after="20" w:before="20"/>
            </w:pPr>
            <w:r>
              <w:rPr>
                <w:sz w:val="18"/>
                <w:szCs w:val="18"/>
              </w:rPr>
              <w:t xml:space="preserve">TMP117 chamber temperatures, grouped into thermal zones</w:t>
            </w:r>
          </w:p>
        </w:tc>
      </w:tr>
      <w:tr>
        <w:tc>
          <w:tcPr>
            <w:tcW w:type="dxa" w:w="2006"/>
          </w:tcPr>
          <w:p>
            <w:pPr>
              <w:spacing w:after="20" w:before="20"/>
            </w:pPr>
            <w:r>
              <w:rPr>
                <w:rFonts w:ascii="Consolas" w:hAnsi="Consolas"/>
                <w:sz w:val="17"/>
                <w:szCs w:val="17"/>
              </w:rPr>
              <w:t xml:space="preserve">power-sense.c/h</w:t>
            </w:r>
          </w:p>
        </w:tc>
        <w:tc>
          <w:tcPr>
            <w:tcW w:type="dxa" w:w="802"/>
          </w:tcPr>
          <w:p>
            <w:pPr>
              <w:spacing w:after="20" w:before="20"/>
            </w:pPr>
            <w:r>
              <w:rPr>
                <w:sz w:val="18"/>
                <w:szCs w:val="18"/>
              </w:rPr>
              <w:t xml:space="preserve">391</w:t>
            </w:r>
          </w:p>
        </w:tc>
        <w:tc>
          <w:tcPr>
            <w:tcW w:type="dxa" w:w="6218"/>
          </w:tcPr>
          <w:p>
            <w:pPr>
              <w:spacing w:after="20" w:before="20"/>
            </w:pPr>
            <w:r>
              <w:rPr>
                <w:sz w:val="18"/>
                <w:szCs w:val="18"/>
              </w:rPr>
              <w:t xml:space="preserve">INA226 / INA3221 rail metering and the hardware over-current arm</w:t>
            </w:r>
          </w:p>
        </w:tc>
      </w:tr>
      <w:tr>
        <w:tc>
          <w:tcPr>
            <w:tcW w:type="dxa" w:w="2006"/>
          </w:tcPr>
          <w:p>
            <w:pPr>
              <w:spacing w:after="20" w:before="20"/>
            </w:pPr>
            <w:r>
              <w:rPr>
                <w:rFonts w:ascii="Consolas" w:hAnsi="Consolas"/>
                <w:sz w:val="17"/>
                <w:szCs w:val="17"/>
              </w:rPr>
              <w:t xml:space="preserve">water-loop.c/h</w:t>
            </w:r>
          </w:p>
        </w:tc>
        <w:tc>
          <w:tcPr>
            <w:tcW w:type="dxa" w:w="802"/>
          </w:tcPr>
          <w:p>
            <w:pPr>
              <w:spacing w:after="20" w:before="20"/>
            </w:pPr>
            <w:r>
              <w:rPr>
                <w:sz w:val="18"/>
                <w:szCs w:val="18"/>
              </w:rPr>
              <w:t xml:space="preserve">661</w:t>
            </w:r>
          </w:p>
        </w:tc>
        <w:tc>
          <w:tcPr>
            <w:tcW w:type="dxa" w:w="6218"/>
          </w:tcPr>
          <w:p>
            <w:pPr>
              <w:spacing w:after="20" w:before="20"/>
            </w:pPr>
            <w:r>
              <w:rPr>
                <w:sz w:val="18"/>
                <w:szCs w:val="18"/>
              </w:rPr>
              <w:t xml:space="preserve">pump (incl. TMC5160 configuration), RTD ΔT pair, turbine flow meter</w:t>
            </w:r>
          </w:p>
        </w:tc>
      </w:tr>
      <w:tr>
        <w:tc>
          <w:tcPr>
            <w:tcW w:type="dxa" w:w="2006"/>
          </w:tcPr>
          <w:p>
            <w:pPr>
              <w:spacing w:after="20" w:before="20"/>
            </w:pPr>
            <w:r>
              <w:rPr>
                <w:rFonts w:ascii="Consolas" w:hAnsi="Consolas"/>
                <w:sz w:val="17"/>
                <w:szCs w:val="17"/>
              </w:rPr>
              <w:t xml:space="preserve">fans.c/h</w:t>
            </w:r>
          </w:p>
        </w:tc>
        <w:tc>
          <w:tcPr>
            <w:tcW w:type="dxa" w:w="802"/>
          </w:tcPr>
          <w:p>
            <w:pPr>
              <w:spacing w:after="20" w:before="20"/>
            </w:pPr>
            <w:r>
              <w:rPr>
                <w:sz w:val="18"/>
                <w:szCs w:val="18"/>
              </w:rPr>
              <w:t xml:space="preserve">357</w:t>
            </w:r>
          </w:p>
        </w:tc>
        <w:tc>
          <w:tcPr>
            <w:tcW w:type="dxa" w:w="6218"/>
          </w:tcPr>
          <w:p>
            <w:pPr>
              <w:spacing w:after="20" w:before="20"/>
            </w:pPr>
            <w:r>
              <w:rPr>
                <w:sz w:val="18"/>
                <w:szCs w:val="18"/>
              </w:rPr>
              <w:t xml:space="preserve">three PWM fan groups and their tachometers</w:t>
            </w:r>
          </w:p>
        </w:tc>
      </w:tr>
      <w:tr>
        <w:tc>
          <w:tcPr>
            <w:tcW w:type="dxa" w:w="2006"/>
          </w:tcPr>
          <w:p>
            <w:pPr>
              <w:spacing w:after="20" w:before="20"/>
            </w:pPr>
            <w:r>
              <w:rPr>
                <w:rFonts w:ascii="Consolas" w:hAnsi="Consolas"/>
                <w:sz w:val="17"/>
                <w:szCs w:val="17"/>
              </w:rPr>
              <w:t xml:space="preserve">heaters.c/h</w:t>
            </w:r>
          </w:p>
        </w:tc>
        <w:tc>
          <w:tcPr>
            <w:tcW w:type="dxa" w:w="802"/>
          </w:tcPr>
          <w:p>
            <w:pPr>
              <w:spacing w:after="20" w:before="20"/>
            </w:pPr>
            <w:r>
              <w:rPr>
                <w:sz w:val="18"/>
                <w:szCs w:val="18"/>
              </w:rPr>
              <w:t xml:space="preserve">253</w:t>
            </w:r>
          </w:p>
        </w:tc>
        <w:tc>
          <w:tcPr>
            <w:tcW w:type="dxa" w:w="6218"/>
          </w:tcPr>
          <w:p>
            <w:pPr>
              <w:spacing w:after="20" w:before="20"/>
            </w:pPr>
            <w:r>
              <w:rPr>
                <w:sz w:val="18"/>
                <w:szCs w:val="18"/>
              </w:rPr>
              <w:t xml:space="preserve">the two heaters, driven in watts through an inner power loop</w:t>
            </w:r>
          </w:p>
        </w:tc>
      </w:tr>
      <w:tr>
        <w:tc>
          <w:tcPr>
            <w:tcW w:type="dxa" w:w="2006"/>
          </w:tcPr>
          <w:p>
            <w:pPr>
              <w:spacing w:after="20" w:before="20"/>
            </w:pPr>
            <w:r>
              <w:rPr>
                <w:rFonts w:ascii="Consolas" w:hAnsi="Consolas"/>
                <w:sz w:val="17"/>
                <w:szCs w:val="17"/>
              </w:rPr>
              <w:t xml:space="preserve">calibration.c/h</w:t>
            </w:r>
          </w:p>
        </w:tc>
        <w:tc>
          <w:tcPr>
            <w:tcW w:type="dxa" w:w="802"/>
          </w:tcPr>
          <w:p>
            <w:pPr>
              <w:spacing w:after="20" w:before="20"/>
            </w:pPr>
            <w:r>
              <w:rPr>
                <w:sz w:val="18"/>
                <w:szCs w:val="18"/>
              </w:rPr>
              <w:t xml:space="preserve">521</w:t>
            </w:r>
          </w:p>
        </w:tc>
        <w:tc>
          <w:tcPr>
            <w:tcW w:type="dxa" w:w="6218"/>
          </w:tcPr>
          <w:p>
            <w:pPr>
              <w:spacing w:after="20" w:before="20"/>
            </w:pPr>
            <w:r>
              <w:rPr>
                <w:sz w:val="18"/>
                <w:szCs w:val="18"/>
              </w:rPr>
              <w:t xml:space="preserve">soak / tare / substitution procedures and the NVS store</w:t>
            </w:r>
          </w:p>
        </w:tc>
      </w:tr>
      <w:tr>
        <w:tc>
          <w:tcPr>
            <w:tcW w:type="dxa" w:w="2006"/>
          </w:tcPr>
          <w:p>
            <w:pPr>
              <w:spacing w:after="20" w:before="20"/>
            </w:pPr>
            <w:r>
              <w:rPr>
                <w:rFonts w:ascii="Consolas" w:hAnsi="Consolas"/>
                <w:sz w:val="17"/>
                <w:szCs w:val="17"/>
              </w:rPr>
              <w:t xml:space="preserve">system.c/h</w:t>
            </w:r>
          </w:p>
        </w:tc>
        <w:tc>
          <w:tcPr>
            <w:tcW w:type="dxa" w:w="802"/>
          </w:tcPr>
          <w:p>
            <w:pPr>
              <w:spacing w:after="20" w:before="20"/>
            </w:pPr>
            <w:r>
              <w:rPr>
                <w:sz w:val="18"/>
                <w:szCs w:val="18"/>
              </w:rPr>
              <w:t xml:space="preserve">1 161</w:t>
            </w:r>
          </w:p>
        </w:tc>
        <w:tc>
          <w:tcPr>
            <w:tcW w:type="dxa" w:w="6218"/>
          </w:tcPr>
          <w:p>
            <w:pPr>
              <w:spacing w:after="20" w:before="20"/>
            </w:pPr>
            <w:r>
              <w:rPr>
                <w:sz w:val="18"/>
                <w:szCs w:val="18"/>
              </w:rPr>
              <w:t xml:space="preserve">supervisor state machine, safety thread, self-test, faults</w:t>
            </w:r>
          </w:p>
        </w:tc>
      </w:tr>
      <w:tr>
        <w:tc>
          <w:tcPr>
            <w:tcW w:type="dxa" w:w="2006"/>
          </w:tcPr>
          <w:p>
            <w:pPr>
              <w:spacing w:after="20" w:before="20"/>
            </w:pPr>
            <w:r>
              <w:rPr>
                <w:rFonts w:ascii="Consolas" w:hAnsi="Consolas"/>
                <w:sz w:val="17"/>
                <w:szCs w:val="17"/>
              </w:rPr>
              <w:t xml:space="preserve">ui.c/h</w:t>
            </w:r>
          </w:p>
        </w:tc>
        <w:tc>
          <w:tcPr>
            <w:tcW w:type="dxa" w:w="802"/>
          </w:tcPr>
          <w:p>
            <w:pPr>
              <w:spacing w:after="20" w:before="20"/>
            </w:pPr>
            <w:r>
              <w:rPr>
                <w:sz w:val="18"/>
                <w:szCs w:val="18"/>
              </w:rPr>
              <w:t xml:space="preserve">519</w:t>
            </w:r>
          </w:p>
        </w:tc>
        <w:tc>
          <w:tcPr>
            <w:tcW w:type="dxa" w:w="6218"/>
          </w:tcPr>
          <w:p>
            <w:pPr>
              <w:spacing w:after="20" w:before="20"/>
            </w:pPr>
            <w:r>
              <w:rPr>
                <w:sz w:val="18"/>
                <w:szCs w:val="18"/>
              </w:rPr>
              <w:t xml:space="preserve">LVGL panel: the RUN / CTRL / NET screens</w:t>
            </w:r>
          </w:p>
        </w:tc>
      </w:tr>
      <w:tr>
        <w:tc>
          <w:tcPr>
            <w:tcW w:type="dxa" w:w="2006"/>
          </w:tcPr>
          <w:p>
            <w:pPr>
              <w:spacing w:after="20" w:before="20"/>
            </w:pPr>
            <w:r>
              <w:rPr>
                <w:rFonts w:ascii="Consolas" w:hAnsi="Consolas"/>
                <w:sz w:val="17"/>
                <w:szCs w:val="17"/>
              </w:rPr>
              <w:t xml:space="preserve">iot.c/h</w:t>
            </w:r>
          </w:p>
        </w:tc>
        <w:tc>
          <w:tcPr>
            <w:tcW w:type="dxa" w:w="802"/>
          </w:tcPr>
          <w:p>
            <w:pPr>
              <w:spacing w:after="20" w:before="20"/>
            </w:pPr>
            <w:r>
              <w:rPr>
                <w:sz w:val="18"/>
                <w:szCs w:val="18"/>
              </w:rPr>
              <w:t xml:space="preserve">644</w:t>
            </w:r>
          </w:p>
        </w:tc>
        <w:tc>
          <w:tcPr>
            <w:tcW w:type="dxa" w:w="6218"/>
          </w:tcPr>
          <w:p>
            <w:pPr>
              <w:spacing w:after="20" w:before="20"/>
            </w:pPr>
            <w:r>
              <w:rPr>
                <w:sz w:val="18"/>
                <w:szCs w:val="18"/>
              </w:rPr>
              <w:t xml:space="preserve">Wi-Fi association, HTTP dashboard, WebSocket push</w:t>
            </w:r>
          </w:p>
        </w:tc>
      </w:tr>
      <w:tr>
        <w:tc>
          <w:tcPr>
            <w:tcW w:type="dxa" w:w="2006"/>
          </w:tcPr>
          <w:p>
            <w:pPr>
              <w:spacing w:after="20" w:before="20"/>
            </w:pPr>
            <w:r>
              <w:rPr>
                <w:rFonts w:ascii="Consolas" w:hAnsi="Consolas"/>
                <w:sz w:val="17"/>
                <w:szCs w:val="17"/>
              </w:rPr>
              <w:t xml:space="preserve">webapp/index.html</w:t>
            </w:r>
          </w:p>
        </w:tc>
        <w:tc>
          <w:tcPr>
            <w:tcW w:type="dxa" w:w="802"/>
          </w:tcPr>
          <w:p>
            <w:pPr>
              <w:spacing w:after="20" w:before="20"/>
            </w:pPr>
            <w:r>
              <w:rPr>
                <w:sz w:val="18"/>
                <w:szCs w:val="18"/>
              </w:rPr>
              <w:t xml:space="preserve">332</w:t>
            </w:r>
          </w:p>
        </w:tc>
        <w:tc>
          <w:tcPr>
            <w:tcW w:type="dxa" w:w="6218"/>
          </w:tcPr>
          <w:p>
            <w:pPr>
              <w:spacing w:after="20" w:before="20"/>
            </w:pPr>
            <w:r>
              <w:rPr>
                <w:sz w:val="18"/>
                <w:szCs w:val="18"/>
              </w:rPr>
              <w:t xml:space="preserve">the dashboard, gzipped into flash at build time (≈ 5.5 kB)</w:t>
            </w:r>
          </w:p>
        </w:tc>
      </w:tr>
    </w:tbl>
    <w:p>
      <w:pPr>
        <w:spacing w:before="60" w:after="200"/>
        <w:jc w:val="left"/>
      </w:pPr>
      <w:r>
        <w:rPr>
          <w:sz w:val="18"/>
          <w:szCs w:val="18"/>
        </w:rPr>
        <w:t xml:space="preserve">Table 41. The application source files. Line counts are as built; the two board overlays (497 and 405 lines), the three bindings, the four Kconfig fragments and the 290-line generator are not listed here.</w:t>
      </w:r>
    </w:p>
    <w:p>
      <w:pPr>
        <w:spacing w:after="120"/>
      </w:pPr>
      <w:r>
        <w:t xml:space="preserve">Four of these files were not in the structure originally requested of the firmware. Each is justified below rather than silently added, because "one more file" is the easiest thing in an embedded project to get wrong in either direction.</w:t>
      </w:r>
    </w:p>
    <w:tbl>
      <w:tblPr>
        <w:tblStyle w:val="TableGrid"/>
        <w:tblW w:type="auto" w:w="0"/>
        <w:jc w:val="center"/>
        <w:tblLayout w:type="fixed"/>
        <w:tblLook w:firstColumn="1" w:firstRow="1" w:lastColumn="0" w:lastRow="0" w:noHBand="0" w:noVBand="1" w:val="04A0"/>
      </w:tblPr>
      <w:tblGrid>
        <w:gridCol w:w="2006"/>
        <w:gridCol w:w="7020"/>
      </w:tblGrid>
      <w:tr>
        <w:trPr>
          <w:tblHeader w:val="true"/>
        </w:trPr>
        <w:tc>
          <w:tcPr>
            <w:tcW w:type="dxa" w:w="2006"/>
            <w:shd w:val="clear" w:color="auto" w:fill="DEEAF6"/>
          </w:tcPr>
          <w:p>
            <w:pPr>
              <w:spacing w:after="20" w:before="20"/>
            </w:pPr>
            <w:r>
              <w:rPr>
                <w:b/>
                <w:sz w:val="18"/>
                <w:szCs w:val="18"/>
              </w:rPr>
              <w:t xml:space="preserve">File</w:t>
            </w:r>
          </w:p>
        </w:tc>
        <w:tc>
          <w:tcPr>
            <w:tcW w:type="dxa" w:w="7020"/>
            <w:shd w:val="clear" w:color="auto" w:fill="DEEAF6"/>
          </w:tcPr>
          <w:p>
            <w:pPr>
              <w:spacing w:after="20" w:before="20"/>
            </w:pPr>
            <w:r>
              <w:rPr>
                <w:b/>
                <w:sz w:val="18"/>
                <w:szCs w:val="18"/>
              </w:rPr>
              <w:t xml:space="preserve">Why it is not folded into something else</w:t>
            </w:r>
          </w:p>
        </w:tc>
      </w:tr>
      <w:tr>
        <w:tc>
          <w:tcPr>
            <w:tcW w:type="dxa" w:w="2006"/>
          </w:tcPr>
          <w:p>
            <w:pPr>
              <w:spacing w:after="20" w:before="20"/>
            </w:pPr>
            <w:r>
              <w:rPr>
                <w:rFonts w:ascii="Consolas" w:hAnsi="Consolas"/>
                <w:sz w:val="17"/>
                <w:szCs w:val="17"/>
              </w:rPr>
              <w:t xml:space="preserve">types.h</w:t>
            </w:r>
          </w:p>
        </w:tc>
        <w:tc>
          <w:tcPr>
            <w:tcW w:type="dxa" w:w="7020"/>
          </w:tcPr>
          <w:p>
            <w:pPr>
              <w:spacing w:after="20" w:before="20"/>
            </w:pPr>
            <w:r>
              <w:rPr>
                <w:sz w:val="18"/>
                <w:szCs w:val="18"/>
              </w:rPr>
              <w:t xml:space="preserve">Shared types with </w:t>
            </w:r>
            <w:r>
              <w:rPr>
                <w:b/>
                <w:sz w:val="18"/>
                <w:szCs w:val="18"/>
              </w:rPr>
              <w:t xml:space="preserve">no</w:t>
            </w:r>
            <w:r>
              <w:rPr>
                <w:sz w:val="18"/>
                <w:szCs w:val="18"/>
              </w:rPr>
              <w:t xml:space="preserve"> module dependencies. Without it, </w:t>
            </w:r>
            <w:r>
              <w:rPr>
                <w:rFonts w:ascii="Consolas" w:hAnsi="Consolas"/>
                <w:sz w:val="17"/>
                <w:szCs w:val="17"/>
              </w:rPr>
              <w:t xml:space="preserve">temp-sense.h</w:t>
            </w:r>
            <w:r>
              <w:rPr>
                <w:sz w:val="18"/>
                <w:szCs w:val="18"/>
              </w:rPr>
              <w:t xml:space="preserve"> would have to include </w:t>
            </w:r>
            <w:r>
              <w:rPr>
                <w:rFonts w:ascii="Consolas" w:hAnsi="Consolas"/>
                <w:sz w:val="17"/>
                <w:szCs w:val="17"/>
              </w:rPr>
              <w:t xml:space="preserve">system.h</w:t>
            </w:r>
            <w:r>
              <w:rPr>
                <w:sz w:val="18"/>
                <w:szCs w:val="18"/>
              </w:rPr>
              <w:t xml:space="preserve"> to see the fault word, </w:t>
            </w:r>
            <w:r>
              <w:rPr>
                <w:rFonts w:ascii="Consolas" w:hAnsi="Consolas"/>
                <w:sz w:val="17"/>
                <w:szCs w:val="17"/>
              </w:rPr>
              <w:t xml:space="preserve">system.h</w:t>
            </w:r>
            <w:r>
              <w:rPr>
                <w:sz w:val="18"/>
                <w:szCs w:val="18"/>
              </w:rPr>
              <w:t xml:space="preserve"> would need </w:t>
            </w:r>
            <w:r>
              <w:rPr>
                <w:rFonts w:ascii="Consolas" w:hAnsi="Consolas"/>
                <w:sz w:val="17"/>
                <w:szCs w:val="17"/>
              </w:rPr>
              <w:t xml:space="preserve">temp-sense.h</w:t>
            </w:r>
            <w:r>
              <w:rPr>
                <w:sz w:val="18"/>
                <w:szCs w:val="18"/>
              </w:rPr>
              <w:t xml:space="preserve"> to see a reading, and the include graph acquires its first cycle.</w:t>
            </w:r>
          </w:p>
        </w:tc>
      </w:tr>
      <w:tr>
        <w:tc>
          <w:tcPr>
            <w:tcW w:type="dxa" w:w="2006"/>
          </w:tcPr>
          <w:p>
            <w:pPr>
              <w:spacing w:after="20" w:before="20"/>
            </w:pPr>
            <w:r>
              <w:rPr>
                <w:rFonts w:ascii="Consolas" w:hAnsi="Consolas"/>
                <w:sz w:val="17"/>
                <w:szCs w:val="17"/>
              </w:rPr>
              <w:t xml:space="preserve">model_gen.h</w:t>
            </w:r>
          </w:p>
        </w:tc>
        <w:tc>
          <w:tcPr>
            <w:tcW w:type="dxa" w:w="7020"/>
          </w:tcPr>
          <w:p>
            <w:pPr>
              <w:spacing w:after="20" w:before="20"/>
            </w:pPr>
            <w:r>
              <w:rPr>
                <w:sz w:val="18"/>
                <w:szCs w:val="18"/>
              </w:rPr>
              <w:t xml:space="preserve">Generated. Mixing generated and hand-written content in one file guarantees that someone eventually hand-edits the generated half, and the next regeneration silently discards the edit.</w:t>
            </w:r>
          </w:p>
        </w:tc>
      </w:tr>
      <w:tr>
        <w:tc>
          <w:tcPr>
            <w:tcW w:type="dxa" w:w="2006"/>
          </w:tcPr>
          <w:p>
            <w:pPr>
              <w:spacing w:after="20" w:before="20"/>
            </w:pPr>
            <w:r>
              <w:rPr>
                <w:rFonts w:ascii="Consolas" w:hAnsi="Consolas"/>
                <w:sz w:val="17"/>
                <w:szCs w:val="17"/>
              </w:rPr>
              <w:t xml:space="preserve">power-sense.c/h</w:t>
            </w:r>
          </w:p>
        </w:tc>
        <w:tc>
          <w:tcPr>
            <w:tcW w:type="dxa" w:w="7020"/>
          </w:tcPr>
          <w:p>
            <w:pPr>
              <w:spacing w:after="20" w:before="20"/>
            </w:pPr>
            <w:r>
              <w:rPr>
                <w:sz w:val="18"/>
                <w:szCs w:val="18"/>
              </w:rPr>
              <w:t xml:space="preserve">Three modules consume rail power for three different reasons: </w:t>
            </w:r>
            <w:r>
              <w:rPr>
                <w:rFonts w:ascii="Consolas" w:hAnsi="Consolas"/>
                <w:sz w:val="17"/>
                <w:szCs w:val="17"/>
              </w:rPr>
              <w:t xml:space="preserve">heaters.c</w:t>
            </w:r>
            <w:r>
              <w:rPr>
                <w:sz w:val="18"/>
                <w:szCs w:val="18"/>
              </w:rPr>
              <w:t xml:space="preserve"> for the inner power loop, </w:t>
            </w:r>
            <w:r>
              <w:rPr>
                <w:rFonts w:ascii="Consolas" w:hAnsi="Consolas"/>
                <w:sz w:val="17"/>
                <w:szCs w:val="17"/>
              </w:rPr>
              <w:t xml:space="preserve">control-system.c</w:t>
            </w:r>
            <w:r>
              <w:rPr>
                <w:sz w:val="18"/>
                <w:szCs w:val="18"/>
              </w:rPr>
              <w:t xml:space="preserve"> through P</w:t>
            </w:r>
            <w:r>
              <w:rPr>
                <w:sz w:val="18"/>
                <w:szCs w:val="18"/>
                <w:vertAlign w:val="subscript"/>
              </w:rPr>
              <w:t xml:space="preserve">aux</w:t>
            </w:r>
            <w:r>
              <w:rPr>
                <w:sz w:val="18"/>
                <w:szCs w:val="18"/>
              </w:rPr>
              <w:t xml:space="preserve"> for the meter, and </w:t>
            </w:r>
            <w:r>
              <w:rPr>
                <w:rFonts w:ascii="Consolas" w:hAnsi="Consolas"/>
                <w:sz w:val="17"/>
                <w:szCs w:val="17"/>
              </w:rPr>
              <w:t xml:space="preserve">system.c</w:t>
            </w:r>
            <w:r>
              <w:rPr>
                <w:sz w:val="18"/>
                <w:szCs w:val="18"/>
              </w:rPr>
              <w:t xml:space="preserve"> for the self-test and fan health. Folding it into any one of them would make the other two depend on the wrong module.</w:t>
            </w:r>
          </w:p>
        </w:tc>
      </w:tr>
      <w:tr>
        <w:tc>
          <w:tcPr>
            <w:tcW w:type="dxa" w:w="2006"/>
          </w:tcPr>
          <w:p>
            <w:pPr>
              <w:spacing w:after="20" w:before="20"/>
            </w:pPr>
            <w:r>
              <w:rPr>
                <w:rFonts w:ascii="Consolas" w:hAnsi="Consolas"/>
                <w:sz w:val="17"/>
                <w:szCs w:val="17"/>
              </w:rPr>
              <w:t xml:space="preserve">ui.c/h</w:t>
            </w:r>
            <w:r>
              <w:rPr>
                <w:sz w:val="18"/>
                <w:szCs w:val="18"/>
              </w:rPr>
              <w:t xml:space="preserve"> split from </w:t>
            </w:r>
            <w:r>
              <w:rPr>
                <w:rFonts w:ascii="Consolas" w:hAnsi="Consolas"/>
                <w:sz w:val="17"/>
                <w:szCs w:val="17"/>
              </w:rPr>
              <w:t xml:space="preserve">iot.c</w:t>
            </w:r>
          </w:p>
        </w:tc>
        <w:tc>
          <w:tcPr>
            <w:tcW w:type="dxa" w:w="7020"/>
          </w:tcPr>
          <w:p>
            <w:pPr>
              <w:spacing w:after="20" w:before="20"/>
            </w:pPr>
            <w:r>
              <w:rPr>
                <w:sz w:val="18"/>
                <w:szCs w:val="18"/>
              </w:rPr>
              <w:t xml:space="preserve">The two were specified as one "interface" file. Together they are ≈ 1 160 lines with nothing in common but the word: one draws widgets on a 172-pixel panel, the other runs a TCP server. Split, each is readable on its own.</w:t>
            </w:r>
          </w:p>
        </w:tc>
      </w:tr>
    </w:tbl>
    <w:p>
      <w:pPr>
        <w:spacing w:before="60" w:after="200"/>
        <w:jc w:val="left"/>
      </w:pPr>
      <w:r>
        <w:rPr>
          <w:sz w:val="18"/>
          <w:szCs w:val="18"/>
        </w:rPr>
        <w:t xml:space="preserve">Table 42. Files added beyond the requested structure, and the reason each earns its place.</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The control law is plain C, and that is the highest-leverage decision in the firmware</w:t>
            </w:r>
          </w:p>
          <w:p>
            <w:pPr>
              <w:spacing w:after="40"/>
            </w:pPr>
            <w:r>
              <w:rPr>
                <w:rFonts w:ascii="Consolas" w:hAnsi="Consolas"/>
                <w:sz w:val="19"/>
                <w:szCs w:val="19"/>
              </w:rPr>
              <w:t xml:space="preserve">control-system.c</w:t>
            </w:r>
            <w:r>
              <w:rPr>
                <w:sz w:val="19"/>
                <w:szCs w:val="19"/>
              </w:rPr>
              <w:t xml:space="preserve"> has no Zephyr dependency of any kind: no device handles, no time source, no logging, no globals and no statics. Every function is a pure function of its arguments and one context struct.</w:t>
            </w:r>
          </w:p>
          <w:p>
            <w:pPr>
              <w:spacing w:after="40"/>
            </w:pPr>
            <w:r>
              <w:rPr>
                <w:sz w:val="19"/>
                <w:szCs w:val="19"/>
              </w:rPr>
              <w:t xml:space="preserve">The reason is that the same object code can then be linked into three places — the firmware where it ships; a host build, where anti-windup, gate hysteresis and fault latching can be regression-tested before the rig physically exists; and the Python simulation of §7 through </w:t>
            </w:r>
            <w:r>
              <w:rPr>
                <w:rFonts w:ascii="Consolas" w:hAnsi="Consolas"/>
                <w:sz w:val="19"/>
                <w:szCs w:val="19"/>
              </w:rPr>
              <w:t xml:space="preserve">ctypes</w:t>
            </w:r>
            <w:r>
              <w:rPr>
                <w:sz w:val="19"/>
                <w:szCs w:val="19"/>
              </w:rPr>
              <w:t xml:space="preserve">, so that the tuning is done against the code that will actually run. </w:t>
            </w:r>
            <w:r>
              <w:rPr>
                <w:b/>
                <w:sz w:val="19"/>
                <w:szCs w:val="19"/>
              </w:rPr>
              <w:t xml:space="preserve">The classic failure of model-based control is not a wrong model, it is the port.</w:t>
            </w:r>
            <w:r>
              <w:rPr>
                <w:sz w:val="19"/>
                <w:szCs w:val="19"/>
              </w:rPr>
              <w:t xml:space="preserve"> Linking the same C into the simulation removes that failure class rather than testing for it.</w:t>
            </w:r>
          </w:p>
        </w:tc>
      </w:tr>
    </w:tbl>
    <w:p/>
    <w:p>
      <w:pPr>
        <w:pStyle w:val="Heading2"/>
      </w:pPr>
      <w:r>
        <w:t xml:space="preserve">The hardware description — devicetree as data</w:t>
      </w:r>
    </w:p>
    <w:p>
      <w:pPr>
        <w:spacing w:after="120"/>
      </w:pPr>
      <w:r>
        <w:t xml:space="preserve">The governing rule for hardware access is that </w:t>
      </w:r>
      <w:r>
        <w:rPr>
          <w:b/>
        </w:rPr>
        <w:t xml:space="preserve">the application touches only generic Zephyr device APIs, and every vendor-specific detail lives in the devicetree.</w:t>
      </w:r>
      <w:r>
        <w:t xml:space="preserve"> No </w:t>
      </w:r>
      <w:r>
        <w:rPr>
          <w:rFonts w:ascii="Consolas" w:hAnsi="Consolas"/>
          <w:sz w:val="19"/>
          <w:szCs w:val="19"/>
        </w:rPr>
        <w:t xml:space="preserve">.c</w:t>
      </w:r>
      <w:r>
        <w:t xml:space="preserve"> file in this application names a GPIO number, an I²C address, a bus instance or a part number. A sensor is </w:t>
      </w:r>
      <w:r>
        <w:rPr>
          <w:rFonts w:ascii="Consolas" w:hAnsi="Consolas"/>
          <w:sz w:val="19"/>
          <w:szCs w:val="19"/>
        </w:rPr>
        <w:t xml:space="preserve">DEVICE_DT_GET(DT_ALIAS(...))</w:t>
      </w:r>
      <w:r>
        <w:t xml:space="preserve">; a heater is a </w:t>
      </w:r>
      <w:r>
        <w:rPr>
          <w:rFonts w:ascii="Consolas" w:hAnsi="Consolas"/>
          <w:sz w:val="19"/>
          <w:szCs w:val="19"/>
        </w:rPr>
        <w:t xml:space="preserve">pwm_dt_spec</w:t>
      </w:r>
      <w:r>
        <w:t xml:space="preserve">; a chip select is a property of a node the driver already understands.</w:t>
      </w:r>
    </w:p>
    <w:p>
      <w:pPr>
        <w:spacing w:after="120"/>
      </w:pPr>
      <w:r>
        <w:t xml:space="preserve">The value of that rule was tested rather than assumed. The first pass shipped a provisional development-kit pin map; when §8 settled the real carrier-board assignment, porting the firmware to it consisted of </w:t>
      </w:r>
      <w:r>
        <w:rPr>
          <w:b/>
        </w:rPr>
        <w:t xml:space="preserve">adding one overlay file</w:t>
      </w:r>
      <w:r>
        <w:t xml:space="preserve">.</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The port cost one file — and the firmware changes that did happen were about new parts, not new pins</w:t>
            </w:r>
          </w:p>
          <w:p>
            <w:pPr>
              <w:spacing w:after="40"/>
            </w:pPr>
            <w:r>
              <w:rPr>
                <w:sz w:val="19"/>
                <w:szCs w:val="19"/>
              </w:rPr>
              <w:t xml:space="preserve">Moving from the bench wiring to the carrier board required a new </w:t>
            </w:r>
            <w:r>
              <w:rPr>
                <w:rFonts w:ascii="Consolas" w:hAnsi="Consolas"/>
                <w:sz w:val="19"/>
                <w:szCs w:val="19"/>
              </w:rPr>
              <w:t xml:space="preserve">boards/&lt;target&gt;.overlay</w:t>
            </w:r>
            <w:r>
              <w:rPr>
                <w:sz w:val="19"/>
                <w:szCs w:val="19"/>
              </w:rPr>
              <w:t xml:space="preserve"> and nothing else in C. Firmware did change, but only because the board revealed </w:t>
            </w:r>
            <w:r>
              <w:rPr>
                <w:b/>
                <w:sz w:val="19"/>
                <w:szCs w:val="19"/>
              </w:rPr>
              <w:t xml:space="preserve">hardware that had not existed before</w:t>
            </w:r>
            <w:r>
              <w:rPr>
                <w:sz w:val="19"/>
                <w:szCs w:val="19"/>
              </w:rPr>
              <w:t xml:space="preserve">: an INA3221 where two more INA226s had been assumed, three fan tachometers, a TCA9548A multiplexer, an SPI-configured stepper driver and a board temperature sensor. Those changes are described in this section and in §9.12; none of them was a pin change.</w:t>
            </w:r>
          </w:p>
        </w:tc>
      </w:tr>
    </w:tbl>
    <w:p/>
    <w:p>
      <w:pPr>
        <w:spacing w:after="120"/>
      </w:pPr>
      <w:r>
        <w:rPr>
          <w:rFonts w:ascii="Consolas" w:hAnsi="Consolas"/>
          <w:sz w:val="19"/>
          <w:szCs w:val="19"/>
        </w:rPr>
        <w:t xml:space="preserve">app.overlay</w:t>
      </w:r>
      <w:r>
        <w:t xml:space="preserve"> was deleted in the process. Zephyr selects </w:t>
      </w:r>
      <w:r>
        <w:rPr>
          <w:rFonts w:ascii="Consolas" w:hAnsi="Consolas"/>
          <w:sz w:val="19"/>
          <w:szCs w:val="19"/>
        </w:rPr>
        <w:t xml:space="preserve">boards/&lt;target&gt;.overlay</w:t>
      </w:r>
      <w:r>
        <w:t xml:space="preserve"> when one exists and falls back to </w:t>
      </w:r>
      <w:r>
        <w:rPr>
          <w:rFonts w:ascii="Consolas" w:hAnsi="Consolas"/>
          <w:sz w:val="19"/>
          <w:szCs w:val="19"/>
        </w:rPr>
        <w:t xml:space="preserve">app.overlay</w:t>
      </w:r>
      <w:r>
        <w:t xml:space="preserve"> </w:t>
      </w:r>
      <w:r>
        <w:rPr>
          <w:b/>
        </w:rPr>
        <w:t xml:space="preserve">only when none is found</w:t>
      </w:r>
      <w:r>
        <w:t xml:space="preserve">, so keeping both would have left an overlay that silently applied to some builds and not others. The tree now carries one overlay and one Kconfig fragment per board target, and the development-kit overlay was realigned to the carrier board's device set — same aliases, same parts, same driver paths — so that the bench build is a genuine rehearsal.</w:t>
      </w:r>
    </w:p>
    <w:p>
      <w:pPr>
        <w:spacing w:after="120"/>
      </w:pPr>
      <w:r>
        <w:t xml:space="preserve">The pin allocation below is extracted from the </w:t>
      </w:r>
      <w:r>
        <w:rPr>
          <w:b/>
        </w:rPr>
        <w:t xml:space="preserve">built</w:t>
      </w:r>
      <w:r>
        <w:t xml:space="preserve"> devicetree rather than read off the source, so it is what the firmware will actually drive. The board-side rationale for each net belongs to §8; this is the firmware's transcription of it.</w:t>
      </w:r>
    </w:p>
    <w:tbl>
      <w:tblPr>
        <w:tblStyle w:val="TableGrid"/>
        <w:tblW w:type="auto" w:w="0"/>
        <w:jc w:val="center"/>
        <w:tblLayout w:type="fixed"/>
        <w:tblLook w:firstColumn="1" w:firstRow="1" w:lastColumn="0" w:lastRow="0" w:noHBand="0" w:noVBand="1" w:val="04A0"/>
      </w:tblPr>
      <w:tblGrid>
        <w:gridCol w:w="1103"/>
        <w:gridCol w:w="3410"/>
        <w:gridCol w:w="1103"/>
        <w:gridCol w:w="3410"/>
      </w:tblGrid>
      <w:tr>
        <w:trPr>
          <w:tblHeader w:val="true"/>
        </w:trPr>
        <w:tc>
          <w:tcPr>
            <w:tcW w:type="dxa" w:w="1103"/>
            <w:shd w:val="clear" w:color="auto" w:fill="DEEAF6"/>
          </w:tcPr>
          <w:p>
            <w:pPr>
              <w:spacing w:after="20" w:before="20"/>
            </w:pPr>
            <w:r>
              <w:rPr>
                <w:b/>
                <w:sz w:val="18"/>
                <w:szCs w:val="18"/>
              </w:rPr>
              <w:t xml:space="preserve">GPIO</w:t>
            </w:r>
          </w:p>
        </w:tc>
        <w:tc>
          <w:tcPr>
            <w:tcW w:type="dxa" w:w="3410"/>
            <w:shd w:val="clear" w:color="auto" w:fill="DEEAF6"/>
          </w:tcPr>
          <w:p>
            <w:pPr>
              <w:spacing w:after="20" w:before="20"/>
            </w:pPr>
            <w:r>
              <w:rPr>
                <w:b/>
                <w:sz w:val="18"/>
                <w:szCs w:val="18"/>
              </w:rPr>
              <w:t xml:space="preserve">Net</w:t>
            </w:r>
          </w:p>
        </w:tc>
        <w:tc>
          <w:tcPr>
            <w:tcW w:type="dxa" w:w="1103"/>
            <w:shd w:val="clear" w:color="auto" w:fill="DEEAF6"/>
          </w:tcPr>
          <w:p>
            <w:pPr>
              <w:spacing w:after="20" w:before="20"/>
            </w:pPr>
            <w:r>
              <w:rPr>
                <w:b/>
                <w:sz w:val="18"/>
                <w:szCs w:val="18"/>
              </w:rPr>
              <w:t xml:space="preserve">GPIO</w:t>
            </w:r>
          </w:p>
        </w:tc>
        <w:tc>
          <w:tcPr>
            <w:tcW w:type="dxa" w:w="3410"/>
            <w:shd w:val="clear" w:color="auto" w:fill="DEEAF6"/>
          </w:tcPr>
          <w:p>
            <w:pPr>
              <w:spacing w:after="20" w:before="20"/>
            </w:pPr>
            <w:r>
              <w:rPr>
                <w:b/>
                <w:sz w:val="18"/>
                <w:szCs w:val="18"/>
              </w:rPr>
              <w:t xml:space="preserve">Net</w:t>
            </w:r>
          </w:p>
        </w:tc>
      </w:tr>
      <w:tr>
        <w:tc>
          <w:tcPr>
            <w:tcW w:type="dxa" w:w="1103"/>
          </w:tcPr>
          <w:p>
            <w:pPr>
              <w:spacing w:after="20" w:before="20"/>
            </w:pPr>
            <w:r>
              <w:rPr>
                <w:sz w:val="18"/>
                <w:szCs w:val="18"/>
              </w:rPr>
              <w:t xml:space="preserve">1, 2</w:t>
            </w:r>
          </w:p>
        </w:tc>
        <w:tc>
          <w:tcPr>
            <w:tcW w:type="dxa" w:w="3410"/>
          </w:tcPr>
          <w:p>
            <w:pPr>
              <w:spacing w:after="20" w:before="20"/>
            </w:pPr>
            <w:r>
              <w:rPr>
                <w:rFonts w:ascii="Consolas" w:hAnsi="Consolas"/>
                <w:sz w:val="17"/>
                <w:szCs w:val="17"/>
              </w:rPr>
              <w:t xml:space="preserve">I2C0_SDA/SCL</w:t>
            </w:r>
            <w:r>
              <w:rPr>
                <w:sz w:val="18"/>
                <w:szCs w:val="18"/>
              </w:rPr>
              <w:t xml:space="preserve"> — on-board telemetry bus</w:t>
            </w:r>
          </w:p>
        </w:tc>
        <w:tc>
          <w:tcPr>
            <w:tcW w:type="dxa" w:w="1103"/>
          </w:tcPr>
          <w:p>
            <w:pPr>
              <w:spacing w:after="20" w:before="20"/>
            </w:pPr>
            <w:r>
              <w:rPr>
                <w:sz w:val="18"/>
                <w:szCs w:val="18"/>
              </w:rPr>
              <w:t xml:space="preserve">15</w:t>
            </w:r>
          </w:p>
        </w:tc>
        <w:tc>
          <w:tcPr>
            <w:tcW w:type="dxa" w:w="3410"/>
          </w:tcPr>
          <w:p>
            <w:pPr>
              <w:spacing w:after="20" w:before="20"/>
            </w:pPr>
            <w:r>
              <w:rPr>
                <w:rFonts w:ascii="Consolas" w:hAnsi="Consolas"/>
                <w:sz w:val="17"/>
                <w:szCs w:val="17"/>
              </w:rPr>
              <w:t xml:space="preserve">FAN_REJECT_PWM</w:t>
            </w:r>
            <w:r>
              <w:rPr>
                <w:sz w:val="18"/>
                <w:szCs w:val="18"/>
              </w:rPr>
              <w:t xml:space="preserve"> (LEDC ch4)</w:t>
            </w:r>
          </w:p>
        </w:tc>
      </w:tr>
      <w:tr>
        <w:tc>
          <w:tcPr>
            <w:tcW w:type="dxa" w:w="1103"/>
          </w:tcPr>
          <w:p>
            <w:pPr>
              <w:spacing w:after="20" w:before="20"/>
            </w:pPr>
            <w:r>
              <w:rPr>
                <w:sz w:val="18"/>
                <w:szCs w:val="18"/>
              </w:rPr>
              <w:t xml:space="preserve">4, 5</w:t>
            </w:r>
          </w:p>
        </w:tc>
        <w:tc>
          <w:tcPr>
            <w:tcW w:type="dxa" w:w="3410"/>
          </w:tcPr>
          <w:p>
            <w:pPr>
              <w:spacing w:after="20" w:before="20"/>
            </w:pPr>
            <w:r>
              <w:rPr>
                <w:rFonts w:ascii="Consolas" w:hAnsi="Consolas"/>
                <w:sz w:val="17"/>
                <w:szCs w:val="17"/>
              </w:rPr>
              <w:t xml:space="preserve">HEAT_INNER/GUARD_PWM</w:t>
            </w:r>
            <w:r>
              <w:rPr>
                <w:sz w:val="18"/>
                <w:szCs w:val="18"/>
              </w:rPr>
              <w:t xml:space="preserve"> (LEDC ch0/1)</w:t>
            </w:r>
          </w:p>
        </w:tc>
        <w:tc>
          <w:tcPr>
            <w:tcW w:type="dxa" w:w="1103"/>
          </w:tcPr>
          <w:p>
            <w:pPr>
              <w:spacing w:after="20" w:before="20"/>
            </w:pPr>
            <w:r>
              <w:rPr>
                <w:sz w:val="18"/>
                <w:szCs w:val="18"/>
              </w:rPr>
              <w:t xml:space="preserve">16, 17, 18</w:t>
            </w:r>
          </w:p>
        </w:tc>
        <w:tc>
          <w:tcPr>
            <w:tcW w:type="dxa" w:w="3410"/>
          </w:tcPr>
          <w:p>
            <w:pPr>
              <w:spacing w:after="20" w:before="20"/>
            </w:pPr>
            <w:r>
              <w:rPr>
                <w:sz w:val="18"/>
                <w:szCs w:val="18"/>
              </w:rPr>
              <w:t xml:space="preserve">fan tachometers</w:t>
            </w:r>
          </w:p>
        </w:tc>
      </w:tr>
      <w:tr>
        <w:tc>
          <w:tcPr>
            <w:tcW w:type="dxa" w:w="1103"/>
          </w:tcPr>
          <w:p>
            <w:pPr>
              <w:spacing w:after="20" w:before="20"/>
            </w:pPr>
            <w:r>
              <w:rPr>
                <w:sz w:val="18"/>
                <w:szCs w:val="18"/>
              </w:rPr>
              <w:t xml:space="preserve">6, 7</w:t>
            </w:r>
          </w:p>
        </w:tc>
        <w:tc>
          <w:tcPr>
            <w:tcW w:type="dxa" w:w="3410"/>
          </w:tcPr>
          <w:p>
            <w:pPr>
              <w:spacing w:after="20" w:before="20"/>
            </w:pPr>
            <w:r>
              <w:rPr>
                <w:rFonts w:ascii="Consolas" w:hAnsi="Consolas"/>
                <w:sz w:val="17"/>
                <w:szCs w:val="17"/>
              </w:rPr>
              <w:t xml:space="preserve">FAN_INNER/GUARD_PWM</w:t>
            </w:r>
            <w:r>
              <w:rPr>
                <w:sz w:val="18"/>
                <w:szCs w:val="18"/>
              </w:rPr>
              <w:t xml:space="preserve"> (LEDC ch2/3)</w:t>
            </w:r>
          </w:p>
        </w:tc>
        <w:tc>
          <w:tcPr>
            <w:tcW w:type="dxa" w:w="1103"/>
          </w:tcPr>
          <w:p>
            <w:pPr>
              <w:spacing w:after="20" w:before="20"/>
            </w:pPr>
            <w:r>
              <w:rPr>
                <w:sz w:val="18"/>
                <w:szCs w:val="18"/>
              </w:rPr>
              <w:t xml:space="preserve">21</w:t>
            </w:r>
          </w:p>
        </w:tc>
        <w:tc>
          <w:tcPr>
            <w:tcW w:type="dxa" w:w="3410"/>
          </w:tcPr>
          <w:p>
            <w:pPr>
              <w:spacing w:after="20" w:before="20"/>
            </w:pPr>
            <w:r>
              <w:rPr>
                <w:rFonts w:ascii="Consolas" w:hAnsi="Consolas"/>
                <w:sz w:val="17"/>
                <w:szCs w:val="17"/>
              </w:rPr>
              <w:t xml:space="preserve">FLOW_PULSE</w:t>
            </w:r>
            <w:r>
              <w:rPr>
                <w:sz w:val="18"/>
                <w:szCs w:val="18"/>
              </w:rPr>
              <w:t xml:space="preserve"> → PCNT unit 0</w:t>
            </w:r>
          </w:p>
        </w:tc>
      </w:tr>
      <w:tr>
        <w:tc>
          <w:tcPr>
            <w:tcW w:type="dxa" w:w="1103"/>
          </w:tcPr>
          <w:p>
            <w:pPr>
              <w:spacing w:after="20" w:before="20"/>
            </w:pPr>
            <w:r>
              <w:rPr>
                <w:sz w:val="18"/>
                <w:szCs w:val="18"/>
              </w:rPr>
              <w:t xml:space="preserve">8</w:t>
            </w:r>
          </w:p>
        </w:tc>
        <w:tc>
          <w:tcPr>
            <w:tcW w:type="dxa" w:w="3410"/>
          </w:tcPr>
          <w:p>
            <w:pPr>
              <w:spacing w:after="20" w:before="20"/>
            </w:pPr>
            <w:r>
              <w:rPr>
                <w:sz w:val="18"/>
                <w:szCs w:val="18"/>
              </w:rPr>
              <w:t xml:space="preserve">INA226 wired-OR </w:t>
            </w:r>
            <w:r>
              <w:rPr>
                <w:rFonts w:ascii="Consolas" w:hAnsi="Consolas"/>
                <w:sz w:val="17"/>
                <w:szCs w:val="17"/>
              </w:rPr>
              <w:t xml:space="preserve">ALERT</w:t>
            </w:r>
            <w:r>
              <w:rPr>
                <w:sz w:val="18"/>
                <w:szCs w:val="18"/>
              </w:rPr>
              <w:t xml:space="preserve"> — see below</w:t>
            </w:r>
          </w:p>
        </w:tc>
        <w:tc>
          <w:tcPr>
            <w:tcW w:type="dxa" w:w="1103"/>
          </w:tcPr>
          <w:p>
            <w:pPr>
              <w:spacing w:after="20" w:before="20"/>
            </w:pPr>
            <w:r>
              <w:rPr>
                <w:sz w:val="18"/>
                <w:szCs w:val="18"/>
              </w:rPr>
              <w:t xml:space="preserve">39</w:t>
            </w:r>
          </w:p>
        </w:tc>
        <w:tc>
          <w:tcPr>
            <w:tcW w:type="dxa" w:w="3410"/>
          </w:tcPr>
          <w:p>
            <w:pPr>
              <w:spacing w:after="20" w:before="20"/>
            </w:pPr>
            <w:r>
              <w:rPr>
                <w:rFonts w:ascii="Consolas" w:hAnsi="Consolas"/>
                <w:sz w:val="17"/>
                <w:szCs w:val="17"/>
              </w:rPr>
              <w:t xml:space="preserve">PUMP_ENN</w:t>
            </w:r>
          </w:p>
        </w:tc>
      </w:tr>
      <w:tr>
        <w:tc>
          <w:tcPr>
            <w:tcW w:type="dxa" w:w="1103"/>
          </w:tcPr>
          <w:p>
            <w:pPr>
              <w:spacing w:after="20" w:before="20"/>
            </w:pPr>
            <w:r>
              <w:rPr>
                <w:sz w:val="18"/>
                <w:szCs w:val="18"/>
              </w:rPr>
              <w:t xml:space="preserve">9, 10, 14</w:t>
            </w:r>
          </w:p>
        </w:tc>
        <w:tc>
          <w:tcPr>
            <w:tcW w:type="dxa" w:w="3410"/>
          </w:tcPr>
          <w:p>
            <w:pPr>
              <w:spacing w:after="20" w:before="20"/>
            </w:pPr>
            <w:r>
              <w:rPr>
                <w:sz w:val="18"/>
                <w:szCs w:val="18"/>
              </w:rPr>
              <w:t xml:space="preserve">SPI2 chip selects (RTD, RTD, pump)</w:t>
            </w:r>
          </w:p>
        </w:tc>
        <w:tc>
          <w:tcPr>
            <w:tcW w:type="dxa" w:w="1103"/>
          </w:tcPr>
          <w:p>
            <w:pPr>
              <w:spacing w:after="20" w:before="20"/>
            </w:pPr>
            <w:r>
              <w:rPr>
                <w:sz w:val="18"/>
                <w:szCs w:val="18"/>
              </w:rPr>
              <w:t xml:space="preserve">40</w:t>
            </w:r>
          </w:p>
        </w:tc>
        <w:tc>
          <w:tcPr>
            <w:tcW w:type="dxa" w:w="3410"/>
          </w:tcPr>
          <w:p>
            <w:pPr>
              <w:spacing w:after="20" w:before="20"/>
            </w:pPr>
            <w:r>
              <w:rPr>
                <w:rFonts w:ascii="Consolas" w:hAnsi="Consolas"/>
                <w:sz w:val="17"/>
                <w:szCs w:val="17"/>
              </w:rPr>
              <w:t xml:space="preserve">PUMP_STEP</w:t>
            </w:r>
            <w:r>
              <w:rPr>
                <w:sz w:val="18"/>
                <w:szCs w:val="18"/>
              </w:rPr>
              <w:t xml:space="preserve"> (LEDC ch5)</w:t>
            </w:r>
          </w:p>
        </w:tc>
      </w:tr>
      <w:tr>
        <w:tc>
          <w:tcPr>
            <w:tcW w:type="dxa" w:w="1103"/>
          </w:tcPr>
          <w:p>
            <w:pPr>
              <w:spacing w:after="20" w:before="20"/>
            </w:pPr>
            <w:r>
              <w:rPr>
                <w:sz w:val="18"/>
                <w:szCs w:val="18"/>
              </w:rPr>
              <w:t xml:space="preserve">11, 12, 13</w:t>
            </w:r>
          </w:p>
        </w:tc>
        <w:tc>
          <w:tcPr>
            <w:tcW w:type="dxa" w:w="3410"/>
          </w:tcPr>
          <w:p>
            <w:pPr>
              <w:spacing w:after="20" w:before="20"/>
            </w:pPr>
            <w:r>
              <w:rPr>
                <w:rFonts w:ascii="Consolas" w:hAnsi="Consolas"/>
                <w:sz w:val="17"/>
                <w:szCs w:val="17"/>
              </w:rPr>
              <w:t xml:space="preserve">SPI_MOSI/SCLK/MISO</w:t>
            </w:r>
            <w:r>
              <w:rPr>
                <w:sz w:val="18"/>
                <w:szCs w:val="18"/>
              </w:rPr>
              <w:t xml:space="preserve"> — native FSPI pads</w:t>
            </w:r>
          </w:p>
        </w:tc>
        <w:tc>
          <w:tcPr>
            <w:tcW w:type="dxa" w:w="1103"/>
          </w:tcPr>
          <w:p>
            <w:pPr>
              <w:spacing w:after="20" w:before="20"/>
            </w:pPr>
            <w:r>
              <w:rPr>
                <w:sz w:val="18"/>
                <w:szCs w:val="18"/>
              </w:rPr>
              <w:t xml:space="preserve">41, 42</w:t>
            </w:r>
          </w:p>
        </w:tc>
        <w:tc>
          <w:tcPr>
            <w:tcW w:type="dxa" w:w="3410"/>
          </w:tcPr>
          <w:p>
            <w:pPr>
              <w:spacing w:after="20" w:before="20"/>
            </w:pPr>
            <w:r>
              <w:rPr>
                <w:rFonts w:ascii="Consolas" w:hAnsi="Consolas"/>
                <w:sz w:val="17"/>
                <w:szCs w:val="17"/>
              </w:rPr>
              <w:t xml:space="preserve">I2C1_SCL/SDA</w:t>
            </w:r>
            <w:r>
              <w:rPr>
                <w:sz w:val="18"/>
                <w:szCs w:val="18"/>
              </w:rPr>
              <w:t xml:space="preserve"> — chamber probes</w:t>
            </w:r>
          </w:p>
        </w:tc>
      </w:tr>
      <w:tr>
        <w:tc>
          <w:tcPr>
            <w:tcW w:type="dxa" w:w="1103"/>
          </w:tcPr>
          <w:p>
            <w:pPr>
              <w:spacing w:after="20" w:before="20"/>
            </w:pPr>
            <w:r>
              <w:rPr>
                <w:sz w:val="18"/>
                <w:szCs w:val="18"/>
              </w:rPr>
              <w:t xml:space="preserve">43, 44</w:t>
            </w:r>
          </w:p>
        </w:tc>
        <w:tc>
          <w:tcPr>
            <w:tcW w:type="dxa" w:w="3410"/>
          </w:tcPr>
          <w:p>
            <w:pPr>
              <w:spacing w:after="20" w:before="20"/>
            </w:pPr>
            <w:r>
              <w:rPr>
                <w:sz w:val="18"/>
                <w:szCs w:val="18"/>
              </w:rPr>
              <w:t xml:space="preserve">UART0 console (CP2102)</w:t>
            </w:r>
          </w:p>
        </w:tc>
        <w:tc>
          <w:tcPr>
            <w:tcW w:type="dxa" w:w="1103"/>
          </w:tcPr>
          <w:p>
            <w:pPr>
              <w:spacing w:after="20" w:before="20"/>
            </w:pPr>
            <w:r>
              <w:rPr>
                <w:sz w:val="18"/>
                <w:szCs w:val="18"/>
              </w:rPr>
              <w:t xml:space="preserve">47</w:t>
            </w:r>
          </w:p>
        </w:tc>
        <w:tc>
          <w:tcPr>
            <w:tcW w:type="dxa" w:w="3410"/>
          </w:tcPr>
          <w:p>
            <w:pPr>
              <w:spacing w:after="20" w:before="20"/>
            </w:pPr>
            <w:r>
              <w:rPr>
                <w:rFonts w:ascii="Consolas" w:hAnsi="Consolas"/>
                <w:sz w:val="17"/>
                <w:szCs w:val="17"/>
              </w:rPr>
              <w:t xml:space="preserve">PUMP_DIR</w:t>
            </w:r>
          </w:p>
        </w:tc>
      </w:tr>
    </w:tbl>
    <w:p>
      <w:pPr>
        <w:spacing w:before="60" w:after="200"/>
        <w:jc w:val="left"/>
      </w:pPr>
      <w:r>
        <w:rPr>
          <w:sz w:val="18"/>
          <w:szCs w:val="18"/>
        </w:rPr>
        <w:t xml:space="preserve">Table 43. GPIO allocation on the carrier board, extracted from the built devicetree. 26 pins are in use including the console and the on-module button.</w:t>
      </w:r>
    </w:p>
    <w:p>
      <w:pPr>
        <w:spacing w:after="120"/>
      </w:pPr>
      <w:r>
        <w:t xml:space="preserve">The allocation was audited automatically against the constraints that make an ESP32-S3 design fail silently rather than loudly: </w:t>
      </w:r>
      <w:r>
        <w:rPr>
          <w:b/>
        </w:rPr>
        <w:t xml:space="preserve">no collisions</w:t>
      </w:r>
      <w:r>
        <w:t xml:space="preserve">, </w:t>
      </w:r>
      <w:r>
        <w:rPr>
          <w:b/>
        </w:rPr>
        <w:t xml:space="preserve">no strapping pin driven</w:t>
      </w:r>
      <w:r>
        <w:t xml:space="preserve"> (0, 3, 45, 46 — GPIO0 appears only as the module's own BOOT button), </w:t>
      </w:r>
      <w:r>
        <w:rPr>
          <w:b/>
        </w:rPr>
        <w:t xml:space="preserve">no octal-PSRAM pin touched</w:t>
      </w:r>
      <w:r>
        <w:t xml:space="preserve"> (35, 36, 37) and </w:t>
      </w:r>
      <w:r>
        <w:rPr>
          <w:b/>
        </w:rPr>
        <w:t xml:space="preserve">no USB pin touched</w:t>
      </w:r>
      <w:r>
        <w:t xml:space="preserve"> (19, 20). Three upstream pin-control groups had to be overridden, and each would have been a silent short if it had been missed:</w:t>
      </w:r>
    </w:p>
    <w:p>
      <w:pPr>
        <w:spacing w:after="60" w:before="0"/>
        <w:ind w:left="720" w:hanging="360"/>
      </w:pPr>
      <w:r>
        <w:t xml:space="preserve">•</w:t>
      </w:r>
      <w:r>
        <w:tab/>
      </w:r>
      <w:r>
        <w:rPr>
          <w:rFonts w:ascii="Consolas" w:hAnsi="Consolas"/>
          <w:sz w:val="19"/>
          <w:szCs w:val="19"/>
        </w:rPr>
        <w:t xml:space="preserve">i2c1_default</w:t>
      </w:r>
      <w:r>
        <w:t xml:space="preserve"> — upstream places I²C1 on </w:t>
      </w:r>
      <w:r>
        <w:rPr>
          <w:b/>
        </w:rPr>
        <w:t xml:space="preserve">GPIO4/5</w:t>
      </w:r>
      <w:r>
        <w:t xml:space="preserve">, which are the two heater gates;</w:t>
      </w:r>
    </w:p>
    <w:p>
      <w:pPr>
        <w:spacing w:after="60" w:before="0"/>
        <w:ind w:left="720" w:hanging="360"/>
      </w:pPr>
      <w:r>
        <w:t xml:space="preserve">•</w:t>
      </w:r>
      <w:r>
        <w:tab/>
      </w:r>
      <w:r>
        <w:rPr>
          <w:rFonts w:ascii="Consolas" w:hAnsi="Consolas"/>
          <w:sz w:val="19"/>
          <w:szCs w:val="19"/>
        </w:rPr>
        <w:t xml:space="preserve">spim2_default</w:t>
      </w:r>
      <w:r>
        <w:t xml:space="preserve"> — upstream includes a hardware chip select on </w:t>
      </w:r>
      <w:r>
        <w:rPr>
          <w:b/>
        </w:rPr>
        <w:t xml:space="preserve">GPIO10</w:t>
      </w:r>
      <w:r>
        <w:t xml:space="preserve">, which is a chip select in this design;</w:t>
      </w:r>
    </w:p>
    <w:p>
      <w:pPr>
        <w:spacing w:after="60" w:before="0"/>
        <w:ind w:left="720" w:hanging="360"/>
      </w:pPr>
      <w:r>
        <w:t xml:space="preserve">•</w:t>
      </w:r>
      <w:r>
        <w:tab/>
      </w:r>
      <w:r>
        <w:rPr>
          <w:rFonts w:ascii="Consolas" w:hAnsi="Consolas"/>
          <w:sz w:val="19"/>
          <w:szCs w:val="19"/>
        </w:rPr>
        <w:t xml:space="preserve">spi3</w:t>
      </w:r>
      <w:r>
        <w:t xml:space="preserve"> — </w:t>
      </w:r>
      <w:r>
        <w:rPr>
          <w:b/>
        </w:rPr>
        <w:t xml:space="preserve">disabled entirely</w:t>
      </w:r>
      <w:r>
        <w:t xml:space="preserve">; its upstream pins are </w:t>
      </w:r>
      <w:r>
        <w:rPr>
          <w:rFonts w:ascii="Consolas" w:hAnsi="Consolas"/>
          <w:sz w:val="19"/>
          <w:szCs w:val="19"/>
        </w:rPr>
        <w:t xml:space="preserve">PUMP_STEP</w:t>
      </w:r>
      <w:r>
        <w:t xml:space="preserve">, </w:t>
      </w:r>
      <w:r>
        <w:rPr>
          <w:rFonts w:ascii="Consolas" w:hAnsi="Consolas"/>
          <w:sz w:val="19"/>
          <w:szCs w:val="19"/>
        </w:rPr>
        <w:t xml:space="preserve">FLOW_PULSE</w:t>
      </w:r>
      <w:r>
        <w:t xml:space="preserve">, the pump chip select and </w:t>
      </w:r>
      <w:r>
        <w:rPr>
          <w:rFonts w:ascii="Consolas" w:hAnsi="Consolas"/>
          <w:sz w:val="19"/>
          <w:szCs w:val="19"/>
        </w:rPr>
        <w:t xml:space="preserve">I2C1_SCL</w:t>
      </w:r>
      <w:r>
        <w:t xml:space="preserve"> here.</w:t>
      </w:r>
    </w:p>
    <w:p>
      <w:pPr>
        <w:spacing w:after="120"/>
      </w:pPr>
      <w:r>
        <w:rPr>
          <w:b/>
        </w:rPr>
        <w:t xml:space="preserve">GPIO8 is claimed for the wired-OR ALERT line of the two heater INA226s, and that is a proposal rather than a transcription.</w:t>
      </w:r>
      <w:r>
        <w:t xml:space="preserve"> §8's budget leaves exactly one spare pin and suggests a heatsink thermistor or an interlock sense line for it; but the same design puts board thermal sensing on an I²C part specifically to avoid spending a pin on a thermistor, so that use is already ruled out by its own reasoning. Spending the pin on ALERT converts over-current on two 8.3 A rails from a software check with a 1 s worst case into a hardware-timed trip that the bus-free safety thread can latch (§9.12). It is marked as a proposal in the overlay: deleting the property makes the firmware fall back to the software check and say so at boot. A </w:t>
      </w:r>
      <w:r>
        <w:rPr>
          <w:b/>
        </w:rPr>
        <w:t xml:space="preserve">software over-current backstop was added regardless</w:t>
      </w:r>
      <w:r>
        <w:t xml:space="preserve"> — it is the only over-current cover the three INA3221 rails have, since that part has no ALERT pin in this design.</w:t>
      </w:r>
    </w:p>
    <w:p>
      <w:pPr>
        <w:spacing w:after="120"/>
      </w:pPr>
      <w:r>
        <w:t xml:space="preserve">Three custom bindings were needed, all of them for topology rather than for silicon. </w:t>
      </w:r>
      <w:r>
        <w:rPr>
          <w:rFonts w:ascii="Consolas" w:hAnsi="Consolas"/>
          <w:sz w:val="19"/>
          <w:szCs w:val="19"/>
        </w:rPr>
        <w:t xml:space="preserve">calorimeter,io</w:t>
      </w:r>
      <w:r>
        <w:t xml:space="preserve"> describes the discrete lines that belong to no driver; </w:t>
      </w:r>
      <w:r>
        <w:rPr>
          <w:rFonts w:ascii="Consolas" w:hAnsi="Consolas"/>
          <w:sz w:val="19"/>
          <w:szCs w:val="19"/>
        </w:rPr>
        <w:t xml:space="preserve">calorimeter,stepper</w:t>
      </w:r>
      <w:r>
        <w:t xml:space="preserve"> carries the pump's STEP/DIR/ENn set and its run-current limit; and </w:t>
      </w:r>
      <w:r>
        <w:rPr>
          <w:rFonts w:ascii="Consolas" w:hAnsi="Consolas"/>
          <w:sz w:val="19"/>
          <w:szCs w:val="19"/>
        </w:rPr>
        <w:t xml:space="preserve">calorimeter,thermal-zone</w:t>
      </w:r>
      <w:r>
        <w:t xml:space="preserve"> is the one that changed a module's shape. A </w:t>
      </w:r>
      <w:r>
        <w:rPr>
          <w:b/>
        </w:rPr>
        <w:t xml:space="preserve">zone</w:t>
      </w:r>
      <w:r>
        <w:t xml:space="preserve"> is a node plus the set of sensors that measure it, averaged with dead sensors excluded — so making the guard array zonal is adding phandles to an overlay, not editing C, and bus recovery follows a sensor's own multiplexer leg rather than a hard-coded bus.</w:t>
      </w:r>
    </w:p>
    <w:p>
      <w:pPr>
        <w:pStyle w:val="Heading2"/>
      </w:pPr>
      <w:r>
        <w:t xml:space="preserve">Concurrency: threads, the tick and the shared snapshot</w:t>
      </w:r>
    </w:p>
    <w:p>
      <w:pPr>
        <w:spacing w:after="120"/>
      </w:pPr>
      <w:r>
        <w:t xml:space="preserve">The application runs three threads, plus a fourth when the radio is built in. The partition is by </w:t>
      </w:r>
      <w:r>
        <w:rPr>
          <w:b/>
        </w:rPr>
        <w:t xml:space="preserve">latency requirement and by what may block</w:t>
      </w:r>
      <w:r>
        <w:t xml:space="preserve">, not by subsystem.</w:t>
      </w:r>
    </w:p>
    <w:tbl>
      <w:tblPr>
        <w:tblStyle w:val="TableGrid"/>
        <w:tblW w:type="auto" w:w="0"/>
        <w:jc w:val="center"/>
        <w:tblLayout w:type="fixed"/>
        <w:tblLook w:firstColumn="1" w:firstRow="1" w:lastColumn="0" w:lastRow="0" w:noHBand="0" w:noVBand="1" w:val="04A0"/>
      </w:tblPr>
      <w:tblGrid>
        <w:gridCol w:w="1504"/>
        <w:gridCol w:w="1605"/>
        <w:gridCol w:w="802"/>
        <w:gridCol w:w="5115"/>
      </w:tblGrid>
      <w:tr>
        <w:trPr>
          <w:tblHeader w:val="true"/>
        </w:trPr>
        <w:tc>
          <w:tcPr>
            <w:tcW w:type="dxa" w:w="1504"/>
            <w:shd w:val="clear" w:color="auto" w:fill="DEEAF6"/>
          </w:tcPr>
          <w:p>
            <w:pPr>
              <w:spacing w:after="20" w:before="20"/>
            </w:pPr>
            <w:r>
              <w:rPr>
                <w:b/>
                <w:sz w:val="18"/>
                <w:szCs w:val="18"/>
              </w:rPr>
              <w:t xml:space="preserve">Thread</w:t>
            </w:r>
          </w:p>
        </w:tc>
        <w:tc>
          <w:tcPr>
            <w:tcW w:type="dxa" w:w="1605"/>
            <w:shd w:val="clear" w:color="auto" w:fill="DEEAF6"/>
          </w:tcPr>
          <w:p>
            <w:pPr>
              <w:spacing w:after="20" w:before="20"/>
            </w:pPr>
            <w:r>
              <w:rPr>
                <w:b/>
                <w:sz w:val="18"/>
                <w:szCs w:val="18"/>
              </w:rPr>
              <w:t xml:space="preserve">Rate / priority</w:t>
            </w:r>
          </w:p>
        </w:tc>
        <w:tc>
          <w:tcPr>
            <w:tcW w:type="dxa" w:w="802"/>
            <w:shd w:val="clear" w:color="auto" w:fill="DEEAF6"/>
          </w:tcPr>
          <w:p>
            <w:pPr>
              <w:spacing w:after="20" w:before="20"/>
            </w:pPr>
            <w:r>
              <w:rPr>
                <w:b/>
                <w:sz w:val="18"/>
                <w:szCs w:val="18"/>
              </w:rPr>
              <w:t xml:space="preserve">Stack</w:t>
            </w:r>
          </w:p>
        </w:tc>
        <w:tc>
          <w:tcPr>
            <w:tcW w:type="dxa" w:w="5115"/>
            <w:shd w:val="clear" w:color="auto" w:fill="DEEAF6"/>
          </w:tcPr>
          <w:p>
            <w:pPr>
              <w:spacing w:after="20" w:before="20"/>
            </w:pPr>
            <w:r>
              <w:rPr>
                <w:b/>
                <w:sz w:val="18"/>
                <w:szCs w:val="18"/>
              </w:rPr>
              <w:t xml:space="preserve">What it does, and what it may not do</w:t>
            </w:r>
          </w:p>
        </w:tc>
      </w:tr>
      <w:tr>
        <w:tc>
          <w:tcPr>
            <w:tcW w:type="dxa" w:w="1504"/>
          </w:tcPr>
          <w:p>
            <w:pPr>
              <w:spacing w:after="20" w:before="20"/>
            </w:pPr>
            <w:r>
              <w:rPr>
                <w:rFonts w:ascii="Consolas" w:hAnsi="Consolas"/>
                <w:sz w:val="17"/>
                <w:szCs w:val="17"/>
              </w:rPr>
              <w:t xml:space="preserve">main</w:t>
            </w:r>
            <w:r>
              <w:rPr>
                <w:sz w:val="18"/>
                <w:szCs w:val="18"/>
              </w:rPr>
              <w:t xml:space="preserve"> (control)</w:t>
            </w:r>
          </w:p>
        </w:tc>
        <w:tc>
          <w:tcPr>
            <w:tcW w:type="dxa" w:w="1605"/>
          </w:tcPr>
          <w:p>
            <w:pPr>
              <w:spacing w:after="20" w:before="20"/>
            </w:pPr>
            <w:r>
              <w:rPr>
                <w:sz w:val="18"/>
                <w:szCs w:val="18"/>
              </w:rPr>
              <w:t xml:space="preserve">1 Hz, priority 0</w:t>
            </w:r>
          </w:p>
        </w:tc>
        <w:tc>
          <w:tcPr>
            <w:tcW w:type="dxa" w:w="802"/>
          </w:tcPr>
          <w:p>
            <w:pPr>
              <w:spacing w:after="20" w:before="20"/>
            </w:pPr>
            <w:r>
              <w:rPr>
                <w:sz w:val="18"/>
                <w:szCs w:val="18"/>
              </w:rPr>
              <w:t xml:space="preserve">8 kB</w:t>
            </w:r>
          </w:p>
        </w:tc>
        <w:tc>
          <w:tcPr>
            <w:tcW w:type="dxa" w:w="5115"/>
          </w:tcPr>
          <w:p>
            <w:pPr>
              <w:spacing w:after="20" w:before="20"/>
            </w:pPr>
            <w:r>
              <w:rPr>
                <w:sz w:val="18"/>
                <w:szCs w:val="18"/>
              </w:rPr>
              <w:t xml:space="preserve">acquires every channel, computes the reading, steps all three PI loops, evaluates the gates, publishes the snapshot. It is the </w:t>
            </w:r>
            <w:r>
              <w:rPr>
                <w:b/>
                <w:sz w:val="18"/>
                <w:szCs w:val="18"/>
              </w:rPr>
              <w:t xml:space="preserve">only writer</w:t>
            </w:r>
            <w:r>
              <w:rPr>
                <w:sz w:val="18"/>
                <w:szCs w:val="18"/>
              </w:rPr>
              <w:t xml:space="preserve"> of the snapshot.</w:t>
            </w:r>
          </w:p>
        </w:tc>
      </w:tr>
      <w:tr>
        <w:tc>
          <w:tcPr>
            <w:tcW w:type="dxa" w:w="1504"/>
          </w:tcPr>
          <w:p>
            <w:pPr>
              <w:spacing w:after="20" w:before="20"/>
            </w:pPr>
            <w:r>
              <w:rPr>
                <w:rFonts w:ascii="Consolas" w:hAnsi="Consolas"/>
                <w:sz w:val="17"/>
                <w:szCs w:val="17"/>
              </w:rPr>
              <w:t xml:space="preserve">safety</w:t>
            </w:r>
          </w:p>
        </w:tc>
        <w:tc>
          <w:tcPr>
            <w:tcW w:type="dxa" w:w="1605"/>
          </w:tcPr>
          <w:p>
            <w:pPr>
              <w:spacing w:after="20" w:before="20"/>
            </w:pPr>
            <w:r>
              <w:rPr>
                <w:sz w:val="18"/>
                <w:szCs w:val="18"/>
              </w:rPr>
              <w:t xml:space="preserve">10 Hz, priority 2</w:t>
            </w:r>
          </w:p>
        </w:tc>
        <w:tc>
          <w:tcPr>
            <w:tcW w:type="dxa" w:w="802"/>
          </w:tcPr>
          <w:p>
            <w:pPr>
              <w:spacing w:after="20" w:before="20"/>
            </w:pPr>
            <w:r>
              <w:rPr>
                <w:sz w:val="18"/>
                <w:szCs w:val="18"/>
              </w:rPr>
              <w:t xml:space="preserve">1.5 kB</w:t>
            </w:r>
          </w:p>
        </w:tc>
        <w:tc>
          <w:tcPr>
            <w:tcW w:type="dxa" w:w="5115"/>
          </w:tcPr>
          <w:p>
            <w:pPr>
              <w:spacing w:after="20" w:before="20"/>
            </w:pPr>
            <w:r>
              <w:rPr>
                <w:sz w:val="18"/>
                <w:szCs w:val="18"/>
              </w:rPr>
              <w:t xml:space="preserve">over-temperature on cached values, staleness, the latched ALERT edge, watchdog feed. </w:t>
            </w:r>
            <w:r>
              <w:rPr>
                <w:b/>
                <w:sz w:val="18"/>
                <w:szCs w:val="18"/>
              </w:rPr>
              <w:t xml:space="preserve">Never touches a bus.</w:t>
            </w:r>
          </w:p>
        </w:tc>
      </w:tr>
      <w:tr>
        <w:tc>
          <w:tcPr>
            <w:tcW w:type="dxa" w:w="1504"/>
          </w:tcPr>
          <w:p>
            <w:pPr>
              <w:spacing w:after="20" w:before="20"/>
            </w:pPr>
            <w:r>
              <w:rPr>
                <w:rFonts w:ascii="Consolas" w:hAnsi="Consolas"/>
                <w:sz w:val="17"/>
                <w:szCs w:val="17"/>
              </w:rPr>
              <w:t xml:space="preserve">ui</w:t>
            </w:r>
          </w:p>
        </w:tc>
        <w:tc>
          <w:tcPr>
            <w:tcW w:type="dxa" w:w="1605"/>
          </w:tcPr>
          <w:p>
            <w:pPr>
              <w:spacing w:after="20" w:before="20"/>
            </w:pPr>
            <w:r>
              <w:rPr>
                <w:sz w:val="18"/>
                <w:szCs w:val="18"/>
              </w:rPr>
              <w:t xml:space="preserve">opportunistic, priority 10</w:t>
            </w:r>
          </w:p>
        </w:tc>
        <w:tc>
          <w:tcPr>
            <w:tcW w:type="dxa" w:w="802"/>
          </w:tcPr>
          <w:p>
            <w:pPr>
              <w:spacing w:after="20" w:before="20"/>
            </w:pPr>
            <w:r>
              <w:rPr>
                <w:sz w:val="18"/>
                <w:szCs w:val="18"/>
              </w:rPr>
              <w:t xml:space="preserve">6 kB</w:t>
            </w:r>
          </w:p>
        </w:tc>
        <w:tc>
          <w:tcPr>
            <w:tcW w:type="dxa" w:w="5115"/>
          </w:tcPr>
          <w:p>
            <w:pPr>
              <w:spacing w:after="20" w:before="20"/>
            </w:pPr>
            <w:r>
              <w:rPr>
                <w:sz w:val="18"/>
                <w:szCs w:val="18"/>
              </w:rPr>
              <w:t xml:space="preserve">LVGL rendering and input. Takes a copy of the snapshot and works on the copy, so nothing that draws a widget can delay the control tick. Not built on the carrier board.</w:t>
            </w:r>
          </w:p>
        </w:tc>
      </w:tr>
      <w:tr>
        <w:tc>
          <w:tcPr>
            <w:tcW w:type="dxa" w:w="1504"/>
          </w:tcPr>
          <w:p>
            <w:pPr>
              <w:spacing w:after="20" w:before="20"/>
            </w:pPr>
            <w:r>
              <w:rPr>
                <w:rFonts w:ascii="Consolas" w:hAnsi="Consolas"/>
                <w:sz w:val="17"/>
                <w:szCs w:val="17"/>
              </w:rPr>
              <w:t xml:space="preserve">ws</w:t>
            </w:r>
          </w:p>
        </w:tc>
        <w:tc>
          <w:tcPr>
            <w:tcW w:type="dxa" w:w="1605"/>
          </w:tcPr>
          <w:p>
            <w:pPr>
              <w:spacing w:after="20" w:before="20"/>
            </w:pPr>
            <w:r>
              <w:rPr>
                <w:sz w:val="18"/>
                <w:szCs w:val="18"/>
              </w:rPr>
              <w:t xml:space="preserve">opportunistic, priority 10</w:t>
            </w:r>
          </w:p>
        </w:tc>
        <w:tc>
          <w:tcPr>
            <w:tcW w:type="dxa" w:w="802"/>
          </w:tcPr>
          <w:p>
            <w:pPr>
              <w:spacing w:after="20" w:before="20"/>
            </w:pPr>
            <w:r>
              <w:rPr>
                <w:sz w:val="18"/>
                <w:szCs w:val="18"/>
              </w:rPr>
              <w:t xml:space="preserve">3 kB</w:t>
            </w:r>
          </w:p>
        </w:tc>
        <w:tc>
          <w:tcPr>
            <w:tcW w:type="dxa" w:w="5115"/>
          </w:tcPr>
          <w:p>
            <w:pPr>
              <w:spacing w:after="20" w:before="20"/>
            </w:pPr>
            <w:r>
              <w:rPr>
                <w:sz w:val="18"/>
                <w:szCs w:val="18"/>
              </w:rPr>
              <w:t xml:space="preserve">the 1 Hz WebSocket push. Present only in a Wi-Fi build.</w:t>
            </w:r>
          </w:p>
        </w:tc>
      </w:tr>
    </w:tbl>
    <w:p>
      <w:pPr>
        <w:spacing w:before="60" w:after="200"/>
        <w:jc w:val="left"/>
      </w:pPr>
      <w:r>
        <w:rPr>
          <w:sz w:val="18"/>
          <w:szCs w:val="18"/>
        </w:rPr>
        <w:t xml:space="preserve">Table 44. The application threads. Everything that matters for a measurement happens in the first two; the other two are allowed to be late.</w:t>
      </w:r>
    </w:p>
    <w:p>
      <w:pPr>
        <w:spacing w:after="120"/>
      </w:pPr>
      <w:r>
        <w:t xml:space="preserve">One tick, executed in this order:</w:t>
      </w:r>
    </w:p>
    <w:p>
      <w:pPr>
        <w:spacing w:after="0" w:before="0" w:line="240" w:lineRule="auto"/>
        <w:ind w:left="288"/>
      </w:pPr>
      <w:r>
        <w:rPr>
          <w:rFonts w:ascii="Consolas" w:hAnsi="Consolas"/>
          <w:sz w:val="18"/>
          <w:szCs w:val="18"/>
        </w:rPr>
        <w:t xml:space="preserve">acquire()   read every sensor into the snapshot, each with its own timestamp</w:t>
      </w:r>
    </w:p>
    <w:p>
      <w:pPr>
        <w:spacing w:after="0" w:before="0" w:line="240" w:lineRule="auto"/>
        <w:ind w:left="288"/>
      </w:pPr>
      <w:r>
        <w:rPr>
          <w:rFonts w:ascii="Consolas" w:hAnsi="Consolas"/>
          <w:sz w:val="18"/>
          <w:szCs w:val="18"/>
        </w:rPr>
        <w:t xml:space="preserve">meter()     P_aux, then P_meas = rho*Vdot*cp*(dT - tare) - P_aux, then e_null</w:t>
      </w:r>
    </w:p>
    <w:p>
      <w:pPr>
        <w:spacing w:after="0" w:before="0" w:line="240" w:lineRule="auto"/>
        <w:ind w:left="288"/>
      </w:pPr>
      <w:r>
        <w:rPr>
          <w:rFonts w:ascii="Consolas" w:hAnsi="Consolas"/>
          <w:sz w:val="18"/>
          <w:szCs w:val="18"/>
        </w:rPr>
        <w:t xml:space="preserve">control()   observer -&gt; guard PI -&gt; inner PI -&gt; reject PI -&gt; actuators -&gt; gates</w:t>
      </w:r>
    </w:p>
    <w:p>
      <w:pPr>
        <w:spacing w:after="0" w:before="0" w:line="240" w:lineRule="auto"/>
        <w:ind w:left="288"/>
      </w:pPr>
      <w:r>
        <w:rPr>
          <w:rFonts w:ascii="Consolas" w:hAnsi="Consolas"/>
          <w:sz w:val="18"/>
          <w:szCs w:val="18"/>
        </w:rPr>
        <w:t xml:space="preserve">publish()   one mutex, one memcpy; readers never hold the lock while rendering</w:t>
      </w:r>
    </w:p>
    <w:p>
      <w:pPr>
        <w:spacing w:after="0" w:before="0" w:line="240" w:lineRule="auto"/>
        <w:ind w:left="288"/>
      </w:pPr>
      <w:r>
        <w:rPr>
          <w:rFonts w:ascii="Consolas" w:hAnsi="Consolas"/>
          <w:sz w:val="18"/>
          <w:szCs w:val="18"/>
        </w:rPr>
        <w:t xml:space="preserve">supervise() the state machine consumes the command queue and the gate results</w:t>
      </w:r>
    </w:p>
    <w:p/>
    <w:p>
      <w:pPr>
        <w:spacing w:after="120"/>
      </w:pPr>
      <w:r>
        <w:t xml:space="preserve">There is deliberately </w:t>
      </w:r>
      <w:r>
        <w:rPr>
          <w:b/>
        </w:rPr>
        <w:t xml:space="preserve">no synchronisation fabric</w:t>
      </w:r>
      <w:r>
        <w:t xml:space="preserve"> between the acquisition channels. The question that decides this is what a skew between the flow channel and the ΔT channel costs: at the operating points of §7.7 a full one-second skew is worth </w:t>
      </w:r>
      <w:r>
        <w:rPr>
          <w:b/>
        </w:rPr>
        <w:t xml:space="preserve">0.34 mW</w:t>
      </w:r>
      <w:r>
        <w:t xml:space="preserve">, and it would take roughly five minutes of skew to reach the 0.1 W promotion threshold of §6.8. One shared tick, ±100 ms, is therefore not an approximation that needs defending; it is three orders of magnitude inside the error floor.</w:t>
      </w:r>
    </w:p>
    <w:p>
      <w:pPr>
        <w:spacing w:after="120"/>
      </w:pPr>
      <w:r>
        <w:t xml:space="preserve">That is also why the acquisition thread of the original architecture was not built. It was specified at 10 Hz for exactly one reason — to run an A/B chop across a </w:t>
      </w:r>
      <w:r>
        <w:rPr>
          <w:b/>
        </w:rPr>
        <w:t xml:space="preserve">multiplexed</w:t>
      </w:r>
      <w:r>
        <w:t xml:space="preserve"> RTD front end — and the hardware settled on one MAX31865 per probe, so there is no multiplexer and nothing to chop. What remains is about 5 ms of bus traffic inside a 1 000 ms tick. A separate thread for that buys races, not watts. The honest cost is recorded in §9.14: the chop also rejects the front end's 1/f drift, and that benefit is deferred rather than free. Should the board later add the multiplexer, the split is a small change — </w:t>
      </w:r>
      <w:r>
        <w:rPr>
          <w:rFonts w:ascii="Consolas" w:hAnsi="Consolas"/>
          <w:sz w:val="19"/>
          <w:szCs w:val="19"/>
        </w:rPr>
        <w:t xml:space="preserve">temp_sense_read_all()</w:t>
      </w:r>
      <w:r>
        <w:t xml:space="preserve"> and </w:t>
      </w:r>
      <w:r>
        <w:rPr>
          <w:rFonts w:ascii="Consolas" w:hAnsi="Consolas"/>
          <w:sz w:val="19"/>
          <w:szCs w:val="19"/>
        </w:rPr>
        <w:t xml:space="preserve">water_loop_read()</w:t>
      </w:r>
      <w:r>
        <w:t xml:space="preserve"> are already the only acquisition entry points.</w:t>
      </w:r>
    </w:p>
    <w:p>
      <w:pPr>
        <w:spacing w:after="120"/>
      </w:pPr>
      <w:r>
        <w:t xml:space="preserve">State is shared through </w:t>
      </w:r>
      <w:r>
        <w:rPr>
          <w:b/>
        </w:rPr>
        <w:t xml:space="preserve">one snapshot struct behind one mutex</w:t>
      </w:r>
      <w:r>
        <w:t xml:space="preserve">, written by the control thread and copied out by everyone else. The architecture note recommended Zephyr's </w:t>
      </w:r>
      <w:r>
        <w:rPr>
          <w:rFonts w:ascii="Consolas" w:hAnsi="Consolas"/>
          <w:sz w:val="19"/>
          <w:szCs w:val="19"/>
        </w:rPr>
        <w:t xml:space="preserve">zbus</w:t>
      </w:r>
      <w:r>
        <w:t xml:space="preserve">, which is the right answer for many-to-many publication; here there is exactly one writer and readers that need nothing but a consistent copy, so </w:t>
      </w:r>
      <w:r>
        <w:rPr>
          <w:rFonts w:ascii="Consolas" w:hAnsi="Consolas"/>
          <w:sz w:val="19"/>
          <w:szCs w:val="19"/>
        </w:rPr>
        <w:t xml:space="preserve">zbus</w:t>
      </w:r>
      <w:r>
        <w:t xml:space="preserve"> would be a dependency and an indirection around a forty-line problem. One request escapes the queue: </w:t>
      </w:r>
      <w:r>
        <w:rPr>
          <w:b/>
        </w:rPr>
        <w:t xml:space="preserve">STOP is an atomic flag, not a queue entry</w:t>
      </w:r>
      <w:r>
        <w:t xml:space="preserve">, because peeking the head of a queue would miss a stop that arrived behind three other commands, and stop is the one request that must never wait its turn.</w:t>
      </w:r>
    </w:p>
    <w:p>
      <w:pPr>
        <w:pStyle w:val="Heading2"/>
      </w:pPr>
      <w:r>
        <w:t xml:space="preserve">The measurement path</w:t>
      </w:r>
    </w:p>
    <w:p>
      <w:pPr>
        <w:pStyle w:val="Heading3"/>
      </w:pPr>
      <w:r>
        <w:t xml:space="preserve">The meter equation, as implemented</w:t>
      </w:r>
    </w:p>
    <w:p>
      <w:pPr>
        <w:spacing w:after="120"/>
      </w:pPr>
      <w:r>
        <w:t xml:space="preserve">Equation (1) is what the instrument claims to measure; the line below is what the firmware actually evaluates, once per tick, from four channels and one stored constant:</w:t>
      </w:r>
    </w:p>
    <w:p>
      <w:pPr>
        <w:spacing w:before="160" w:after="160"/>
        <w:jc w:val="center"/>
      </w:pPr>
      <w:r>
        <w:rPr>
          <w:rFonts w:ascii="Cambria Math" w:hAnsi="Cambria Math"/>
          <w:sz w:val="24"/>
          <w:szCs w:val="24"/>
        </w:rPr>
        <w:t xml:space="preserve">P̂</w:t>
      </w:r>
      <w:r>
        <w:rPr>
          <w:rFonts w:ascii="Cambria Math" w:hAnsi="Cambria Math"/>
          <w:sz w:val="24"/>
          <w:szCs w:val="24"/>
          <w:vertAlign w:val="subscript"/>
        </w:rPr>
        <w:t xml:space="preserve">meas</w:t>
      </w:r>
      <w:r>
        <w:rPr>
          <w:rFonts w:ascii="Cambria Math" w:hAnsi="Cambria Math"/>
          <w:sz w:val="24"/>
          <w:szCs w:val="24"/>
        </w:rPr>
        <w:t xml:space="preserve"> = ρ</w:t>
      </w:r>
      <w:r>
        <w:rPr>
          <w:rFonts w:ascii="Cambria Math" w:hAnsi="Cambria Math"/>
          <w:sz w:val="24"/>
          <w:szCs w:val="24"/>
          <w:vertAlign w:val="subscript"/>
        </w:rPr>
        <w:t xml:space="preserve">w</w:t>
      </w:r>
      <w:r>
        <w:rPr>
          <w:rFonts w:ascii="Cambria Math" w:hAnsi="Cambria Math"/>
          <w:sz w:val="24"/>
          <w:szCs w:val="24"/>
        </w:rPr>
        <w:t xml:space="preserve">(T</w:t>
      </w:r>
      <w:r>
        <w:rPr>
          <w:rFonts w:ascii="Cambria Math" w:hAnsi="Cambria Math"/>
          <w:sz w:val="24"/>
          <w:szCs w:val="24"/>
          <w:vertAlign w:val="subscript"/>
        </w:rPr>
        <w:t xml:space="preserve">in</w:t>
      </w:r>
      <w:r>
        <w:rPr>
          <w:rFonts w:ascii="Cambria Math" w:hAnsi="Cambria Math"/>
          <w:sz w:val="24"/>
          <w:szCs w:val="24"/>
        </w:rPr>
        <w:t xml:space="preserve">) · V̇ · c</w:t>
      </w:r>
      <w:r>
        <w:rPr>
          <w:rFonts w:ascii="Cambria Math" w:hAnsi="Cambria Math"/>
          <w:sz w:val="24"/>
          <w:szCs w:val="24"/>
          <w:vertAlign w:val="subscript"/>
        </w:rPr>
        <w:t xml:space="preserve">p,w</w:t>
      </w:r>
      <w:r>
        <w:rPr>
          <w:rFonts w:ascii="Cambria Math" w:hAnsi="Cambria Math"/>
          <w:sz w:val="24"/>
          <w:szCs w:val="24"/>
        </w:rPr>
        <w:t xml:space="preserve">(T̄</w:t>
      </w:r>
      <w:r>
        <w:rPr>
          <w:rFonts w:ascii="Cambria Math" w:hAnsi="Cambria Math"/>
          <w:sz w:val="24"/>
          <w:szCs w:val="24"/>
          <w:vertAlign w:val="subscript"/>
        </w:rPr>
        <w:t xml:space="preserve">w</w:t>
      </w:r>
      <w:r>
        <w:rPr>
          <w:rFonts w:ascii="Cambria Math" w:hAnsi="Cambria Math"/>
          <w:sz w:val="24"/>
          <w:szCs w:val="24"/>
        </w:rPr>
        <w:t xml:space="preserve">) · (ΔT</w:t>
      </w:r>
      <w:r>
        <w:rPr>
          <w:rFonts w:ascii="Cambria Math" w:hAnsi="Cambria Math"/>
          <w:sz w:val="24"/>
          <w:szCs w:val="24"/>
          <w:vertAlign w:val="subscript"/>
        </w:rPr>
        <w:t xml:space="preserve">w</w:t>
      </w:r>
      <w:r>
        <w:rPr>
          <w:rFonts w:ascii="Cambria Math" w:hAnsi="Cambria Math"/>
          <w:sz w:val="24"/>
          <w:szCs w:val="24"/>
        </w:rPr>
        <w:t xml:space="preserve"> − ΔT</w:t>
      </w:r>
      <w:r>
        <w:rPr>
          <w:rFonts w:ascii="Cambria Math" w:hAnsi="Cambria Math"/>
          <w:sz w:val="24"/>
          <w:szCs w:val="24"/>
          <w:vertAlign w:val="subscript"/>
        </w:rPr>
        <w:t xml:space="preserve">tare</w:t>
      </w:r>
      <w:r>
        <w:rPr>
          <w:rFonts w:ascii="Cambria Math" w:hAnsi="Cambria Math"/>
          <w:sz w:val="24"/>
          <w:szCs w:val="24"/>
        </w:rPr>
        <w:t xml:space="preserve">) − P</w:t>
      </w:r>
      <w:r>
        <w:rPr>
          <w:rFonts w:ascii="Cambria Math" w:hAnsi="Cambria Math"/>
          <w:sz w:val="24"/>
          <w:szCs w:val="24"/>
          <w:vertAlign w:val="subscript"/>
        </w:rPr>
        <w:t xml:space="preserve">aux</w:t>
      </w:r>
      <w:r>
        <w:rPr>
          <w:sz w:val="20"/>
          <w:szCs w:val="20"/>
        </w:rPr>
        <w:tab/>
        <w:tab/>
        <w:t>(17)</w:t>
      </w:r>
    </w:p>
    <w:p>
      <w:pPr>
        <w:spacing w:after="120"/>
      </w:pPr>
      <w:r>
        <w:t xml:space="preserve">Four points of the implementation are worth stating, because each of them is a watt or more if it is got wrong.</w:t>
      </w:r>
    </w:p>
    <w:p>
      <w:pPr>
        <w:spacing w:after="60" w:before="0"/>
        <w:ind w:left="792" w:hanging="432"/>
      </w:pPr>
      <w:r>
        <w:t xml:space="preserve">1.</w:t>
      </w:r>
      <w:r>
        <w:tab/>
      </w:r>
      <w:r>
        <w:rPr>
          <w:b/>
        </w:rPr>
        <w:t xml:space="preserve">The volumetric flow is converted to mass flow at the meter's own temperature.</w:t>
      </w:r>
      <w:r>
        <w:t xml:space="preserve"> The turbine measures the volume that physically passed through it, so ρ must be evaluated where that volume was displaced, not at the mean of the loop.</w:t>
      </w:r>
    </w:p>
    <w:p>
      <w:pPr>
        <w:spacing w:after="60" w:before="0"/>
        <w:ind w:left="792" w:hanging="432"/>
      </w:pPr>
      <w:r>
        <w:t xml:space="preserve">2.</w:t>
      </w:r>
      <w:r>
        <w:tab/>
      </w:r>
      <w:r>
        <w:rPr>
          <w:b/>
        </w:rPr>
        <w:t xml:space="preserve">c</w:t>
      </w:r>
      <w:r>
        <w:rPr>
          <w:b/>
          <w:vertAlign w:val="subscript"/>
        </w:rPr>
        <w:t xml:space="preserve">p</w:t>
      </w:r>
      <w:r>
        <w:rPr>
          <w:b/>
        </w:rPr>
        <w:t xml:space="preserve"> is evaluated at the mean of the two ends</w:t>
      </w:r>
      <w:r>
        <w:t xml:space="preserve">, which is the correct first-order choice for an integrated enthalpy rise across a small ΔT.</w:t>
      </w:r>
    </w:p>
    <w:p>
      <w:pPr>
        <w:spacing w:after="60" w:before="0"/>
        <w:ind w:left="792" w:hanging="432"/>
      </w:pPr>
      <w:r>
        <w:t xml:space="preserve">3.</w:t>
      </w:r>
      <w:r>
        <w:tab/>
      </w:r>
      <w:r>
        <w:rPr>
          <w:b/>
        </w:rPr>
        <w:t xml:space="preserve">ΔT</w:t>
      </w:r>
      <w:r>
        <w:rPr>
          <w:b/>
          <w:vertAlign w:val="subscript"/>
        </w:rPr>
        <w:t xml:space="preserve">tare</w:t>
      </w:r>
      <w:r>
        <w:rPr>
          <w:b/>
        </w:rPr>
        <w:t xml:space="preserve"> is the in-situ zero for this flow range</w:t>
      </w:r>
      <w:r>
        <w:t xml:space="preserve">, subtracted before anything else. It absorbs far more than probe mismatch — see §9.11.</w:t>
      </w:r>
    </w:p>
    <w:p>
      <w:pPr>
        <w:spacing w:after="60" w:before="0"/>
        <w:ind w:left="792" w:hanging="432"/>
      </w:pPr>
      <w:r>
        <w:t xml:space="preserve">4.</w:t>
      </w:r>
      <w:r>
        <w:tab/>
      </w:r>
      <w:r>
        <w:rPr>
          <w:b/>
        </w:rPr>
        <w:t xml:space="preserve">P</w:t>
      </w:r>
      <w:r>
        <w:rPr>
          <w:b/>
          <w:vertAlign w:val="subscript"/>
        </w:rPr>
        <w:t xml:space="preserve">aux</w:t>
      </w:r>
      <w:r>
        <w:rPr>
          <w:b/>
        </w:rPr>
        <w:t xml:space="preserve"> is every watt metered inside boundary B1</w:t>
      </w:r>
      <w:r>
        <w:t xml:space="preserve"> — the inner-chamber heater and the inner circulation fans. Any watt dissipated inside B1 that is not subtracted here is reported as DUT loss one-for-one, which is why both of those rails are measurement-grade rather than protection-grade.</w:t>
      </w:r>
    </w:p>
    <w:p>
      <w:pPr>
        <w:spacing w:after="120"/>
      </w:pPr>
      <w:r>
        <w:t xml:space="preserve">The reading is deliberately </w:t>
      </w:r>
      <w:r>
        <w:rPr>
          <w:b/>
        </w:rPr>
        <w:t xml:space="preserve">not</w:t>
      </w:r>
      <w:r>
        <w:t xml:space="preserve"> filtered before the gates see it. Smoothing a signal whose slope is the gate criterion changes the thing being gated; the slope estimator of §9.8 does its own averaging, over a window chosen for that purpose.</w:t>
      </w:r>
    </w:p>
    <w:p>
      <w:pPr>
        <w:pStyle w:val="Heading3"/>
      </w:pPr>
      <w:r>
        <w:t xml:space="preserve">Water properties, evaluated every tick</w:t>
      </w:r>
    </w:p>
    <w:p>
      <w:pPr>
        <w:spacing w:after="120"/>
      </w:pPr>
      <w:r>
        <w:t xml:space="preserve">Both water properties are polynomials rather than constants, fitted against steam-table values over 10–60 °C:</w:t>
      </w:r>
    </w:p>
    <w:p>
      <w:pPr>
        <w:spacing w:before="160" w:after="160"/>
        <w:jc w:val="center"/>
      </w:pPr>
      <w:r>
        <w:rPr>
          <w:rFonts w:ascii="Cambria Math" w:hAnsi="Cambria Math"/>
          <w:sz w:val="24"/>
          <w:szCs w:val="24"/>
        </w:rPr>
        <w:t xml:space="preserve">ρ</w:t>
      </w:r>
      <w:r>
        <w:rPr>
          <w:rFonts w:ascii="Cambria Math" w:hAnsi="Cambria Math"/>
          <w:sz w:val="24"/>
          <w:szCs w:val="24"/>
          <w:vertAlign w:val="subscript"/>
        </w:rPr>
        <w:t xml:space="preserve">w</w:t>
      </w:r>
      <w:r>
        <w:rPr>
          <w:rFonts w:ascii="Cambria Math" w:hAnsi="Cambria Math"/>
          <w:sz w:val="24"/>
          <w:szCs w:val="24"/>
        </w:rPr>
        <w:t xml:space="preserve">(T) = 1001.17 − 0.072250·T − 0.0037875·T²      [kg/m³]</w:t>
      </w:r>
      <w:r>
        <w:rPr>
          <w:sz w:val="20"/>
          <w:szCs w:val="20"/>
        </w:rPr>
        <w:tab/>
        <w:tab/>
        <w:t>(18)</w:t>
      </w:r>
    </w:p>
    <w:p>
      <w:pPr>
        <w:spacing w:before="160" w:after="160"/>
        <w:jc w:val="center"/>
      </w:pPr>
      <w:r>
        <w:rPr>
          <w:rFonts w:ascii="Cambria Math" w:hAnsi="Cambria Math"/>
          <w:sz w:val="24"/>
          <w:szCs w:val="24"/>
        </w:rPr>
        <w:t xml:space="preserve">c</w:t>
      </w:r>
      <w:r>
        <w:rPr>
          <w:rFonts w:ascii="Cambria Math" w:hAnsi="Cambria Math"/>
          <w:sz w:val="24"/>
          <w:szCs w:val="24"/>
          <w:vertAlign w:val="subscript"/>
        </w:rPr>
        <w:t xml:space="preserve">p,w</w:t>
      </w:r>
      <w:r>
        <w:rPr>
          <w:rFonts w:ascii="Cambria Math" w:hAnsi="Cambria Math"/>
          <w:sz w:val="24"/>
          <w:szCs w:val="24"/>
        </w:rPr>
        <w:t xml:space="preserve">(T) = 4188.0 − 0.5·T + 0.0075·T²      [J/(kg·K)]</w:t>
      </w:r>
      <w:r>
        <w:rPr>
          <w:sz w:val="20"/>
          <w:szCs w:val="20"/>
        </w:rPr>
        <w:tab/>
        <w:tab/>
        <w:t>(19)</w:t>
      </w:r>
    </w:p>
    <w:p>
      <w:pPr>
        <w:spacing w:after="120"/>
      </w:pPr>
      <w:r>
        <w:t xml:space="preserve">Maximum fit error is 0.06 kg/m³ (0.006 %) on ρ and 1 J/(kg·K) (0.024 %) on c</w:t>
      </w:r>
      <w:r>
        <w:rPr>
          <w:vertAlign w:val="subscript"/>
        </w:rPr>
        <w:t xml:space="preserve">p</w:t>
      </w:r>
      <w:r>
        <w:t xml:space="preserve">. The alternative — a volumetric flow meter with a frozen density — is worth </w:t>
      </w:r>
      <w:r>
        <w:rPr>
          <w:b/>
        </w:rPr>
        <w:t xml:space="preserve">about 0.90 W of avoidable bias at 150 W</w:t>
      </w:r>
      <w:r>
        <w:t xml:space="preserve"> across the 20–60 °C swing the loop actually sees, with c</w:t>
      </w:r>
      <w:r>
        <w:rPr>
          <w:vertAlign w:val="subscript"/>
        </w:rPr>
        <w:t xml:space="preserve">p</w:t>
      </w:r>
      <w:r>
        <w:t xml:space="preserve"> contributing a further 0.10 W. Two short polynomials recover roughly one watt against a ±1 W budget; nothing else in the firmware has that ratio of accuracy to lines of code.</w:t>
      </w:r>
    </w:p>
    <w:p>
      <w:pPr>
        <w:spacing w:after="120"/>
      </w:pPr>
      <w:r>
        <w:t xml:space="preserve">There is a plumbing consequence, and it is recorded here because the firmware cannot fix it: </w:t>
      </w:r>
      <w:r>
        <w:rPr>
          <w:b/>
        </w:rPr>
        <w:t xml:space="preserve">the pump and the flow meter must sit on the cold leg.</w:t>
      </w:r>
      <w:r>
        <w:t xml:space="preserve"> Then the displaced volume is at the inlet temperature the RTD pair already measures, and ρ needs no sensor of its own. On the hot leg, evaluating (18) correctly would require a third probe.</w:t>
      </w:r>
    </w:p>
    <w:p>
      <w:pPr>
        <w:pStyle w:val="Heading3"/>
      </w:pPr>
      <w:r>
        <w:t xml:space="preserve">The turbine is the meter; the pump is only the actuator</w:t>
      </w:r>
    </w:p>
    <w:p>
      <w:pPr>
        <w:spacing w:after="120"/>
      </w:pPr>
      <w:r>
        <w:t xml:space="preserve">The firmware architecture note specified the </w:t>
      </w:r>
      <w:r>
        <w:rPr>
          <w:b/>
        </w:rPr>
        <w:t xml:space="preserve">pump step count</w:t>
      </w:r>
      <w:r>
        <w:t xml:space="preserve"> as the primary flow measurement, with the turbine as a witness. That was reversed by an explicit project decision, and </w:t>
      </w:r>
      <w:r>
        <w:rPr>
          <w:rFonts w:ascii="Consolas" w:hAnsi="Consolas"/>
          <w:sz w:val="19"/>
          <w:szCs w:val="19"/>
        </w:rPr>
        <w:t xml:space="preserve">water-loop.c</w:t>
      </w:r>
      <w:r>
        <w:t xml:space="preserve"> implements the reversal completely: </w:t>
      </w:r>
      <w:r>
        <w:rPr>
          <w:b/>
        </w:rPr>
        <w:t xml:space="preserve">there is no step-count-based metrology anywhere in the file.</w:t>
      </w:r>
      <w:r>
        <w:t xml:space="preserve"> The step rate is a command; the turbine is the meter; a slow outer trim closes the pump's open-loop displacement against the turbine's reading.</w:t>
      </w:r>
    </w:p>
    <w:p>
      <w:pPr>
        <w:spacing w:after="120"/>
      </w:pPr>
      <w:r>
        <w:t xml:space="preserve">The argument that motivated the original split survives the reversal intact, but points the other way. A silent flow error is the worst failure this instrument can have, because it produces a plausible-looking wrong answer rather than an obvious one. What makes it loud is the </w:t>
      </w:r>
      <w:r>
        <w:rPr>
          <w:b/>
        </w:rPr>
        <w:t xml:space="preserve">disagreement between command and measurement</w:t>
      </w:r>
      <w:r>
        <w:t xml:space="preserve">: a sustained mismatch beyond 35 % raises a latched fault, and a slipped tube, an air lock or a partial occlusion all show up there.</w:t>
      </w:r>
    </w:p>
    <w:p>
      <w:pPr>
        <w:pStyle w:val="Heading3"/>
      </w:pPr>
      <w:r>
        <w:t xml:space="preserve">A reading is a triple, not a float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Staleness detection is the difference between a fault and a fire</w:t>
            </w:r>
          </w:p>
          <w:p>
            <w:pPr>
              <w:spacing w:after="40"/>
            </w:pPr>
            <w:r>
              <w:rPr>
                <w:sz w:val="19"/>
                <w:szCs w:val="19"/>
              </w:rPr>
              <w:t xml:space="preserve">Every sensor channel in this firmware is a </w:t>
            </w:r>
            <w:r>
              <w:rPr>
                <w:rFonts w:ascii="Consolas" w:hAnsi="Consolas"/>
                <w:sz w:val="19"/>
                <w:szCs w:val="19"/>
              </w:rPr>
              <w:t xml:space="preserve">struct meas</w:t>
            </w:r>
            <w:r>
              <w:rPr>
                <w:sz w:val="19"/>
                <w:szCs w:val="19"/>
              </w:rPr>
              <w:t xml:space="preserve"> — a value, the time it was taken, and a flag word (valid / stale / saturated / retried / dead). A failed read deliberately </w:t>
            </w:r>
            <w:r>
              <w:rPr>
                <w:b/>
                <w:sz w:val="19"/>
                <w:szCs w:val="19"/>
              </w:rPr>
              <w:t xml:space="preserve">does not update the timestamp</w:t>
            </w:r>
            <w:r>
              <w:rPr>
                <w:sz w:val="19"/>
                <w:szCs w:val="19"/>
              </w:rPr>
              <w:t xml:space="preserve">.</w:t>
            </w:r>
          </w:p>
          <w:p>
            <w:pPr>
              <w:spacing w:after="40"/>
            </w:pPr>
            <w:r>
              <w:rPr>
                <w:sz w:val="19"/>
                <w:szCs w:val="19"/>
              </w:rPr>
              <w:t xml:space="preserve">The reason is the specific way an I²C bus fails. A hung bus does not report an error; it reports </w:t>
            </w:r>
            <w:r>
              <w:rPr>
                <w:b/>
                <w:sz w:val="19"/>
                <w:szCs w:val="19"/>
              </w:rPr>
              <w:t xml:space="preserve">the last value forever</w:t>
            </w:r>
            <w:r>
              <w:rPr>
                <w:sz w:val="19"/>
                <w:szCs w:val="19"/>
              </w:rPr>
              <w:t xml:space="preserve">. The guard PI would then see a constant, entirely plausible error, integrate against it, and drive the heater to its rail while the real chamber climbs — and the integrator is exactly the thing §7.8 identifies as the accuracy of the instrument. A bare float cannot express the difference between "45.0 °C" and "45.0 °C, forty seconds ago".</w:t>
            </w:r>
          </w:p>
          <w:p>
            <w:pPr>
              <w:spacing w:after="40"/>
            </w:pPr>
            <w:r>
              <w:rPr>
                <w:sz w:val="19"/>
                <w:szCs w:val="19"/>
              </w:rPr>
              <w:t xml:space="preserve">Consequently the control law refuses any value older than three ticks, and so does the heater interlock of §9.12.</w:t>
            </w:r>
          </w:p>
        </w:tc>
      </w:tr>
    </w:tbl>
    <w:p/>
    <w:p>
      <w:pPr>
        <w:pStyle w:val="Heading2"/>
      </w:pPr>
      <w:r>
        <w:t xml:space="preserve">The control laws, discretised</w:t>
      </w:r>
    </w:p>
    <w:p>
      <w:pPr>
        <w:pStyle w:val="Heading3"/>
      </w:pPr>
      <w:r>
        <w:t xml:space="preserve">Sampling</w:t>
      </w:r>
    </w:p>
    <w:p>
      <w:pPr>
        <w:spacing w:after="120"/>
      </w:pPr>
      <w:r>
        <w:t xml:space="preserve">The tick is 1 s, and two independent arguments land on the same number. The first is the control-theoretic one of RD-11 §25: the closed-loop bandwidth is about 1/60 s⁻¹, the practical rule puts the sampling rate 20–40× above it, and at T</w:t>
      </w:r>
      <w:r>
        <w:rPr>
          <w:vertAlign w:val="subscript"/>
        </w:rPr>
        <w:t xml:space="preserve">s</w:t>
      </w:r>
      <w:r>
        <w:t xml:space="preserve"> = 1 s the discrete poles sit between |z| = 0.819 and 0.997 — fast enough for margin, slow enough that they do not crowd onto z = 1 where finite precision cannot separate them. Sampling a thermal plant at kilohertz is actively worse, not merely wasteful.</w:t>
      </w:r>
    </w:p>
    <w:p>
      <w:pPr>
        <w:spacing w:after="120"/>
      </w:pPr>
      <w:r>
        <w:t xml:space="preserve">The second is arithmetic, and it is the one that would have been missed. At a 1 s tick the guard integrator's per-tick increment is about 3·10⁻⁵ of its own accumulated value — roughly 300× the epsilon of a 32-bit float, so nothing is discarded. At a 1 ms tick the ratio would be 3·10⁻⁸, below epsilon: the increments would be silently dropped, the integrator would freeze, and the instrument's accuracy would quietly disappear with no symptom anywhere. </w:t>
      </w:r>
      <w:r>
        <w:rPr>
          <w:b/>
        </w:rPr>
        <w:t xml:space="preserve">A thermal loop sampled too fast does not merely waste cycles; on single-precision hardware it stops integrating.</w:t>
      </w:r>
    </w:p>
    <w:p>
      <w:pPr>
        <w:spacing w:after="120"/>
      </w:pPr>
      <w:r>
        <w:t xml:space="preserve">RD-11 §25 recommends a zero-order-hold discretisation for the plant and Tustin for the controller. The first half does not arise here, because no plant model is integrated on the microcontroller (§9.1). The second half is implemented as a rectangular rather than a trapezoidal rule, which costs half a sample of phase — 0.5 s against a 60 s designed closed-loop time constant, about 0.5° at crossover — and buys an anti-windup correction that is algebraically exact at the clamp. Every loop is stepped with the </w:t>
      </w:r>
      <w:r>
        <w:rPr>
          <w:b/>
        </w:rPr>
        <w:t xml:space="preserve">measured</w:t>
      </w:r>
      <w:r>
        <w:t xml:space="preserve"> elapsed time rather than the nominal 1.000 s, so a late tick degrades nothing.</w:t>
      </w:r>
    </w:p>
    <w:p>
      <w:pPr>
        <w:pStyle w:val="Heading3"/>
      </w:pPr>
      <w:r>
        <w:t xml:space="preserve">The guard loop, and why it is driven in watts</w:t>
      </w:r>
    </w:p>
    <w:p>
      <w:pPr>
        <w:spacing w:after="120"/>
      </w:pPr>
      <w:r>
        <w:t xml:space="preserve">The guard PI implemented in </w:t>
      </w:r>
      <w:r>
        <w:rPr>
          <w:rFonts w:ascii="Consolas" w:hAnsi="Consolas"/>
          <w:sz w:val="19"/>
          <w:szCs w:val="19"/>
        </w:rPr>
        <w:t xml:space="preserve">control-system.c</w:t>
      </w:r>
      <w:r>
        <w:t xml:space="preserve"> is the controller designed in §6.7, unchanged: gains from the λ-rule at λ</w:t>
      </w:r>
      <w:r>
        <w:rPr>
          <w:vertAlign w:val="subscript"/>
        </w:rPr>
        <w:t xml:space="preserve">g</w:t>
      </w:r>
      <w:r>
        <w:t xml:space="preserve"> = 60 s, output saturated to [0, P</w:t>
      </w:r>
      <w:r>
        <w:rPr>
          <w:vertAlign w:val="subscript"/>
        </w:rPr>
        <w:t xml:space="preserve">max</w:t>
      </w:r>
      <w:r>
        <w:t xml:space="preserve">], anti-windup by back-calculation. In discrete form, with e</w:t>
      </w:r>
      <w:r>
        <w:rPr>
          <w:vertAlign w:val="subscript"/>
        </w:rPr>
        <w:t xml:space="preserve">k</w:t>
      </w:r>
      <w:r>
        <w:t xml:space="preserve"> the null error, x the integrator state in watts and u</w:t>
      </w:r>
      <w:r>
        <w:rPr>
          <w:vertAlign w:val="subscript"/>
        </w:rPr>
        <w:t xml:space="preserve">raw</w:t>
      </w:r>
      <w:r>
        <w:t xml:space="preserve"> the pre-saturation demand:</w:t>
      </w:r>
    </w:p>
    <w:p>
      <w:pPr>
        <w:spacing w:before="160" w:after="160"/>
        <w:jc w:val="center"/>
      </w:pPr>
      <w:r>
        <w:rPr>
          <w:rFonts w:ascii="Cambria Math" w:hAnsi="Cambria Math"/>
          <w:sz w:val="24"/>
          <w:szCs w:val="24"/>
        </w:rPr>
        <w:t xml:space="preserve">u</w:t>
      </w:r>
      <w:r>
        <w:rPr>
          <w:rFonts w:ascii="Cambria Math" w:hAnsi="Cambria Math"/>
          <w:sz w:val="24"/>
          <w:szCs w:val="24"/>
          <w:vertAlign w:val="subscript"/>
        </w:rPr>
        <w:t xml:space="preserve">k</w:t>
      </w:r>
      <w:r>
        <w:rPr>
          <w:rFonts w:ascii="Cambria Math" w:hAnsi="Cambria Math"/>
          <w:sz w:val="24"/>
          <w:szCs w:val="24"/>
        </w:rPr>
        <w:t xml:space="preserve"> = sat( K</w:t>
      </w:r>
      <w:r>
        <w:rPr>
          <w:rFonts w:ascii="Cambria Math" w:hAnsi="Cambria Math"/>
          <w:sz w:val="24"/>
          <w:szCs w:val="24"/>
          <w:vertAlign w:val="subscript"/>
        </w:rPr>
        <w:t xml:space="preserve">p</w:t>
      </w:r>
      <w:r>
        <w:rPr>
          <w:rFonts w:ascii="Cambria Math" w:hAnsi="Cambria Math"/>
          <w:sz w:val="24"/>
          <w:szCs w:val="24"/>
        </w:rPr>
        <w:t xml:space="preserve">·e</w:t>
      </w:r>
      <w:r>
        <w:rPr>
          <w:rFonts w:ascii="Cambria Math" w:hAnsi="Cambria Math"/>
          <w:sz w:val="24"/>
          <w:szCs w:val="24"/>
          <w:vertAlign w:val="subscript"/>
        </w:rPr>
        <w:t xml:space="preserve">k</w:t>
      </w:r>
      <w:r>
        <w:rPr>
          <w:rFonts w:ascii="Cambria Math" w:hAnsi="Cambria Math"/>
          <w:sz w:val="24"/>
          <w:szCs w:val="24"/>
        </w:rPr>
        <w:t xml:space="preserve"> + x</w:t>
      </w:r>
      <w:r>
        <w:rPr>
          <w:rFonts w:ascii="Cambria Math" w:hAnsi="Cambria Math"/>
          <w:sz w:val="24"/>
          <w:szCs w:val="24"/>
          <w:vertAlign w:val="subscript"/>
        </w:rPr>
        <w:t xml:space="preserve">k−1</w:t>
      </w:r>
      <w:r>
        <w:rPr>
          <w:rFonts w:ascii="Cambria Math" w:hAnsi="Cambria Math"/>
          <w:sz w:val="24"/>
          <w:szCs w:val="24"/>
        </w:rPr>
        <w:t xml:space="preserve"> + P</w:t>
      </w:r>
      <w:r>
        <w:rPr>
          <w:rFonts w:ascii="Cambria Math" w:hAnsi="Cambria Math"/>
          <w:sz w:val="24"/>
          <w:szCs w:val="24"/>
          <w:vertAlign w:val="subscript"/>
        </w:rPr>
        <w:t xml:space="preserve">ff,k</w:t>
      </w:r>
      <w:r>
        <w:rPr>
          <w:rFonts w:ascii="Cambria Math" w:hAnsi="Cambria Math"/>
          <w:sz w:val="24"/>
          <w:szCs w:val="24"/>
        </w:rPr>
        <w:t xml:space="preserve"> ) ,   x</w:t>
      </w:r>
      <w:r>
        <w:rPr>
          <w:rFonts w:ascii="Cambria Math" w:hAnsi="Cambria Math"/>
          <w:sz w:val="24"/>
          <w:szCs w:val="24"/>
          <w:vertAlign w:val="subscript"/>
        </w:rPr>
        <w:t xml:space="preserve">k</w:t>
      </w:r>
      <w:r>
        <w:rPr>
          <w:rFonts w:ascii="Cambria Math" w:hAnsi="Cambria Math"/>
          <w:sz w:val="24"/>
          <w:szCs w:val="24"/>
        </w:rPr>
        <w:t xml:space="preserve"> = x</w:t>
      </w:r>
      <w:r>
        <w:rPr>
          <w:rFonts w:ascii="Cambria Math" w:hAnsi="Cambria Math"/>
          <w:sz w:val="24"/>
          <w:szCs w:val="24"/>
          <w:vertAlign w:val="subscript"/>
        </w:rPr>
        <w:t xml:space="preserve">k−1</w:t>
      </w:r>
      <w:r>
        <w:rPr>
          <w:rFonts w:ascii="Cambria Math" w:hAnsi="Cambria Math"/>
          <w:sz w:val="24"/>
          <w:szCs w:val="24"/>
        </w:rPr>
        <w:t xml:space="preserve"> + T</w:t>
      </w:r>
      <w:r>
        <w:rPr>
          <w:rFonts w:ascii="Cambria Math" w:hAnsi="Cambria Math"/>
          <w:sz w:val="24"/>
          <w:szCs w:val="24"/>
          <w:vertAlign w:val="subscript"/>
        </w:rPr>
        <w:t xml:space="preserve">s</w:t>
      </w:r>
      <w:r>
        <w:rPr>
          <w:rFonts w:ascii="Cambria Math" w:hAnsi="Cambria Math"/>
          <w:sz w:val="24"/>
          <w:szCs w:val="24"/>
        </w:rPr>
        <w:t xml:space="preserve">·[ K</w:t>
      </w:r>
      <w:r>
        <w:rPr>
          <w:rFonts w:ascii="Cambria Math" w:hAnsi="Cambria Math"/>
          <w:sz w:val="24"/>
          <w:szCs w:val="24"/>
          <w:vertAlign w:val="subscript"/>
        </w:rPr>
        <w:t xml:space="preserve">i</w:t>
      </w:r>
      <w:r>
        <w:rPr>
          <w:rFonts w:ascii="Cambria Math" w:hAnsi="Cambria Math"/>
          <w:sz w:val="24"/>
          <w:szCs w:val="24"/>
        </w:rPr>
        <w:t xml:space="preserve">·e</w:t>
      </w:r>
      <w:r>
        <w:rPr>
          <w:rFonts w:ascii="Cambria Math" w:hAnsi="Cambria Math"/>
          <w:sz w:val="24"/>
          <w:szCs w:val="24"/>
          <w:vertAlign w:val="subscript"/>
        </w:rPr>
        <w:t xml:space="preserve">k</w:t>
      </w:r>
      <w:r>
        <w:rPr>
          <w:rFonts w:ascii="Cambria Math" w:hAnsi="Cambria Math"/>
          <w:sz w:val="24"/>
          <w:szCs w:val="24"/>
        </w:rPr>
        <w:t xml:space="preserve"> + (u</w:t>
      </w:r>
      <w:r>
        <w:rPr>
          <w:rFonts w:ascii="Cambria Math" w:hAnsi="Cambria Math"/>
          <w:sz w:val="24"/>
          <w:szCs w:val="24"/>
          <w:vertAlign w:val="subscript"/>
        </w:rPr>
        <w:t xml:space="preserve">k</w:t>
      </w:r>
      <w:r>
        <w:rPr>
          <w:rFonts w:ascii="Cambria Math" w:hAnsi="Cambria Math"/>
          <w:sz w:val="24"/>
          <w:szCs w:val="24"/>
        </w:rPr>
        <w:t xml:space="preserve"> − u</w:t>
      </w:r>
      <w:r>
        <w:rPr>
          <w:rFonts w:ascii="Cambria Math" w:hAnsi="Cambria Math"/>
          <w:sz w:val="24"/>
          <w:szCs w:val="24"/>
          <w:vertAlign w:val="subscript"/>
        </w:rPr>
        <w:t xml:space="preserve">raw,k</w:t>
      </w:r>
      <w:r>
        <w:rPr>
          <w:rFonts w:ascii="Cambria Math" w:hAnsi="Cambria Math"/>
          <w:sz w:val="24"/>
          <w:szCs w:val="24"/>
        </w:rPr>
        <w:t xml:space="preserve">)/T</w:t>
      </w:r>
      <w:r>
        <w:rPr>
          <w:rFonts w:ascii="Cambria Math" w:hAnsi="Cambria Math"/>
          <w:sz w:val="24"/>
          <w:szCs w:val="24"/>
          <w:vertAlign w:val="subscript"/>
        </w:rPr>
        <w:t xml:space="preserve">t</w:t>
      </w:r>
      <w:r>
        <w:rPr>
          <w:rFonts w:ascii="Cambria Math" w:hAnsi="Cambria Math"/>
          <w:sz w:val="24"/>
          <w:szCs w:val="24"/>
        </w:rPr>
        <w:t xml:space="preserve"> ]</w:t>
      </w:r>
      <w:r>
        <w:rPr>
          <w:sz w:val="20"/>
          <w:szCs w:val="20"/>
        </w:rPr>
        <w:tab/>
        <w:tab/>
        <w:t>(20)</w:t>
      </w:r>
    </w:p>
    <w:p>
      <w:pPr>
        <w:spacing w:after="120"/>
      </w:pPr>
      <w:r>
        <w:t xml:space="preserve">Three properties of (20) matter and none is cosmetic. </w:t>
      </w:r>
      <w:r>
        <w:rPr>
          <w:b/>
        </w:rPr>
        <w:t xml:space="preserve">The saturation floor is zero, not −P</w:t>
      </w:r>
      <w:r>
        <w:rPr>
          <w:b/>
          <w:vertAlign w:val="subscript"/>
        </w:rPr>
        <w:t xml:space="preserve">max</w:t>
      </w:r>
      <w:r>
        <w:t xml:space="preserve">, because heaters cannot cool; after a load dump the guard has no actuator and must wait for the shell to fall on its own. </w:t>
      </w:r>
      <w:r>
        <w:rPr>
          <w:b/>
        </w:rPr>
        <w:t xml:space="preserve">The back-calculation term is exactly zero whenever the output is not clipped</w:t>
      </w:r>
      <w:r>
        <w:t xml:space="preserve">, so there is no branch to get wrong and no discontinuity at the limit — the reason it was preferred over conditional integration, which the architecture note also permitted. And </w:t>
      </w:r>
      <w:r>
        <w:rPr>
          <w:b/>
        </w:rPr>
        <w:t xml:space="preserve">T</w:t>
      </w:r>
      <w:r>
        <w:rPr>
          <w:b/>
          <w:vertAlign w:val="subscript"/>
        </w:rPr>
        <w:t xml:space="preserve">t</w:t>
      </w:r>
      <w:r>
        <w:rPr>
          <w:b/>
        </w:rPr>
        <w:t xml:space="preserve"> = K</w:t>
      </w:r>
      <w:r>
        <w:rPr>
          <w:b/>
          <w:vertAlign w:val="subscript"/>
        </w:rPr>
        <w:t xml:space="preserve">p</w:t>
      </w:r>
      <w:r>
        <w:rPr>
          <w:b/>
        </w:rPr>
        <w:t xml:space="preserve">/K</w:t>
      </w:r>
      <w:r>
        <w:rPr>
          <w:b/>
          <w:vertAlign w:val="subscript"/>
        </w:rPr>
        <w:t xml:space="preserve">i</w:t>
      </w:r>
      <w:r>
        <w:rPr>
          <w:b/>
        </w:rPr>
        <w:t xml:space="preserve"> = τ</w:t>
      </w:r>
      <w:r>
        <w:rPr>
          <w:b/>
          <w:vertAlign w:val="subscript"/>
        </w:rPr>
        <w:t xml:space="preserve">e</w:t>
      </w:r>
      <w:r>
        <w:rPr>
          <w:b/>
        </w:rPr>
        <w:t xml:space="preserve"> = 297 s</w:t>
      </w:r>
      <w:r>
        <w:t xml:space="preserve">, the textbook choice, which makes the recovery from saturation as fast as the shell itself and no faster.</w:t>
      </w:r>
    </w:p>
    <w:p>
      <w:pPr>
        <w:spacing w:after="120"/>
      </w:pPr>
      <w:r>
        <w:t xml:space="preserve">The integrator is additionally clamped to the actuator's own range, and a </w:t>
      </w:r>
      <w:r>
        <w:rPr>
          <w:b/>
        </w:rPr>
        <w:t xml:space="preserve">demand pinned at a rail for more than five minutes raises a latched fault</w:t>
      </w:r>
      <w:r>
        <w:t xml:space="preserve">. That is not a comfort limit: if the guard cannot reach the null, the wall gradient is not zero, and the reading is biased by an amount nobody knows. It is a measurement fault, and it invalidates the point.</w:t>
      </w:r>
    </w:p>
    <w:p>
      <w:pPr>
        <w:spacing w:after="120"/>
      </w:pPr>
      <w:r>
        <w:t xml:space="preserve">The gains of §6.7 are in </w:t>
      </w:r>
      <w:r>
        <w:rPr>
          <w:b/>
        </w:rPr>
        <w:t xml:space="preserve">watts per kelvin</w:t>
      </w:r>
      <w:r>
        <w:t xml:space="preserve">, and that has a hardware consequence that is easy to lose in the port. Sending a demand in watts straight to a PWM duty cycle multiplies the real loop gain by dP/d(duty) = V²/R — a number that is not one, is different for every heater, and </w:t>
      </w:r>
      <w:r>
        <w:rPr>
          <w:b/>
        </w:rPr>
        <w:t xml:space="preserve">drifts</w:t>
      </w:r>
      <w:r>
        <w:t xml:space="preserve"> as the 12 V rail sags under fan load and as the heater's own resistance rises with temperature. The rig would then be running a controller whose gain nobody ever wrote down. </w:t>
      </w:r>
      <w:r>
        <w:rPr>
          <w:rFonts w:ascii="Consolas" w:hAnsi="Consolas"/>
          <w:sz w:val="19"/>
          <w:szCs w:val="19"/>
        </w:rPr>
        <w:t xml:space="preserve">heaters.c</w:t>
      </w:r>
      <w:r>
        <w:t xml:space="preserve"> therefore closes an </w:t>
      </w:r>
      <w:r>
        <w:rPr>
          <w:b/>
        </w:rPr>
        <w:t xml:space="preserve">inner power loop</w:t>
      </w:r>
      <w:r>
        <w:t xml:space="preserve">: the caller asks for watts, the INA226 on that rail reports what the heater is actually dissipating, and the duty is trimmed until they agree. With that in place the model's gains transfer to hardware unchanged, and rail sag, R(T) drift and MOSFET R</w:t>
      </w:r>
      <w:r>
        <w:rPr>
          <w:vertAlign w:val="subscript"/>
        </w:rPr>
        <w:t xml:space="preserve">DS(on)</w:t>
      </w:r>
      <w:r>
        <w:t xml:space="preserve"> all become inner-loop disturbances instead of outer-loop gain errors. The inner loop is deliberately slow in absolute terms and fast relative to everything thermal — the plant's quickest mode is ≈ 16 s (§6.6) — so the two do not interact. When the rail's power reading is not trustworthy the inner loop falls back to the open-loop feedforward rather than freezing the last duty: a frozen duty against an unknown rail is precisely the failure the module exists to prevent.</w:t>
      </w:r>
    </w:p>
    <w:p>
      <w:pPr>
        <w:spacing w:after="120"/>
      </w:pPr>
      <w:r>
        <w:t xml:space="preserve">The feedforward of §6.7 is implemented in its expanded form,</w:t>
      </w:r>
    </w:p>
    <w:p>
      <w:pPr>
        <w:spacing w:before="160" w:after="160"/>
        <w:jc w:val="center"/>
      </w:pPr>
      <w:r>
        <w:rPr>
          <w:rFonts w:ascii="Cambria Math" w:hAnsi="Cambria Math"/>
          <w:sz w:val="24"/>
          <w:szCs w:val="24"/>
        </w:rPr>
        <w:t xml:space="preserve">P</w:t>
      </w:r>
      <w:r>
        <w:rPr>
          <w:rFonts w:ascii="Cambria Math" w:hAnsi="Cambria Math"/>
          <w:sz w:val="24"/>
          <w:szCs w:val="24"/>
          <w:vertAlign w:val="subscript"/>
        </w:rPr>
        <w:t xml:space="preserve">ff</w:t>
      </w:r>
      <w:r>
        <w:rPr>
          <w:rFonts w:ascii="Cambria Math" w:hAnsi="Cambria Math"/>
          <w:sz w:val="24"/>
          <w:szCs w:val="24"/>
        </w:rPr>
        <w:t xml:space="preserve"> = G</w:t>
      </w:r>
      <w:r>
        <w:rPr>
          <w:rFonts w:ascii="Cambria Math" w:hAnsi="Cambria Math"/>
          <w:sz w:val="24"/>
          <w:szCs w:val="24"/>
          <w:vertAlign w:val="subscript"/>
        </w:rPr>
        <w:t xml:space="preserve">out</w:t>
      </w:r>
      <w:r>
        <w:rPr>
          <w:rFonts w:ascii="Cambria Math" w:hAnsi="Cambria Math"/>
          <w:sz w:val="24"/>
          <w:szCs w:val="24"/>
        </w:rPr>
        <w:t xml:space="preserve"> · ( T</w:t>
      </w:r>
      <w:r>
        <w:rPr>
          <w:rFonts w:ascii="Cambria Math" w:hAnsi="Cambria Math"/>
          <w:sz w:val="24"/>
          <w:szCs w:val="24"/>
          <w:vertAlign w:val="subscript"/>
        </w:rPr>
        <w:t xml:space="preserve">w,in</w:t>
      </w:r>
      <w:r>
        <w:rPr>
          <w:rFonts w:ascii="Cambria Math" w:hAnsi="Cambria Math"/>
          <w:sz w:val="24"/>
          <w:szCs w:val="24"/>
        </w:rPr>
        <w:t xml:space="preserve"> + ΔT</w:t>
      </w:r>
      <w:r>
        <w:rPr>
          <w:rFonts w:ascii="Cambria Math" w:hAnsi="Cambria Math"/>
          <w:sz w:val="24"/>
          <w:szCs w:val="24"/>
          <w:vertAlign w:val="subscript"/>
        </w:rPr>
        <w:t xml:space="preserve">set</w:t>
      </w:r>
      <w:r>
        <w:rPr>
          <w:rFonts w:ascii="Cambria Math" w:hAnsi="Cambria Math"/>
          <w:sz w:val="24"/>
          <w:szCs w:val="24"/>
        </w:rPr>
        <w:t xml:space="preserve"> + (1 − α)·P̂</w:t>
      </w:r>
      <w:r>
        <w:rPr>
          <w:rFonts w:ascii="Cambria Math" w:hAnsi="Cambria Math"/>
          <w:sz w:val="24"/>
          <w:szCs w:val="24"/>
          <w:vertAlign w:val="subscript"/>
        </w:rPr>
        <w:t xml:space="preserve">DUT</w:t>
      </w:r>
      <w:r>
        <w:rPr>
          <w:rFonts w:ascii="Cambria Math" w:hAnsi="Cambria Math"/>
          <w:sz w:val="24"/>
          <w:szCs w:val="24"/>
        </w:rPr>
        <w:t xml:space="preserve"> / UA</w:t>
      </w:r>
      <w:r>
        <w:rPr>
          <w:rFonts w:ascii="Cambria Math" w:hAnsi="Cambria Math"/>
          <w:sz w:val="24"/>
          <w:szCs w:val="24"/>
          <w:vertAlign w:val="subscript"/>
        </w:rPr>
        <w:t xml:space="preserve">rad</w:t>
      </w:r>
      <w:r>
        <w:rPr>
          <w:rFonts w:ascii="Cambria Math" w:hAnsi="Cambria Math"/>
          <w:sz w:val="24"/>
          <w:szCs w:val="24"/>
        </w:rPr>
        <w:t xml:space="preserve"> )</w:t>
      </w:r>
      <w:r>
        <w:rPr>
          <w:sz w:val="20"/>
          <w:szCs w:val="20"/>
        </w:rPr>
        <w:tab/>
        <w:tab/>
        <w:t>(21)</w:t>
      </w:r>
    </w:p>
    <w:p>
      <w:pPr>
        <w:spacing w:after="120"/>
      </w:pPr>
      <w:r>
        <w:t xml:space="preserve">and it is </w:t>
      </w:r>
      <w:r>
        <w:rPr>
          <w:b/>
        </w:rPr>
        <w:t xml:space="preserve">ramped, not stepped</w:t>
      </w:r>
      <w:r>
        <w:t xml:space="preserve">. A feedforward step is itself a disturbance on the leak path: the model prices the cost at 150 W as 1 % settling stretching from 9.1 to 13.2 minutes (RD-11). The DUT load, by contrast, must be a genuine step, because the observer of §9.9 needs the disturbance constant over its window. A wrong feedforward is safe in the sense that matters — the water setpoint, the metered auxiliaries and the feedforward all have exactly zero DC gain to the error (§6.6) — so a stale P̂</w:t>
      </w:r>
      <w:r>
        <w:rPr>
          <w:vertAlign w:val="subscript"/>
        </w:rPr>
        <w:t xml:space="preserve">DUT</w:t>
      </w:r>
      <w:r>
        <w:t xml:space="preserve"> degrades the transient null and can never reach the answer.</w:t>
      </w:r>
    </w:p>
    <w:p>
      <w:pPr>
        <w:pStyle w:val="Heading3"/>
      </w:pPr>
      <w:r>
        <w:t xml:space="preserve">The other two loops</w:t>
      </w:r>
    </w:p>
    <w:p>
      <w:pPr>
        <w:spacing w:after="120"/>
      </w:pPr>
      <w:r>
        <w:t xml:space="preserve">The </w:t>
      </w:r>
      <w:r>
        <w:rPr>
          <w:b/>
        </w:rPr>
        <w:t xml:space="preserve">inner-chamber loop</w:t>
      </w:r>
      <w:r>
        <w:t xml:space="preserve"> holds the chamber at its steady-state setpoint through the inner barrel resistor, using the same PI implementation. Its watts are inside B1 and are therefore metered and subtracted, which is why that heater's current sense is measurement-grade.</w:t>
      </w:r>
    </w:p>
    <w:p>
      <w:pPr>
        <w:spacing w:after="120"/>
      </w:pPr>
      <w:r>
        <w:t xml:space="preserve">The </w:t>
      </w:r>
      <w:r>
        <w:rPr>
          <w:b/>
        </w:rPr>
        <w:t xml:space="preserve">reject loop</w:t>
      </w:r>
      <w:r>
        <w:t xml:space="preserve"> holds the water inlet temperature by modulating the reject radiator's fans. Its proportional gain is flow-independent, but its integral gain is not — the reject rail's time constant is C</w:t>
      </w:r>
      <w:r>
        <w:rPr>
          <w:vertAlign w:val="subscript"/>
        </w:rPr>
        <w:t xml:space="preserve">r</w:t>
      </w:r>
      <w:r>
        <w:t xml:space="preserve">/(UA</w:t>
      </w:r>
      <w:r>
        <w:rPr>
          <w:vertAlign w:val="subscript"/>
        </w:rPr>
        <w:t xml:space="preserve">rej</w:t>
      </w:r>
      <w:r>
        <w:t xml:space="preserve"> + ṁc</w:t>
      </w:r>
      <w:r>
        <w:rPr>
          <w:vertAlign w:val="subscript"/>
        </w:rPr>
        <w:t xml:space="preserve">p</w:t>
      </w:r>
      <w:r>
        <w:t xml:space="preserve">) — so K</w:t>
      </w:r>
      <w:r>
        <w:rPr>
          <w:vertAlign w:val="subscript"/>
        </w:rPr>
        <w:t xml:space="preserve">i</w:t>
      </w:r>
      <w:r>
        <w:t xml:space="preserve"> is recomputed from the measured ṁc</w:t>
      </w:r>
      <w:r>
        <w:rPr>
          <w:vertAlign w:val="subscript"/>
        </w:rPr>
        <w:t xml:space="preserve">p</w:t>
      </w:r>
      <w:r>
        <w:t xml:space="preserve"> every tick. That is gain scheduling in one line, and it is safe to do continuously because this loop buys </w:t>
      </w:r>
      <w:r>
        <w:rPr>
          <w:b/>
        </w:rPr>
        <w:t xml:space="preserve">schedule, not accuracy</w:t>
      </w:r>
      <w:r>
        <w:t xml:space="preserve">: its watts sit outside B1 and cannot bias the reading. Unregulated, the inlet walks 7.3 K across a 150 W sweep and recharges the foam wall at every load point. The mapping from cooling watts to fan duty rests on a design estimate for the radiator's full-scale capacity and is trimmed at bring-up rung F4; it affects settling only.</w:t>
      </w:r>
    </w:p>
    <w:p>
      <w:pPr>
        <w:pStyle w:val="Heading3"/>
      </w:pPr>
      <w:r>
        <w:t xml:space="preserve">The constants, and where they come from</w:t>
      </w:r>
    </w:p>
    <w:p>
      <w:pPr>
        <w:spacing w:after="120"/>
      </w:pPr>
      <w:r>
        <w:t xml:space="preserve">Every number above is generated. </w:t>
      </w:r>
      <w:r>
        <w:rPr>
          <w:rFonts w:ascii="Consolas" w:hAnsi="Consolas"/>
          <w:sz w:val="19"/>
          <w:szCs w:val="19"/>
        </w:rPr>
        <w:t xml:space="preserve">tools/gen_model.py</w:t>
      </w:r>
      <w:r>
        <w:t xml:space="preserve"> reads the same </w:t>
      </w:r>
      <w:r>
        <w:rPr>
          <w:rFonts w:ascii="Consolas" w:hAnsi="Consolas"/>
          <w:sz w:val="19"/>
          <w:szCs w:val="19"/>
        </w:rPr>
        <w:t xml:space="preserve">params.yaml</w:t>
      </w:r>
      <w:r>
        <w:t xml:space="preserve"> the simulation of §7.3 reads and emits </w:t>
      </w:r>
      <w:r>
        <w:rPr>
          <w:rFonts w:ascii="Consolas" w:hAnsi="Consolas"/>
          <w:sz w:val="19"/>
          <w:szCs w:val="19"/>
        </w:rPr>
        <w:t xml:space="preserve">src/model_gen.h</w:t>
      </w:r>
      <w:r>
        <w:t xml:space="preserve">; it performs the λ-tuning from first principles rather than copying results, which makes the agreement below a check rather than a tautology.</w:t>
      </w:r>
    </w:p>
    <w:tbl>
      <w:tblPr>
        <w:tblStyle w:val="TableGrid"/>
        <w:tblW w:type="auto" w:w="0"/>
        <w:jc w:val="center"/>
        <w:tblLayout w:type="fixed"/>
        <w:tblLook w:firstColumn="1" w:firstRow="1" w:lastColumn="0" w:lastRow="0" w:noHBand="0" w:noVBand="1" w:val="04A0"/>
      </w:tblPr>
      <w:tblGrid>
        <w:gridCol w:w="2206"/>
        <w:gridCol w:w="2006"/>
        <w:gridCol w:w="4814"/>
      </w:tblGrid>
      <w:tr>
        <w:trPr>
          <w:tblHeader w:val="true"/>
        </w:trPr>
        <w:tc>
          <w:tcPr>
            <w:tcW w:type="dxa" w:w="2206"/>
            <w:shd w:val="clear" w:color="auto" w:fill="DEEAF6"/>
          </w:tcPr>
          <w:p>
            <w:pPr>
              <w:spacing w:after="20" w:before="20"/>
            </w:pPr>
            <w:r>
              <w:rPr>
                <w:b/>
                <w:sz w:val="18"/>
                <w:szCs w:val="18"/>
              </w:rPr>
              <w:t xml:space="preserve">Constant</w:t>
            </w:r>
          </w:p>
        </w:tc>
        <w:tc>
          <w:tcPr>
            <w:tcW w:type="dxa" w:w="2006"/>
            <w:shd w:val="clear" w:color="auto" w:fill="DEEAF6"/>
          </w:tcPr>
          <w:p>
            <w:pPr>
              <w:spacing w:after="20" w:before="20"/>
            </w:pPr>
            <w:r>
              <w:rPr>
                <w:b/>
                <w:sz w:val="18"/>
                <w:szCs w:val="18"/>
              </w:rPr>
              <w:t xml:space="preserve">Generated value</w:t>
            </w:r>
          </w:p>
        </w:tc>
        <w:tc>
          <w:tcPr>
            <w:tcW w:type="dxa" w:w="4814"/>
            <w:shd w:val="clear" w:color="auto" w:fill="DEEAF6"/>
          </w:tcPr>
          <w:p>
            <w:pPr>
              <w:spacing w:after="20" w:before="20"/>
            </w:pPr>
            <w:r>
              <w:rPr>
                <w:b/>
                <w:sz w:val="18"/>
                <w:szCs w:val="18"/>
              </w:rPr>
              <w:t xml:space="preserve">Cross-check</w:t>
            </w:r>
          </w:p>
        </w:tc>
      </w:tr>
      <w:tr>
        <w:tc>
          <w:tcPr>
            <w:tcW w:type="dxa" w:w="2206"/>
          </w:tcPr>
          <w:p>
            <w:pPr>
              <w:spacing w:after="20" w:before="20"/>
            </w:pPr>
            <w:r>
              <w:rPr>
                <w:rFonts w:ascii="Consolas" w:hAnsi="Consolas"/>
                <w:sz w:val="17"/>
                <w:szCs w:val="17"/>
              </w:rPr>
              <w:t xml:space="preserve">CAL_TAU_E</w:t>
            </w:r>
          </w:p>
        </w:tc>
        <w:tc>
          <w:tcPr>
            <w:tcW w:type="dxa" w:w="2006"/>
          </w:tcPr>
          <w:p>
            <w:pPr>
              <w:spacing w:after="20" w:before="20"/>
            </w:pPr>
            <w:r>
              <w:rPr>
                <w:sz w:val="18"/>
                <w:szCs w:val="18"/>
              </w:rPr>
              <w:t xml:space="preserve">297.03 s</w:t>
            </w:r>
          </w:p>
        </w:tc>
        <w:tc>
          <w:tcPr>
            <w:tcW w:type="dxa" w:w="4814"/>
          </w:tcPr>
          <w:p>
            <w:pPr>
              <w:spacing w:after="20" w:before="20"/>
            </w:pPr>
            <w:r>
              <w:rPr>
                <w:sz w:val="18"/>
                <w:szCs w:val="18"/>
              </w:rPr>
              <w:t xml:space="preserve">τ</w:t>
            </w:r>
            <w:r>
              <w:rPr>
                <w:sz w:val="18"/>
                <w:szCs w:val="18"/>
                <w:vertAlign w:val="subscript"/>
              </w:rPr>
              <w:t xml:space="preserve">e</w:t>
            </w:r>
            <w:r>
              <w:rPr>
                <w:sz w:val="18"/>
                <w:szCs w:val="18"/>
              </w:rPr>
              <w:t xml:space="preserve"> = C</w:t>
            </w:r>
            <w:r>
              <w:rPr>
                <w:sz w:val="18"/>
                <w:szCs w:val="18"/>
                <w:vertAlign w:val="subscript"/>
              </w:rPr>
              <w:t xml:space="preserve">e</w:t>
            </w:r>
            <w:r>
              <w:rPr>
                <w:sz w:val="18"/>
                <w:szCs w:val="18"/>
              </w:rPr>
              <w:t xml:space="preserve">/(G</w:t>
            </w:r>
            <w:r>
              <w:rPr>
                <w:sz w:val="18"/>
                <w:szCs w:val="18"/>
                <w:vertAlign w:val="subscript"/>
              </w:rPr>
              <w:t xml:space="preserve">gap</w:t>
            </w:r>
            <w:r>
              <w:rPr>
                <w:sz w:val="18"/>
                <w:szCs w:val="18"/>
              </w:rPr>
              <w:t xml:space="preserve">+G</w:t>
            </w:r>
            <w:r>
              <w:rPr>
                <w:sz w:val="18"/>
                <w:szCs w:val="18"/>
                <w:vertAlign w:val="subscript"/>
              </w:rPr>
              <w:t xml:space="preserve">out</w:t>
            </w:r>
            <w:r>
              <w:rPr>
                <w:sz w:val="18"/>
                <w:szCs w:val="18"/>
              </w:rPr>
              <w:t xml:space="preserve">), §6.7</w:t>
            </w:r>
          </w:p>
        </w:tc>
      </w:tr>
      <w:tr>
        <w:tc>
          <w:tcPr>
            <w:tcW w:type="dxa" w:w="2206"/>
          </w:tcPr>
          <w:p>
            <w:pPr>
              <w:spacing w:after="20" w:before="20"/>
            </w:pPr>
            <w:r>
              <w:rPr>
                <w:rFonts w:ascii="Consolas" w:hAnsi="Consolas"/>
                <w:sz w:val="17"/>
                <w:szCs w:val="17"/>
              </w:rPr>
              <w:t xml:space="preserve">CAL_KE</w:t>
            </w:r>
          </w:p>
        </w:tc>
        <w:tc>
          <w:tcPr>
            <w:tcW w:type="dxa" w:w="2006"/>
          </w:tcPr>
          <w:p>
            <w:pPr>
              <w:spacing w:after="20" w:before="20"/>
            </w:pPr>
            <w:r>
              <w:rPr>
                <w:sz w:val="18"/>
                <w:szCs w:val="18"/>
              </w:rPr>
              <w:t xml:space="preserve">0.9901 K/W</w:t>
            </w:r>
          </w:p>
        </w:tc>
        <w:tc>
          <w:tcPr>
            <w:tcW w:type="dxa" w:w="4814"/>
          </w:tcPr>
          <w:p>
            <w:pPr>
              <w:spacing w:after="20" w:before="20"/>
            </w:pPr>
            <w:r>
              <w:rPr>
                <w:sz w:val="18"/>
                <w:szCs w:val="18"/>
              </w:rPr>
              <w:t xml:space="preserve">K</w:t>
            </w:r>
            <w:r>
              <w:rPr>
                <w:sz w:val="18"/>
                <w:szCs w:val="18"/>
                <w:vertAlign w:val="subscript"/>
              </w:rPr>
              <w:t xml:space="preserve">e</w:t>
            </w:r>
            <w:r>
              <w:rPr>
                <w:sz w:val="18"/>
                <w:szCs w:val="18"/>
              </w:rPr>
              <w:t xml:space="preserve"> = 1/(G</w:t>
            </w:r>
            <w:r>
              <w:rPr>
                <w:sz w:val="18"/>
                <w:szCs w:val="18"/>
                <w:vertAlign w:val="subscript"/>
              </w:rPr>
              <w:t xml:space="preserve">gap</w:t>
            </w:r>
            <w:r>
              <w:rPr>
                <w:sz w:val="18"/>
                <w:szCs w:val="18"/>
              </w:rPr>
              <w:t xml:space="preserve">+G</w:t>
            </w:r>
            <w:r>
              <w:rPr>
                <w:sz w:val="18"/>
                <w:szCs w:val="18"/>
                <w:vertAlign w:val="subscript"/>
              </w:rPr>
              <w:t xml:space="preserve">out</w:t>
            </w:r>
            <w:r>
              <w:rPr>
                <w:sz w:val="18"/>
                <w:szCs w:val="18"/>
              </w:rPr>
              <w:t xml:space="preserve">), §6.7</w:t>
            </w:r>
          </w:p>
        </w:tc>
      </w:tr>
      <w:tr>
        <w:tc>
          <w:tcPr>
            <w:tcW w:type="dxa" w:w="2206"/>
          </w:tcPr>
          <w:p>
            <w:pPr>
              <w:spacing w:after="20" w:before="20"/>
            </w:pPr>
            <w:r>
              <w:rPr>
                <w:rFonts w:ascii="Consolas" w:hAnsi="Consolas"/>
                <w:sz w:val="17"/>
                <w:szCs w:val="17"/>
              </w:rPr>
              <w:t xml:space="preserve">CAL_BETA</w:t>
            </w:r>
          </w:p>
        </w:tc>
        <w:tc>
          <w:tcPr>
            <w:tcW w:type="dxa" w:w="2006"/>
          </w:tcPr>
          <w:p>
            <w:pPr>
              <w:spacing w:after="20" w:before="20"/>
            </w:pPr>
            <w:r>
              <w:rPr>
                <w:sz w:val="18"/>
                <w:szCs w:val="18"/>
              </w:rPr>
              <w:t xml:space="preserve">0.5545</w:t>
            </w:r>
          </w:p>
        </w:tc>
        <w:tc>
          <w:tcPr>
            <w:tcW w:type="dxa" w:w="4814"/>
          </w:tcPr>
          <w:p>
            <w:pPr>
              <w:spacing w:after="20" w:before="20"/>
            </w:pPr>
            <w:r>
              <w:rPr>
                <w:sz w:val="18"/>
                <w:szCs w:val="18"/>
              </w:rPr>
              <w:t xml:space="preserve">β = G</w:t>
            </w:r>
            <w:r>
              <w:rPr>
                <w:sz w:val="18"/>
                <w:szCs w:val="18"/>
                <w:vertAlign w:val="subscript"/>
              </w:rPr>
              <w:t xml:space="preserve">gap</w:t>
            </w:r>
            <w:r>
              <w:rPr>
                <w:sz w:val="18"/>
                <w:szCs w:val="18"/>
              </w:rPr>
              <w:t xml:space="preserve">/(G</w:t>
            </w:r>
            <w:r>
              <w:rPr>
                <w:sz w:val="18"/>
                <w:szCs w:val="18"/>
                <w:vertAlign w:val="subscript"/>
              </w:rPr>
              <w:t xml:space="preserve">gap</w:t>
            </w:r>
            <w:r>
              <w:rPr>
                <w:sz w:val="18"/>
                <w:szCs w:val="18"/>
              </w:rPr>
              <w:t xml:space="preserve">+G</w:t>
            </w:r>
            <w:r>
              <w:rPr>
                <w:sz w:val="18"/>
                <w:szCs w:val="18"/>
                <w:vertAlign w:val="subscript"/>
              </w:rPr>
              <w:t xml:space="preserve">out</w:t>
            </w:r>
            <w:r>
              <w:rPr>
                <w:sz w:val="18"/>
                <w:szCs w:val="18"/>
              </w:rPr>
              <w:t xml:space="preserve">), §6.7 — &lt; 1 is why a PI is needed</w:t>
            </w:r>
          </w:p>
        </w:tc>
      </w:tr>
      <w:tr>
        <w:tc>
          <w:tcPr>
            <w:tcW w:type="dxa" w:w="2206"/>
          </w:tcPr>
          <w:p>
            <w:pPr>
              <w:spacing w:after="20" w:before="20"/>
            </w:pPr>
            <w:r>
              <w:rPr>
                <w:rFonts w:ascii="Consolas" w:hAnsi="Consolas"/>
                <w:sz w:val="17"/>
                <w:szCs w:val="17"/>
              </w:rPr>
              <w:t xml:space="preserve">CAL_KP_G</w:t>
            </w:r>
          </w:p>
        </w:tc>
        <w:tc>
          <w:tcPr>
            <w:tcW w:type="dxa" w:w="2006"/>
          </w:tcPr>
          <w:p>
            <w:pPr>
              <w:spacing w:after="20" w:before="20"/>
            </w:pPr>
            <w:r>
              <w:rPr>
                <w:sz w:val="18"/>
                <w:szCs w:val="18"/>
              </w:rPr>
              <w:t xml:space="preserve">5.0000 W/K</w:t>
            </w:r>
          </w:p>
        </w:tc>
        <w:tc>
          <w:tcPr>
            <w:tcW w:type="dxa" w:w="4814"/>
          </w:tcPr>
          <w:p>
            <w:pPr>
              <w:spacing w:after="20" w:before="20"/>
            </w:pPr>
            <w:r>
              <w:rPr>
                <w:sz w:val="18"/>
                <w:szCs w:val="18"/>
              </w:rPr>
              <w:t xml:space="preserve">matches §6.7 (16) exactly</w:t>
            </w:r>
          </w:p>
        </w:tc>
      </w:tr>
      <w:tr>
        <w:tc>
          <w:tcPr>
            <w:tcW w:type="dxa" w:w="2206"/>
          </w:tcPr>
          <w:p>
            <w:pPr>
              <w:spacing w:after="20" w:before="20"/>
            </w:pPr>
            <w:r>
              <w:rPr>
                <w:rFonts w:ascii="Consolas" w:hAnsi="Consolas"/>
                <w:sz w:val="17"/>
                <w:szCs w:val="17"/>
              </w:rPr>
              <w:t xml:space="preserve">CAL_KI_G</w:t>
            </w:r>
          </w:p>
        </w:tc>
        <w:tc>
          <w:tcPr>
            <w:tcW w:type="dxa" w:w="2006"/>
          </w:tcPr>
          <w:p>
            <w:pPr>
              <w:spacing w:after="20" w:before="20"/>
            </w:pPr>
            <w:r>
              <w:rPr>
                <w:sz w:val="18"/>
                <w:szCs w:val="18"/>
              </w:rPr>
              <w:t xml:space="preserve">0.016833 W/(K·s)</w:t>
            </w:r>
          </w:p>
        </w:tc>
        <w:tc>
          <w:tcPr>
            <w:tcW w:type="dxa" w:w="4814"/>
          </w:tcPr>
          <w:p>
            <w:pPr>
              <w:spacing w:after="20" w:before="20"/>
            </w:pPr>
            <w:r>
              <w:rPr>
                <w:sz w:val="18"/>
                <w:szCs w:val="18"/>
              </w:rPr>
              <w:t xml:space="preserve">matches §6.7 (16) exactly</w:t>
            </w:r>
          </w:p>
        </w:tc>
      </w:tr>
      <w:tr>
        <w:tc>
          <w:tcPr>
            <w:tcW w:type="dxa" w:w="2206"/>
          </w:tcPr>
          <w:p>
            <w:pPr>
              <w:spacing w:after="20" w:before="20"/>
            </w:pPr>
            <w:r>
              <w:rPr>
                <w:rFonts w:ascii="Consolas" w:hAnsi="Consolas"/>
                <w:sz w:val="17"/>
                <w:szCs w:val="17"/>
              </w:rPr>
              <w:t xml:space="preserve">CAL_TT_G</w:t>
            </w:r>
          </w:p>
        </w:tc>
        <w:tc>
          <w:tcPr>
            <w:tcW w:type="dxa" w:w="2006"/>
          </w:tcPr>
          <w:p>
            <w:pPr>
              <w:spacing w:after="20" w:before="20"/>
            </w:pPr>
            <w:r>
              <w:rPr>
                <w:sz w:val="18"/>
                <w:szCs w:val="18"/>
              </w:rPr>
              <w:t xml:space="preserve">297.03 s</w:t>
            </w:r>
          </w:p>
        </w:tc>
        <w:tc>
          <w:tcPr>
            <w:tcW w:type="dxa" w:w="4814"/>
          </w:tcPr>
          <w:p>
            <w:pPr>
              <w:spacing w:after="20" w:before="20"/>
            </w:pPr>
            <w:r>
              <w:rPr>
                <w:sz w:val="18"/>
                <w:szCs w:val="18"/>
              </w:rPr>
              <w:t xml:space="preserve">K</w:t>
            </w:r>
            <w:r>
              <w:rPr>
                <w:sz w:val="18"/>
                <w:szCs w:val="18"/>
                <w:vertAlign w:val="subscript"/>
              </w:rPr>
              <w:t xml:space="preserve">p</w:t>
            </w:r>
            <w:r>
              <w:rPr>
                <w:sz w:val="18"/>
                <w:szCs w:val="18"/>
              </w:rPr>
              <w:t xml:space="preserve">/K</w:t>
            </w:r>
            <w:r>
              <w:rPr>
                <w:sz w:val="18"/>
                <w:szCs w:val="18"/>
                <w:vertAlign w:val="subscript"/>
              </w:rPr>
              <w:t xml:space="preserve">i</w:t>
            </w:r>
            <w:r>
              <w:rPr>
                <w:sz w:val="18"/>
                <w:szCs w:val="18"/>
              </w:rPr>
              <w:t xml:space="preserve">, the back-calculation constant</w:t>
            </w:r>
          </w:p>
        </w:tc>
      </w:tr>
      <w:tr>
        <w:tc>
          <w:tcPr>
            <w:tcW w:type="dxa" w:w="2206"/>
          </w:tcPr>
          <w:p>
            <w:pPr>
              <w:spacing w:after="20" w:before="20"/>
            </w:pPr>
            <w:r>
              <w:rPr>
                <w:rFonts w:ascii="Consolas" w:hAnsi="Consolas"/>
                <w:sz w:val="17"/>
                <w:szCs w:val="17"/>
              </w:rPr>
              <w:t xml:space="preserve">CAL_KP_R</w:t>
            </w:r>
          </w:p>
        </w:tc>
        <w:tc>
          <w:tcPr>
            <w:tcW w:type="dxa" w:w="2006"/>
          </w:tcPr>
          <w:p>
            <w:pPr>
              <w:spacing w:after="20" w:before="20"/>
            </w:pPr>
            <w:r>
              <w:rPr>
                <w:sz w:val="18"/>
                <w:szCs w:val="18"/>
              </w:rPr>
              <w:t xml:space="preserve">20.00 W/K</w:t>
            </w:r>
          </w:p>
        </w:tc>
        <w:tc>
          <w:tcPr>
            <w:tcW w:type="dxa" w:w="4814"/>
          </w:tcPr>
          <w:p>
            <w:pPr>
              <w:spacing w:after="20" w:before="20"/>
            </w:pPr>
            <w:r>
              <w:rPr>
                <w:sz w:val="18"/>
                <w:szCs w:val="18"/>
              </w:rPr>
              <w:t xml:space="preserve">matches §6.7; K</w:t>
            </w:r>
            <w:r>
              <w:rPr>
                <w:sz w:val="18"/>
                <w:szCs w:val="18"/>
                <w:vertAlign w:val="subscript"/>
              </w:rPr>
              <w:t xml:space="preserve">i,r</w:t>
            </w:r>
            <w:r>
              <w:rPr>
                <w:sz w:val="18"/>
                <w:szCs w:val="18"/>
              </w:rPr>
              <w:t xml:space="preserve"> is computed per range at run time</w:t>
            </w:r>
          </w:p>
        </w:tc>
      </w:tr>
      <w:tr>
        <w:tc>
          <w:tcPr>
            <w:tcW w:type="dxa" w:w="2206"/>
          </w:tcPr>
          <w:p>
            <w:pPr>
              <w:spacing w:after="20" w:before="20"/>
            </w:pPr>
            <w:r>
              <w:rPr>
                <w:rFonts w:ascii="Consolas" w:hAnsi="Consolas"/>
                <w:sz w:val="17"/>
                <w:szCs w:val="17"/>
              </w:rPr>
              <w:t xml:space="preserve">CAL_NULL_GATE_K</w:t>
            </w:r>
          </w:p>
        </w:tc>
        <w:tc>
          <w:tcPr>
            <w:tcW w:type="dxa" w:w="2006"/>
          </w:tcPr>
          <w:p>
            <w:pPr>
              <w:spacing w:after="20" w:before="20"/>
            </w:pPr>
            <w:r>
              <w:rPr>
                <w:sz w:val="18"/>
                <w:szCs w:val="18"/>
              </w:rPr>
              <w:t xml:space="preserve">1.786 K</w:t>
            </w:r>
          </w:p>
        </w:tc>
        <w:tc>
          <w:tcPr>
            <w:tcW w:type="dxa" w:w="4814"/>
          </w:tcPr>
          <w:p>
            <w:pPr>
              <w:spacing w:after="20" w:before="20"/>
            </w:pPr>
            <w:r>
              <w:rPr>
                <w:sz w:val="18"/>
                <w:szCs w:val="18"/>
              </w:rPr>
              <w:t xml:space="preserve">P</w:t>
            </w:r>
            <w:r>
              <w:rPr>
                <w:sz w:val="18"/>
                <w:szCs w:val="18"/>
                <w:vertAlign w:val="subscript"/>
              </w:rPr>
              <w:t xml:space="preserve">acc</w:t>
            </w:r>
            <w:r>
              <w:rPr>
                <w:sz w:val="18"/>
                <w:szCs w:val="18"/>
              </w:rPr>
              <w:t xml:space="preserve">/G</w:t>
            </w:r>
            <w:r>
              <w:rPr>
                <w:sz w:val="18"/>
                <w:szCs w:val="18"/>
                <w:vertAlign w:val="subscript"/>
              </w:rPr>
              <w:t xml:space="preserve">gap</w:t>
            </w:r>
            <w:r>
              <w:rPr>
                <w:sz w:val="18"/>
                <w:szCs w:val="18"/>
              </w:rPr>
              <w:t xml:space="preserve"> = 1/0.56, the criterion of §4.6.3 (2)</w:t>
            </w:r>
          </w:p>
        </w:tc>
      </w:tr>
      <w:tr>
        <w:tc>
          <w:tcPr>
            <w:tcW w:type="dxa" w:w="2206"/>
          </w:tcPr>
          <w:p>
            <w:pPr>
              <w:spacing w:after="20" w:before="20"/>
            </w:pPr>
            <w:r>
              <w:rPr>
                <w:rFonts w:ascii="Consolas" w:hAnsi="Consolas"/>
                <w:sz w:val="17"/>
                <w:szCs w:val="17"/>
              </w:rPr>
              <w:t xml:space="preserve">CAL_P_ACC</w:t>
            </w:r>
            <w:r>
              <w:rPr>
                <w:sz w:val="18"/>
                <w:szCs w:val="18"/>
              </w:rPr>
              <w:t xml:space="preserve"> / </w:t>
            </w:r>
            <w:r>
              <w:rPr>
                <w:rFonts w:ascii="Consolas" w:hAnsi="Consolas"/>
                <w:sz w:val="17"/>
                <w:szCs w:val="17"/>
              </w:rPr>
              <w:t xml:space="preserve">CAL_P_THR</w:t>
            </w:r>
          </w:p>
        </w:tc>
        <w:tc>
          <w:tcPr>
            <w:tcW w:type="dxa" w:w="2006"/>
          </w:tcPr>
          <w:p>
            <w:pPr>
              <w:spacing w:after="20" w:before="20"/>
            </w:pPr>
            <w:r>
              <w:rPr>
                <w:sz w:val="18"/>
                <w:szCs w:val="18"/>
              </w:rPr>
              <w:t xml:space="preserve">1.0 W / 0.1 W</w:t>
            </w:r>
          </w:p>
        </w:tc>
        <w:tc>
          <w:tcPr>
            <w:tcW w:type="dxa" w:w="4814"/>
          </w:tcPr>
          <w:p>
            <w:pPr>
              <w:spacing w:after="20" w:before="20"/>
            </w:pPr>
            <w:r>
              <w:rPr>
                <w:sz w:val="18"/>
                <w:szCs w:val="18"/>
              </w:rPr>
              <w:t xml:space="preserve">the accuracy target and the residual allowed when the gate opens</w:t>
            </w:r>
          </w:p>
        </w:tc>
      </w:tr>
      <w:tr>
        <w:tc>
          <w:tcPr>
            <w:tcW w:type="dxa" w:w="2206"/>
          </w:tcPr>
          <w:p>
            <w:pPr>
              <w:spacing w:after="20" w:before="20"/>
            </w:pPr>
            <w:r>
              <w:rPr>
                <w:rFonts w:ascii="Consolas" w:hAnsi="Consolas"/>
                <w:sz w:val="17"/>
                <w:szCs w:val="17"/>
              </w:rPr>
              <w:t xml:space="preserve">CAL_ALPHA</w:t>
            </w:r>
          </w:p>
        </w:tc>
        <w:tc>
          <w:tcPr>
            <w:tcW w:type="dxa" w:w="2006"/>
          </w:tcPr>
          <w:p>
            <w:pPr>
              <w:spacing w:after="20" w:before="20"/>
            </w:pPr>
            <w:r>
              <w:rPr>
                <w:sz w:val="18"/>
                <w:szCs w:val="18"/>
              </w:rPr>
              <w:t xml:space="preserve">0.0</w:t>
            </w:r>
          </w:p>
        </w:tc>
        <w:tc>
          <w:tcPr>
            <w:tcW w:type="dxa" w:w="4814"/>
          </w:tcPr>
          <w:p>
            <w:pPr>
              <w:spacing w:after="20" w:before="20"/>
            </w:pPr>
            <w:r>
              <w:rPr>
                <w:b/>
                <w:sz w:val="18"/>
                <w:szCs w:val="18"/>
              </w:rPr>
              <w:t xml:space="preserve">hardcoded, not read from </w:t>
            </w:r>
            <w:r>
              <w:rPr>
                <w:rFonts w:ascii="Consolas" w:hAnsi="Consolas"/>
                <w:b/>
                <w:sz w:val="17"/>
                <w:szCs w:val="17"/>
              </w:rPr>
              <w:t xml:space="preserve">params.yaml</w:t>
            </w:r>
            <w:r>
              <w:rPr>
                <w:sz w:val="18"/>
                <w:szCs w:val="18"/>
              </w:rPr>
              <w:t xml:space="preserve"> — see below</w:t>
            </w:r>
          </w:p>
        </w:tc>
      </w:tr>
      <w:tr>
        <w:tc>
          <w:tcPr>
            <w:tcW w:type="dxa" w:w="2206"/>
          </w:tcPr>
          <w:p>
            <w:pPr>
              <w:spacing w:after="20" w:before="20"/>
            </w:pPr>
            <w:r>
              <w:rPr>
                <w:rFonts w:ascii="Consolas" w:hAnsi="Consolas"/>
                <w:sz w:val="17"/>
                <w:szCs w:val="17"/>
              </w:rPr>
              <w:t xml:space="preserve">CAL_PARAMS_HASH</w:t>
            </w:r>
          </w:p>
        </w:tc>
        <w:tc>
          <w:tcPr>
            <w:tcW w:type="dxa" w:w="2006"/>
          </w:tcPr>
          <w:p>
            <w:pPr>
              <w:spacing w:after="20" w:before="20"/>
            </w:pPr>
            <w:r>
              <w:rPr>
                <w:rFonts w:ascii="Consolas" w:hAnsi="Consolas"/>
                <w:sz w:val="17"/>
                <w:szCs w:val="17"/>
              </w:rPr>
              <w:t xml:space="preserve">7a8bcc53</w:t>
            </w:r>
          </w:p>
        </w:tc>
        <w:tc>
          <w:tcPr>
            <w:tcW w:type="dxa" w:w="4814"/>
          </w:tcPr>
          <w:p>
            <w:pPr>
              <w:spacing w:after="20" w:before="20"/>
            </w:pPr>
            <w:r>
              <w:rPr>
                <w:sz w:val="18"/>
                <w:szCs w:val="18"/>
              </w:rPr>
              <w:t xml:space="preserve">sha256 prefix of </w:t>
            </w:r>
            <w:r>
              <w:rPr>
                <w:rFonts w:ascii="Consolas" w:hAnsi="Consolas"/>
                <w:sz w:val="17"/>
                <w:szCs w:val="17"/>
              </w:rPr>
              <w:t xml:space="preserve">params.yaml</w:t>
            </w:r>
            <w:r>
              <w:rPr>
                <w:sz w:val="18"/>
                <w:szCs w:val="18"/>
              </w:rPr>
              <w:t xml:space="preserve">, logged with every point</w:t>
            </w:r>
          </w:p>
        </w:tc>
      </w:tr>
    </w:tbl>
    <w:p>
      <w:pPr>
        <w:spacing w:before="60" w:after="200"/>
        <w:jc w:val="left"/>
      </w:pPr>
      <w:r>
        <w:rPr>
          <w:sz w:val="18"/>
          <w:szCs w:val="18"/>
        </w:rPr>
        <w:t xml:space="preserve">Table 45. The generated model constants and their provenance. The guard gains reproduce §6.7 to five significant figures, which is the intended check on the generator.</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One parameter is deliberately not taken from params.yaml</w:t>
            </w:r>
          </w:p>
          <w:p>
            <w:pPr>
              <w:spacing w:after="40"/>
            </w:pPr>
            <w:r>
              <w:rPr>
                <w:rFonts w:ascii="Consolas" w:hAnsi="Consolas"/>
                <w:sz w:val="19"/>
                <w:szCs w:val="19"/>
              </w:rPr>
              <w:t xml:space="preserve">params.yaml</w:t>
            </w:r>
            <w:r>
              <w:rPr>
                <w:sz w:val="19"/>
                <w:szCs w:val="19"/>
              </w:rPr>
              <w:t xml:space="preserve"> still defaults </w:t>
            </w:r>
            <w:r>
              <w:rPr>
                <w:rFonts w:ascii="Consolas" w:hAnsi="Consolas"/>
                <w:sz w:val="19"/>
                <w:szCs w:val="19"/>
              </w:rPr>
              <w:t xml:space="preserve">alpha: 0.97</w:t>
            </w:r>
            <w:r>
              <w:rPr>
                <w:sz w:val="19"/>
                <w:szCs w:val="19"/>
              </w:rPr>
              <w:t xml:space="preserve">, which is the </w:t>
            </w:r>
            <w:r>
              <w:rPr>
                <w:b/>
                <w:sz w:val="19"/>
                <w:szCs w:val="19"/>
              </w:rPr>
              <w:t xml:space="preserve">dropped copper-block operating point</w:t>
            </w:r>
            <w:r>
              <w:rPr>
                <w:sz w:val="19"/>
                <w:szCs w:val="19"/>
              </w:rPr>
              <w:t xml:space="preserve"> (§4.7). The shipping rig is radiator-only, α = 0, so the generator hardcodes </w:t>
            </w:r>
            <w:r>
              <w:rPr>
                <w:rFonts w:ascii="Consolas" w:hAnsi="Consolas"/>
                <w:sz w:val="19"/>
                <w:szCs w:val="19"/>
              </w:rPr>
              <w:t xml:space="preserve">0.0</w:t>
            </w:r>
            <w:r>
              <w:rPr>
                <w:sz w:val="19"/>
                <w:szCs w:val="19"/>
              </w:rPr>
              <w:t xml:space="preserve"> with a comment saying so.</w:t>
            </w:r>
          </w:p>
          <w:p>
            <w:pPr>
              <w:spacing w:after="40"/>
            </w:pPr>
            <w:r>
              <w:rPr>
                <w:sz w:val="19"/>
                <w:szCs w:val="19"/>
              </w:rPr>
              <w:t xml:space="preserve">This changes the transient and never the answer — with the guard nulled the DC gain is exactly 1 for every α (§6.5) — but it is exactly the kind of divergence the parameter hash exists to catch, and it should be fixed in </w:t>
            </w:r>
            <w:r>
              <w:rPr>
                <w:rFonts w:ascii="Consolas" w:hAnsi="Consolas"/>
                <w:sz w:val="19"/>
                <w:szCs w:val="19"/>
              </w:rPr>
              <w:t xml:space="preserve">params.yaml</w:t>
            </w:r>
            <w:r>
              <w:rPr>
                <w:sz w:val="19"/>
                <w:szCs w:val="19"/>
              </w:rPr>
              <w:t xml:space="preserve"> itself rather than patched in the generator (§9.16).</w:t>
            </w:r>
          </w:p>
        </w:tc>
      </w:tr>
    </w:tbl>
    <w:p/>
    <w:p>
      <w:pPr>
        <w:spacing w:after="120"/>
      </w:pPr>
      <w:r>
        <w:t xml:space="preserve">The generator is deliberately </w:t>
      </w:r>
      <w:r>
        <w:rPr>
          <w:b/>
        </w:rPr>
        <w:t xml:space="preserve">not</w:t>
      </w:r>
      <w:r>
        <w:t xml:space="preserve"> wired into the CMake build. Doing so would make every build depend on a working Python interpreter and PyYAML, and a build that cannot run without a scripting language is a build that breaks on someone else's machine six months from now. The trade is that the header can go stale, so the generator stamps </w:t>
      </w:r>
      <w:r>
        <w:rPr>
          <w:rFonts w:ascii="Consolas" w:hAnsi="Consolas"/>
          <w:sz w:val="19"/>
          <w:szCs w:val="19"/>
        </w:rPr>
        <w:t xml:space="preserve">CAL_PARAMS_HASH</w:t>
      </w:r>
      <w:r>
        <w:t xml:space="preserve"> into it and the firmware logs that hash with every measurement point. A stale header therefore becomes </w:t>
      </w:r>
      <w:r>
        <w:rPr>
          <w:b/>
        </w:rPr>
        <w:t xml:space="preserve">detectable in the campaign log</w:t>
      </w:r>
      <w:r>
        <w:t xml:space="preserve"> instead of silent.</w:t>
      </w:r>
    </w:p>
    <w:p>
      <w:pPr>
        <w:pStyle w:val="Heading2"/>
      </w:pPr>
      <w:r>
        <w:t xml:space="preserve">The two gates</w:t>
      </w:r>
    </w:p>
    <w:p>
      <w:pPr>
        <w:spacing w:after="120"/>
      </w:pPr>
      <w:r>
        <w:t xml:space="preserve">Equation (1) is valid only while the conditions of §4.6.3 hold, and the firmware is where "only while" becomes mechanical. Both gates are evaluated every tick; a point is logged only after </w:t>
      </w:r>
      <w:r>
        <w:rPr>
          <w:b/>
        </w:rPr>
        <w:t xml:space="preserve">both have been green continuously for a five-minute dwell</w:t>
      </w:r>
      <w:r>
        <w:t xml:space="preserve">, and the logged value is the mean of the reading over that dwell together with its standard error. A point without its uncertainty is not a measurement.</w:t>
      </w:r>
    </w:p>
    <w:p>
      <w:pPr>
        <w:spacing w:after="120"/>
      </w:pPr>
      <w:r>
        <w:rPr>
          <w:b/>
        </w:rPr>
        <w:t xml:space="preserve">The null gate</w:t>
      </w:r>
      <w:r>
        <w:t xml:space="preserve"> is (2) of §4.6.3 evaluated directly: |T</w:t>
      </w:r>
      <w:r>
        <w:rPr>
          <w:vertAlign w:val="subscript"/>
        </w:rPr>
        <w:t xml:space="preserve">i</w:t>
      </w:r>
      <w:r>
        <w:t xml:space="preserve"> − T</w:t>
      </w:r>
      <w:r>
        <w:rPr>
          <w:vertAlign w:val="subscript"/>
        </w:rPr>
        <w:t xml:space="preserve">e</w:t>
      </w:r>
      <w:r>
        <w:t xml:space="preserve">| &lt; P</w:t>
      </w:r>
      <w:r>
        <w:rPr>
          <w:vertAlign w:val="subscript"/>
        </w:rPr>
        <w:t xml:space="preserve">acc</w:t>
      </w:r>
      <w:r>
        <w:t xml:space="preserve">/G</w:t>
      </w:r>
      <w:r>
        <w:rPr>
          <w:vertAlign w:val="subscript"/>
        </w:rPr>
        <w:t xml:space="preserve">gap</w:t>
      </w:r>
      <w:r>
        <w:t xml:space="preserve"> = 1.786 K. It is computed from the accuracy target and the gap conductance rather than stored as a number, so a revised G</w:t>
      </w:r>
      <w:r>
        <w:rPr>
          <w:vertAlign w:val="subscript"/>
        </w:rPr>
        <w:t xml:space="preserve">gap</w:t>
      </w:r>
      <w:r>
        <w:t xml:space="preserve"> from commissioning moves the gate automatically.</w:t>
      </w:r>
    </w:p>
    <w:p>
      <w:pPr>
        <w:spacing w:after="120"/>
      </w:pPr>
      <w:r>
        <w:rPr>
          <w:b/>
        </w:rPr>
        <w:t xml:space="preserve">The steady gate</w:t>
      </w:r>
      <w:r>
        <w:t xml:space="preserve"> is (3) of §4.6.3, and the firmware computes its time constant rather than carrying a table. RD-11 §22 gives τ</w:t>
      </w:r>
      <w:r>
        <w:rPr>
          <w:vertAlign w:val="subscript"/>
        </w:rPr>
        <w:t xml:space="preserve">dom</w:t>
      </w:r>
      <w:r>
        <w:t xml:space="preserve"> at two corners from the full closed-loop step response; shipping that as a two-row table would mean interpolating a quantity that has a closed form. The form used is</w:t>
      </w:r>
    </w:p>
    <w:p>
      <w:pPr>
        <w:spacing w:before="160" w:after="160"/>
        <w:jc w:val="center"/>
      </w:pPr>
      <w:r>
        <w:rPr>
          <w:rFonts w:ascii="Cambria Math" w:hAnsi="Cambria Math"/>
          <w:sz w:val="24"/>
          <w:szCs w:val="24"/>
        </w:rPr>
        <w:t xml:space="preserve">τ</w:t>
      </w:r>
      <w:r>
        <w:rPr>
          <w:rFonts w:ascii="Cambria Math" w:hAnsi="Cambria Math"/>
          <w:sz w:val="24"/>
          <w:szCs w:val="24"/>
          <w:vertAlign w:val="subscript"/>
        </w:rPr>
        <w:t xml:space="preserve">dom</w:t>
      </w:r>
      <w:r>
        <w:rPr>
          <w:rFonts w:ascii="Cambria Math" w:hAnsi="Cambria Math"/>
          <w:sz w:val="24"/>
          <w:szCs w:val="24"/>
        </w:rPr>
        <w:t xml:space="preserve"> = max( (C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 / ṁc</w:t>
      </w:r>
      <w:r>
        <w:rPr>
          <w:rFonts w:ascii="Cambria Math" w:hAnsi="Cambria Math"/>
          <w:sz w:val="24"/>
          <w:szCs w:val="24"/>
          <w:vertAlign w:val="subscript"/>
        </w:rPr>
        <w:t xml:space="preserve">p</w:t>
      </w:r>
      <w:r>
        <w:rPr>
          <w:rFonts w:ascii="Cambria Math" w:hAnsi="Cambria Math"/>
          <w:sz w:val="24"/>
          <w:szCs w:val="24"/>
        </w:rPr>
        <w:t xml:space="preserve"> , τ</w:t>
      </w:r>
      <w:r>
        <w:rPr>
          <w:rFonts w:ascii="Cambria Math" w:hAnsi="Cambria Math"/>
          <w:sz w:val="24"/>
          <w:szCs w:val="24"/>
          <w:vertAlign w:val="subscript"/>
        </w:rPr>
        <w:t xml:space="preserve">e</w:t>
      </w:r>
      <w:r>
        <w:rPr>
          <w:rFonts w:ascii="Cambria Math" w:hAnsi="Cambria Math"/>
          <w:sz w:val="24"/>
          <w:szCs w:val="24"/>
        </w:rPr>
        <w:t xml:space="preserve"> )</w:t>
      </w:r>
      <w:r>
        <w:rPr>
          <w:sz w:val="20"/>
          <w:szCs w:val="20"/>
        </w:rPr>
        <w:tab/>
        <w:tab/>
        <w:t>(22)</w:t>
      </w:r>
    </w:p>
    <w:p>
      <w:pPr>
        <w:spacing w:after="120"/>
      </w:pPr>
      <w:r>
        <w:t xml:space="preserve">— the thermal mass draining through the meter, or the guard shell, whichever is slower. Both terms are already in the header, and the result agrees with the model's own step-response numbers to about one percent:</w:t>
      </w:r>
    </w:p>
    <w:tbl>
      <w:tblPr>
        <w:tblStyle w:val="TableGrid"/>
        <w:tblW w:type="auto" w:w="0"/>
        <w:jc w:val="center"/>
        <w:tblLayout w:type="fixed"/>
        <w:tblLook w:firstColumn="1" w:firstRow="1" w:lastColumn="0" w:lastRow="0" w:noHBand="0" w:noVBand="1" w:val="04A0"/>
      </w:tblPr>
      <w:tblGrid>
        <w:gridCol w:w="1304"/>
        <w:gridCol w:w="1404"/>
        <w:gridCol w:w="3310"/>
        <w:gridCol w:w="1605"/>
        <w:gridCol w:w="1403"/>
      </w:tblGrid>
      <w:tr>
        <w:trPr>
          <w:tblHeader w:val="true"/>
        </w:trPr>
        <w:tc>
          <w:tcPr>
            <w:tcW w:type="dxa" w:w="1304"/>
            <w:shd w:val="clear" w:color="auto" w:fill="DEEAF6"/>
          </w:tcPr>
          <w:p>
            <w:pPr>
              <w:spacing w:after="20" w:before="20"/>
            </w:pPr>
            <w:r>
              <w:rPr>
                <w:b/>
                <w:sz w:val="18"/>
                <w:szCs w:val="18"/>
              </w:rPr>
              <w:t xml:space="preserve">Corner</w:t>
            </w:r>
          </w:p>
        </w:tc>
        <w:tc>
          <w:tcPr>
            <w:tcW w:type="dxa" w:w="1404"/>
            <w:shd w:val="clear" w:color="auto" w:fill="DEEAF6"/>
          </w:tcPr>
          <w:p>
            <w:pPr>
              <w:spacing w:after="20" w:before="20"/>
            </w:pPr>
            <w:r>
              <w:rPr>
                <w:b/>
                <w:sz w:val="18"/>
                <w:szCs w:val="18"/>
              </w:rPr>
              <w:t xml:space="preserve">ṁc</w:t>
            </w:r>
            <w:r>
              <w:rPr>
                <w:b/>
                <w:sz w:val="18"/>
                <w:szCs w:val="18"/>
                <w:vertAlign w:val="subscript"/>
              </w:rPr>
              <w:t xml:space="preserve">p</w:t>
            </w:r>
          </w:p>
        </w:tc>
        <w:tc>
          <w:tcPr>
            <w:tcW w:type="dxa" w:w="3310"/>
            <w:shd w:val="clear" w:color="auto" w:fill="DEEAF6"/>
          </w:tcPr>
          <w:p>
            <w:pPr>
              <w:spacing w:after="20" w:before="20"/>
            </w:pPr>
            <w:r>
              <w:rPr>
                <w:b/>
                <w:sz w:val="18"/>
                <w:szCs w:val="18"/>
              </w:rPr>
              <w:t xml:space="preserve">Formula (22)</w:t>
            </w:r>
          </w:p>
        </w:tc>
        <w:tc>
          <w:tcPr>
            <w:tcW w:type="dxa" w:w="1605"/>
            <w:shd w:val="clear" w:color="auto" w:fill="DEEAF6"/>
          </w:tcPr>
          <w:p>
            <w:pPr>
              <w:spacing w:after="20" w:before="20"/>
            </w:pPr>
            <w:r>
              <w:rPr>
                <w:b/>
                <w:sz w:val="18"/>
                <w:szCs w:val="18"/>
              </w:rPr>
              <w:t xml:space="preserve">RD-11 §22</w:t>
            </w:r>
          </w:p>
        </w:tc>
        <w:tc>
          <w:tcPr>
            <w:tcW w:type="dxa" w:w="1403"/>
            <w:shd w:val="clear" w:color="auto" w:fill="DEEAF6"/>
          </w:tcPr>
          <w:p>
            <w:pPr>
              <w:spacing w:after="20" w:before="20"/>
            </w:pPr>
            <w:r>
              <w:rPr>
                <w:b/>
                <w:sz w:val="18"/>
                <w:szCs w:val="18"/>
              </w:rPr>
              <w:t xml:space="preserve">Error</w:t>
            </w:r>
          </w:p>
        </w:tc>
      </w:tr>
      <w:tr>
        <w:tc>
          <w:tcPr>
            <w:tcW w:type="dxa" w:w="1304"/>
          </w:tcPr>
          <w:p>
            <w:pPr>
              <w:spacing w:after="20" w:before="20"/>
            </w:pPr>
            <w:r>
              <w:rPr>
                <w:sz w:val="18"/>
                <w:szCs w:val="18"/>
              </w:rPr>
              <w:t xml:space="preserve">15 W</w:t>
            </w:r>
          </w:p>
        </w:tc>
        <w:tc>
          <w:tcPr>
            <w:tcW w:type="dxa" w:w="1404"/>
          </w:tcPr>
          <w:p>
            <w:pPr>
              <w:spacing w:after="20" w:before="20"/>
            </w:pPr>
            <w:r>
              <w:rPr>
                <w:sz w:val="18"/>
                <w:szCs w:val="18"/>
              </w:rPr>
              <w:t xml:space="preserve">3.00 W/K</w:t>
            </w:r>
          </w:p>
        </w:tc>
        <w:tc>
          <w:tcPr>
            <w:tcW w:type="dxa" w:w="3310"/>
          </w:tcPr>
          <w:p>
            <w:pPr>
              <w:spacing w:after="20" w:before="20"/>
            </w:pPr>
            <w:r>
              <w:rPr>
                <w:sz w:val="18"/>
                <w:szCs w:val="18"/>
              </w:rPr>
              <w:t xml:space="preserve">max(816.7, 297.0) = </w:t>
            </w:r>
            <w:r>
              <w:rPr>
                <w:b/>
                <w:sz w:val="18"/>
                <w:szCs w:val="18"/>
              </w:rPr>
              <w:t xml:space="preserve">816.7 s</w:t>
            </w:r>
          </w:p>
        </w:tc>
        <w:tc>
          <w:tcPr>
            <w:tcW w:type="dxa" w:w="1605"/>
          </w:tcPr>
          <w:p>
            <w:pPr>
              <w:spacing w:after="20" w:before="20"/>
            </w:pPr>
            <w:r>
              <w:rPr>
                <w:sz w:val="18"/>
                <w:szCs w:val="18"/>
              </w:rPr>
              <w:t xml:space="preserve">807.6 s</w:t>
            </w:r>
          </w:p>
        </w:tc>
        <w:tc>
          <w:tcPr>
            <w:tcW w:type="dxa" w:w="1403"/>
          </w:tcPr>
          <w:p>
            <w:pPr>
              <w:spacing w:after="20" w:before="20"/>
            </w:pPr>
            <w:r>
              <w:rPr>
                <w:sz w:val="18"/>
                <w:szCs w:val="18"/>
              </w:rPr>
              <w:t xml:space="preserve">+1.1 %</w:t>
            </w:r>
          </w:p>
        </w:tc>
      </w:tr>
      <w:tr>
        <w:tc>
          <w:tcPr>
            <w:tcW w:type="dxa" w:w="1304"/>
          </w:tcPr>
          <w:p>
            <w:pPr>
              <w:spacing w:after="20" w:before="20"/>
            </w:pPr>
            <w:r>
              <w:rPr>
                <w:sz w:val="18"/>
                <w:szCs w:val="18"/>
              </w:rPr>
              <w:t xml:space="preserve">150 W</w:t>
            </w:r>
          </w:p>
        </w:tc>
        <w:tc>
          <w:tcPr>
            <w:tcW w:type="dxa" w:w="1404"/>
          </w:tcPr>
          <w:p>
            <w:pPr>
              <w:spacing w:after="20" w:before="20"/>
            </w:pPr>
            <w:r>
              <w:rPr>
                <w:sz w:val="18"/>
                <w:szCs w:val="18"/>
              </w:rPr>
              <w:t xml:space="preserve">15.0 W/K</w:t>
            </w:r>
          </w:p>
        </w:tc>
        <w:tc>
          <w:tcPr>
            <w:tcW w:type="dxa" w:w="3310"/>
          </w:tcPr>
          <w:p>
            <w:pPr>
              <w:spacing w:after="20" w:before="20"/>
            </w:pPr>
            <w:r>
              <w:rPr>
                <w:sz w:val="18"/>
                <w:szCs w:val="18"/>
              </w:rPr>
              <w:t xml:space="preserve">max(163.3, 297.0) = </w:t>
            </w:r>
            <w:r>
              <w:rPr>
                <w:b/>
                <w:sz w:val="18"/>
                <w:szCs w:val="18"/>
              </w:rPr>
              <w:t xml:space="preserve">297.0 s</w:t>
            </w:r>
          </w:p>
        </w:tc>
        <w:tc>
          <w:tcPr>
            <w:tcW w:type="dxa" w:w="1605"/>
          </w:tcPr>
          <w:p>
            <w:pPr>
              <w:spacing w:after="20" w:before="20"/>
            </w:pPr>
            <w:r>
              <w:rPr>
                <w:sz w:val="18"/>
                <w:szCs w:val="18"/>
              </w:rPr>
              <w:t xml:space="preserve">293.6 s</w:t>
            </w:r>
          </w:p>
        </w:tc>
        <w:tc>
          <w:tcPr>
            <w:tcW w:type="dxa" w:w="1403"/>
          </w:tcPr>
          <w:p>
            <w:pPr>
              <w:spacing w:after="20" w:before="20"/>
            </w:pPr>
            <w:r>
              <w:rPr>
                <w:sz w:val="18"/>
                <w:szCs w:val="18"/>
              </w:rPr>
              <w:t xml:space="preserve">+1.2 %</w:t>
            </w:r>
          </w:p>
        </w:tc>
      </w:tr>
    </w:tbl>
    <w:p>
      <w:pPr>
        <w:spacing w:before="60" w:after="200"/>
        <w:jc w:val="left"/>
      </w:pPr>
      <w:r>
        <w:rPr>
          <w:sz w:val="18"/>
          <w:szCs w:val="18"/>
        </w:rPr>
        <w:t xml:space="preserve">Table 46. The computed steady-gate time constant against the model's step-response result. Both errors are conservative: a slightly longer τ</w:t>
      </w:r>
      <w:r>
        <w:rPr>
          <w:sz w:val="18"/>
          <w:szCs w:val="18"/>
          <w:vertAlign w:val="subscript"/>
        </w:rPr>
        <w:t xml:space="preserve">dom</w:t>
      </w:r>
      <w:r>
        <w:rPr>
          <w:sz w:val="18"/>
          <w:szCs w:val="18"/>
        </w:rPr>
        <w:t xml:space="preserve"> gives a slightly tighter gate.</w:t>
      </w:r>
    </w:p>
    <w:p>
      <w:pPr>
        <w:spacing w:after="120"/>
      </w:pPr>
      <w:r>
        <w:t xml:space="preserve">The slope itself is estimated over a </w:t>
      </w:r>
      <w:r>
        <w:rPr>
          <w:b/>
        </w:rPr>
        <w:t xml:space="preserve">30-minute sliding window</w:t>
      </w:r>
      <w:r>
        <w:t xml:space="preserve">. It has to be that long because the slope being measured is 0.4–1.2 W/h. Three implementations were available and the choice is not obvious. A full 1 Hz ring costs 7.2 kB of RAM; recursive running sums are O(1) but </w:t>
      </w:r>
      <w:r>
        <w:rPr>
          <w:b/>
        </w:rPr>
        <w:t xml:space="preserve">cannot drop the oldest sample</w:t>
      </w:r>
      <w:r>
        <w:t xml:space="preserve">, so they give an expanding window rather than a sliding one and the gate slowly stops responding to recent behaviour. The firmware pre-averages to one sample per ten seconds and keeps 180 of them — </w:t>
      </w:r>
      <w:r>
        <w:rPr>
          <w:b/>
        </w:rPr>
        <w:t xml:space="preserve">720 bytes</w:t>
      </w:r>
      <w:r>
        <w:t xml:space="preserve"> — which is a true sliding window, anti-aliased by the pre-average. Least squares over evenly spaced samples has a closed-form abscissa sum, so the slope is one pass over the ring at 0.1 Hz.</w:t>
      </w:r>
    </w:p>
    <w:p>
      <w:pPr>
        <w:spacing w:after="120"/>
      </w:pPr>
      <w:r>
        <w:t xml:space="preserve">A </w:t>
      </w:r>
      <w:r>
        <w:rPr>
          <w:b/>
        </w:rPr>
        <w:t xml:space="preserve">flow change of more than 10 % re-arms the whole apparatus</w:t>
      </w:r>
      <w:r>
        <w:t xml:space="preserve">: it recomputes the steady threshold, drops the slope history and resets the observer. A range change invalidates the point in any case, and both of those estimators are describing a plant that no longer exists.</w:t>
      </w:r>
    </w:p>
    <w:p>
      <w:pPr>
        <w:pStyle w:val="Heading2"/>
      </w:pPr>
      <w:r>
        <w:t xml:space="preserve">The disturbance observer</w:t>
      </w:r>
    </w:p>
    <w:p>
      <w:pPr>
        <w:spacing w:after="120"/>
      </w:pPr>
      <w:r>
        <w:t xml:space="preserve">RD-11 §24 shows that the cold corner's hour-long wait is not an information problem — the answer is present in the transient — and proposes a fixed-gain Kalman filter over the augmented eleven-state closed loop, with the gain vector computed offline and emitted as a table per flow row. That is not what was built. With the guard nulled, the energy balance on the combined air-and-water lump is exact:</w:t>
      </w:r>
    </w:p>
    <w:p>
      <w:pPr>
        <w:spacing w:before="160" w:after="160"/>
        <w:jc w:val="center"/>
      </w:pPr>
      <w:r>
        <w:rPr>
          <w:rFonts w:ascii="Cambria Math" w:hAnsi="Cambria Math"/>
          <w:sz w:val="24"/>
          <w:szCs w:val="24"/>
        </w:rPr>
        <w:t xml:space="preserve">(C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)·dθ̄/dt = P</w:t>
      </w:r>
      <w:r>
        <w:rPr>
          <w:rFonts w:ascii="Cambria Math" w:hAnsi="Cambria Math"/>
          <w:sz w:val="24"/>
          <w:szCs w:val="24"/>
          <w:vertAlign w:val="subscript"/>
        </w:rPr>
        <w:t xml:space="preserve">DUT</w:t>
      </w:r>
      <w:r>
        <w:rPr>
          <w:rFonts w:ascii="Cambria Math" w:hAnsi="Cambria Math"/>
          <w:sz w:val="24"/>
          <w:szCs w:val="24"/>
        </w:rPr>
        <w:t xml:space="preserve"> − P</w:t>
      </w:r>
      <w:r>
        <w:rPr>
          <w:rFonts w:ascii="Cambria Math" w:hAnsi="Cambria Math"/>
          <w:sz w:val="24"/>
          <w:szCs w:val="24"/>
          <w:vertAlign w:val="subscript"/>
        </w:rPr>
        <w:t xml:space="preserve">meas</w:t>
      </w:r>
      <w:r>
        <w:rPr>
          <w:rFonts w:ascii="Cambria Math" w:hAnsi="Cambria Math"/>
          <w:sz w:val="24"/>
          <w:szCs w:val="24"/>
        </w:rPr>
        <w:t xml:space="preserve"> ,   θ̄ = (C</w:t>
      </w:r>
      <w:r>
        <w:rPr>
          <w:rFonts w:ascii="Cambria Math" w:hAnsi="Cambria Math"/>
          <w:sz w:val="24"/>
          <w:szCs w:val="24"/>
          <w:vertAlign w:val="subscript"/>
        </w:rPr>
        <w:t xml:space="preserve">i</w:t>
      </w:r>
      <w:r>
        <w:rPr>
          <w:rFonts w:ascii="Cambria Math" w:hAnsi="Cambria Math"/>
          <w:sz w:val="24"/>
          <w:szCs w:val="24"/>
        </w:rPr>
        <w:t xml:space="preserve">θ</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θ</w:t>
      </w:r>
      <w:r>
        <w:rPr>
          <w:rFonts w:ascii="Cambria Math" w:hAnsi="Cambria Math"/>
          <w:sz w:val="24"/>
          <w:szCs w:val="24"/>
          <w:vertAlign w:val="subscript"/>
        </w:rPr>
        <w:t xml:space="preserve">w</w:t>
      </w:r>
      <w:r>
        <w:rPr>
          <w:rFonts w:ascii="Cambria Math" w:hAnsi="Cambria Math"/>
          <w:sz w:val="24"/>
          <w:szCs w:val="24"/>
        </w:rPr>
        <w:t xml:space="preserve">)/(C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w:t>
      </w:r>
      <w:r>
        <w:rPr>
          <w:sz w:val="20"/>
          <w:szCs w:val="20"/>
        </w:rPr>
        <w:tab/>
        <w:tab/>
        <w:t>(23)</w:t>
      </w:r>
    </w:p>
    <w:p>
      <w:pPr>
        <w:spacing w:after="120"/>
      </w:pPr>
      <w:r>
        <w:t xml:space="preserve">which rearranges directly into an estimator:</w:t>
      </w:r>
    </w:p>
    <w:p>
      <w:pPr>
        <w:spacing w:before="160" w:after="160"/>
        <w:jc w:val="center"/>
      </w:pPr>
      <w:r>
        <w:rPr>
          <w:rFonts w:ascii="Cambria Math" w:hAnsi="Cambria Math"/>
          <w:sz w:val="24"/>
          <w:szCs w:val="24"/>
        </w:rPr>
        <w:t xml:space="preserve">P̂</w:t>
      </w:r>
      <w:r>
        <w:rPr>
          <w:rFonts w:ascii="Cambria Math" w:hAnsi="Cambria Math"/>
          <w:sz w:val="24"/>
          <w:szCs w:val="24"/>
          <w:vertAlign w:val="subscript"/>
        </w:rPr>
        <w:t xml:space="preserve">DUT</w:t>
      </w:r>
      <w:r>
        <w:rPr>
          <w:rFonts w:ascii="Cambria Math" w:hAnsi="Cambria Math"/>
          <w:sz w:val="24"/>
          <w:szCs w:val="24"/>
        </w:rPr>
        <w:t xml:space="preserve"> = P</w:t>
      </w:r>
      <w:r>
        <w:rPr>
          <w:rFonts w:ascii="Cambria Math" w:hAnsi="Cambria Math"/>
          <w:sz w:val="24"/>
          <w:szCs w:val="24"/>
          <w:vertAlign w:val="subscript"/>
        </w:rPr>
        <w:t xml:space="preserve">meas</w:t>
      </w:r>
      <w:r>
        <w:rPr>
          <w:rFonts w:ascii="Cambria Math" w:hAnsi="Cambria Math"/>
          <w:sz w:val="24"/>
          <w:szCs w:val="24"/>
        </w:rPr>
        <w:t xml:space="preserve"> + (C</w:t>
      </w:r>
      <w:r>
        <w:rPr>
          <w:rFonts w:ascii="Cambria Math" w:hAnsi="Cambria Math"/>
          <w:sz w:val="24"/>
          <w:szCs w:val="24"/>
          <w:vertAlign w:val="subscript"/>
        </w:rPr>
        <w:t xml:space="preserve">i</w:t>
      </w:r>
      <w:r>
        <w:rPr>
          <w:rFonts w:ascii="Cambria Math" w:hAnsi="Cambria Math"/>
          <w:sz w:val="24"/>
          <w:szCs w:val="24"/>
        </w:rPr>
        <w:t xml:space="preserve"> + C</w:t>
      </w:r>
      <w:r>
        <w:rPr>
          <w:rFonts w:ascii="Cambria Math" w:hAnsi="Cambria Math"/>
          <w:sz w:val="24"/>
          <w:szCs w:val="24"/>
          <w:vertAlign w:val="subscript"/>
        </w:rPr>
        <w:t xml:space="preserve">w</w:t>
      </w:r>
      <w:r>
        <w:rPr>
          <w:rFonts w:ascii="Cambria Math" w:hAnsi="Cambria Math"/>
          <w:sz w:val="24"/>
          <w:szCs w:val="24"/>
        </w:rPr>
        <w:t xml:space="preserve">)·dθ̄/dt</w:t>
      </w:r>
      <w:r>
        <w:rPr>
          <w:sz w:val="20"/>
          <w:szCs w:val="20"/>
        </w:rPr>
        <w:tab/>
        <w:tab/>
        <w:t>(24)</w:t>
      </w:r>
    </w:p>
    <w:p>
      <w:pPr>
        <w:spacing w:after="120"/>
      </w:pPr>
      <w:r>
        <w:t xml:space="preserve">Three reasons make this the right form for a handoff deliverable.</w:t>
      </w:r>
    </w:p>
    <w:p>
      <w:pPr>
        <w:spacing w:after="60" w:before="0"/>
        <w:ind w:left="792" w:hanging="432"/>
      </w:pPr>
      <w:r>
        <w:t xml:space="preserve">1.</w:t>
      </w:r>
      <w:r>
        <w:tab/>
      </w:r>
      <w:r>
        <w:rPr>
          <w:b/>
        </w:rPr>
        <w:t xml:space="preserve">It inherits the unbiasedness rather than adding a gain.</w:t>
      </w:r>
      <w:r>
        <w:t xml:space="preserve"> At steady state the derivative is zero and the estimate collapses onto the reading, which §6.6 proves is exactly right. There is no gain vector to get wrong and no per-flow gain table to keep synchronised with </w:t>
      </w:r>
      <w:r>
        <w:rPr>
          <w:rFonts w:ascii="Consolas" w:hAnsi="Consolas"/>
          <w:sz w:val="19"/>
          <w:szCs w:val="19"/>
        </w:rPr>
        <w:t xml:space="preserve">params.yaml</w:t>
      </w:r>
      <w:r>
        <w:t xml:space="preserve">.</w:t>
      </w:r>
    </w:p>
    <w:p>
      <w:pPr>
        <w:spacing w:after="60" w:before="0"/>
        <w:ind w:left="792" w:hanging="432"/>
      </w:pPr>
      <w:r>
        <w:t xml:space="preserve">2.</w:t>
      </w:r>
      <w:r>
        <w:tab/>
      </w:r>
      <w:r>
        <w:rPr>
          <w:b/>
        </w:rPr>
        <w:t xml:space="preserve">It is checkable by eye.</w:t>
      </w:r>
      <w:r>
        <w:t xml:space="preserve"> It is five lines and one physical sentence: </w:t>
      </w:r>
      <w:r>
        <w:rPr>
          <w:i/>
        </w:rPr>
        <w:t xml:space="preserve">the reading is short by whatever is still charging the thermal mass.</w:t>
      </w:r>
      <w:r>
        <w:t xml:space="preserve"> An 11 × 11 matrix-vector product out of a generated header is not something the next engineer can verify by inspection.</w:t>
      </w:r>
    </w:p>
    <w:p>
      <w:pPr>
        <w:spacing w:after="60" w:before="0"/>
        <w:ind w:left="792" w:hanging="432"/>
      </w:pPr>
      <w:r>
        <w:t xml:space="preserve">3.</w:t>
      </w:r>
      <w:r>
        <w:tab/>
      </w:r>
      <w:r>
        <w:rPr>
          <w:b/>
        </w:rPr>
        <w:t xml:space="preserve">It is not load-bearing.</w:t>
      </w:r>
      <w:r>
        <w:t xml:space="preserve"> RD-11 §24 itself says to commission the estimator by running it alongside the full wait for one campaign rather than instead of it. The estimate is computed and logged every tick; a single flag in non-volatile storage is what would ever let it gate a point, and it is false.</w:t>
      </w:r>
    </w:p>
    <w:p>
      <w:pPr>
        <w:spacing w:after="120"/>
      </w:pPr>
      <w:r>
        <w:t xml:space="preserve">What the reduced-order form gives up is noise rejection: it differentiates a temperature, so sensor noise is amplified by (C</w:t>
      </w:r>
      <w:r>
        <w:rPr>
          <w:vertAlign w:val="subscript"/>
        </w:rPr>
        <w:t xml:space="preserve">i</w:t>
      </w:r>
      <w:r>
        <w:t xml:space="preserve">+C</w:t>
      </w:r>
      <w:r>
        <w:rPr>
          <w:vertAlign w:val="subscript"/>
        </w:rPr>
        <w:t xml:space="preserve">w</w:t>
      </w:r>
      <w:r>
        <w:t xml:space="preserve">)/window where a Kalman filter would filter it. With a 120 s least-squares window and the TMP117's 10 mK repeatability that is </w:t>
      </w:r>
      <w:r>
        <w:rPr>
          <w:b/>
        </w:rPr>
        <w:t xml:space="preserve">about 0.06 W of estimator noise</w:t>
      </w:r>
      <w:r>
        <w:t xml:space="preserve"> — acceptable for a quantity that never gates a logged point, and an order below the ±1 W target in any case. The upgrade path is one function body: everything around it, including the shadow-mode flag and the reset on a range change, is already in place.</w:t>
      </w:r>
    </w:p>
    <w:p>
      <w:pPr>
        <w:pStyle w:val="Heading2"/>
      </w:pPr>
      <w:r>
        <w:t xml:space="preserve">The supervisor state machine and auto-ranging</w:t>
      </w:r>
    </w:p>
    <w:p>
      <w:pPr>
        <w:spacing w:after="120"/>
      </w:pPr>
      <w:r>
        <w:t xml:space="preserve">The supervisor is built on Zephyr's State Machine Framework and is </w:t>
      </w:r>
      <w:r>
        <w:rPr>
          <w:b/>
        </w:rPr>
        <w:t xml:space="preserve">a state machine, not a controller</w:t>
      </w:r>
      <w:r>
        <w:t xml:space="preserve">: it owns no gain and computes no actuator command. Its job is that every transition capable of invalidating a measurement point is encoded in the firmware rather than left to operator discipline.</w:t>
      </w:r>
    </w:p>
    <w:tbl>
      <w:tblPr>
        <w:tblStyle w:val="TableGrid"/>
        <w:tblW w:type="auto" w:w="0"/>
        <w:jc w:val="center"/>
        <w:tblLayout w:type="fixed"/>
        <w:tblLook w:firstColumn="1" w:firstRow="1" w:lastColumn="0" w:lastRow="0" w:noHBand="0" w:noVBand="1" w:val="04A0"/>
      </w:tblPr>
      <w:tblGrid>
        <w:gridCol w:w="2407"/>
        <w:gridCol w:w="6619"/>
      </w:tblGrid>
      <w:tr>
        <w:trPr>
          <w:tblHeader w:val="true"/>
        </w:trPr>
        <w:tc>
          <w:tcPr>
            <w:tcW w:type="dxa" w:w="2407"/>
            <w:shd w:val="clear" w:color="auto" w:fill="DEEAF6"/>
          </w:tcPr>
          <w:p>
            <w:pPr>
              <w:spacing w:after="20" w:before="20"/>
            </w:pPr>
            <w:r>
              <w:rPr>
                <w:b/>
                <w:sz w:val="18"/>
                <w:szCs w:val="18"/>
              </w:rPr>
              <w:t xml:space="preserve">State</w:t>
            </w:r>
          </w:p>
        </w:tc>
        <w:tc>
          <w:tcPr>
            <w:tcW w:type="dxa" w:w="6619"/>
            <w:shd w:val="clear" w:color="auto" w:fill="DEEAF6"/>
          </w:tcPr>
          <w:p>
            <w:pPr>
              <w:spacing w:after="20" w:before="20"/>
            </w:pPr>
            <w:r>
              <w:rPr>
                <w:b/>
                <w:sz w:val="18"/>
                <w:szCs w:val="18"/>
              </w:rPr>
              <w:t xml:space="preserve">What holds here, and what leaves it</w:t>
            </w:r>
          </w:p>
        </w:tc>
      </w:tr>
      <w:tr>
        <w:tc>
          <w:tcPr>
            <w:tcW w:type="dxa" w:w="2407"/>
          </w:tcPr>
          <w:p>
            <w:pPr>
              <w:spacing w:after="20" w:before="20"/>
            </w:pPr>
            <w:r>
              <w:rPr>
                <w:sz w:val="18"/>
                <w:szCs w:val="18"/>
              </w:rPr>
              <w:t xml:space="preserve">BOOT</w:t>
            </w:r>
          </w:p>
        </w:tc>
        <w:tc>
          <w:tcPr>
            <w:tcW w:type="dxa" w:w="6619"/>
          </w:tcPr>
          <w:p>
            <w:pPr>
              <w:spacing w:after="20" w:before="20"/>
            </w:pPr>
            <w:r>
              <w:rPr>
                <w:sz w:val="18"/>
                <w:szCs w:val="18"/>
              </w:rPr>
              <w:t xml:space="preserve">devices bound, stored calibration loaded, watchdog installed</w:t>
            </w:r>
          </w:p>
        </w:tc>
      </w:tr>
      <w:tr>
        <w:tc>
          <w:tcPr>
            <w:tcW w:type="dxa" w:w="2407"/>
          </w:tcPr>
          <w:p>
            <w:pPr>
              <w:spacing w:after="20" w:before="20"/>
            </w:pPr>
            <w:r>
              <w:rPr>
                <w:sz w:val="18"/>
                <w:szCs w:val="18"/>
              </w:rPr>
              <w:t xml:space="preserve">SELFTEST</w:t>
            </w:r>
          </w:p>
        </w:tc>
        <w:tc>
          <w:tcPr>
            <w:tcW w:type="dxa" w:w="6619"/>
          </w:tcPr>
          <w:p>
            <w:pPr>
              <w:spacing w:after="20" w:before="20"/>
            </w:pPr>
            <w:r>
              <w:rPr>
                <w:sz w:val="18"/>
                <w:szCs w:val="18"/>
              </w:rPr>
              <w:t xml:space="preserve">the power-on self-test of §9.12; a failed row latches a fault</w:t>
            </w:r>
          </w:p>
        </w:tc>
      </w:tr>
      <w:tr>
        <w:tc>
          <w:tcPr>
            <w:tcW w:type="dxa" w:w="2407"/>
          </w:tcPr>
          <w:p>
            <w:pPr>
              <w:spacing w:after="20" w:before="20"/>
            </w:pPr>
            <w:r>
              <w:rPr>
                <w:sz w:val="18"/>
                <w:szCs w:val="18"/>
              </w:rPr>
              <w:t xml:space="preserve">IDLE</w:t>
            </w:r>
          </w:p>
        </w:tc>
        <w:tc>
          <w:tcPr>
            <w:tcW w:type="dxa" w:w="6619"/>
          </w:tcPr>
          <w:p>
            <w:pPr>
              <w:spacing w:after="20" w:before="20"/>
            </w:pPr>
            <w:r>
              <w:rPr>
                <w:sz w:val="18"/>
                <w:szCs w:val="18"/>
              </w:rPr>
              <w:t xml:space="preserve">everything off but the sensors; the only state that accepts a calibration request</w:t>
            </w:r>
          </w:p>
        </w:tc>
      </w:tr>
      <w:tr>
        <w:tc>
          <w:tcPr>
            <w:tcW w:type="dxa" w:w="2407"/>
          </w:tcPr>
          <w:p>
            <w:pPr>
              <w:spacing w:after="20" w:before="20"/>
            </w:pPr>
            <w:r>
              <w:rPr>
                <w:sz w:val="18"/>
                <w:szCs w:val="18"/>
              </w:rPr>
              <w:t xml:space="preserve">CAL_SOAK / CAL_TARE / CAL_SUBST</w:t>
            </w:r>
          </w:p>
        </w:tc>
        <w:tc>
          <w:tcPr>
            <w:tcW w:type="dxa" w:w="6619"/>
          </w:tcPr>
          <w:p>
            <w:pPr>
              <w:spacing w:after="20" w:before="20"/>
            </w:pPr>
            <w:r>
              <w:rPr>
                <w:sz w:val="18"/>
                <w:szCs w:val="18"/>
              </w:rPr>
              <w:t xml:space="preserve">the three commissioning procedures of §9.11</w:t>
            </w:r>
          </w:p>
        </w:tc>
      </w:tr>
      <w:tr>
        <w:tc>
          <w:tcPr>
            <w:tcW w:type="dxa" w:w="2407"/>
          </w:tcPr>
          <w:p>
            <w:pPr>
              <w:spacing w:after="20" w:before="20"/>
            </w:pPr>
            <w:r>
              <w:rPr>
                <w:sz w:val="18"/>
                <w:szCs w:val="18"/>
              </w:rPr>
              <w:t xml:space="preserve">SET_RANGE</w:t>
            </w:r>
          </w:p>
        </w:tc>
        <w:tc>
          <w:tcPr>
            <w:tcW w:type="dxa" w:w="6619"/>
          </w:tcPr>
          <w:p>
            <w:pPr>
              <w:spacing w:after="20" w:before="20"/>
            </w:pPr>
            <w:r>
              <w:rPr>
                <w:sz w:val="18"/>
                <w:szCs w:val="18"/>
              </w:rPr>
              <w:t xml:space="preserve">pick the flow, the ΔT setpoint and the tare row; reset the gates, the slope ring and the observer</w:t>
            </w:r>
          </w:p>
        </w:tc>
      </w:tr>
      <w:tr>
        <w:tc>
          <w:tcPr>
            <w:tcW w:type="dxa" w:w="2407"/>
          </w:tcPr>
          <w:p>
            <w:pPr>
              <w:spacing w:after="20" w:before="20"/>
            </w:pPr>
            <w:r>
              <w:rPr>
                <w:sz w:val="18"/>
                <w:szCs w:val="18"/>
              </w:rPr>
              <w:t xml:space="preserve">PREHEAT</w:t>
            </w:r>
          </w:p>
        </w:tc>
        <w:tc>
          <w:tcPr>
            <w:tcW w:type="dxa" w:w="6619"/>
          </w:tcPr>
          <w:p>
            <w:pPr>
              <w:spacing w:after="20" w:before="20"/>
            </w:pPr>
            <w:r>
              <w:rPr>
                <w:sz w:val="18"/>
                <w:szCs w:val="18"/>
              </w:rPr>
              <w:t xml:space="preserve">drive the chamber to its setpoint with the inner resistor</w:t>
            </w:r>
          </w:p>
        </w:tc>
      </w:tr>
      <w:tr>
        <w:tc>
          <w:tcPr>
            <w:tcW w:type="dxa" w:w="2407"/>
          </w:tcPr>
          <w:p>
            <w:pPr>
              <w:spacing w:after="20" w:before="20"/>
            </w:pPr>
            <w:r>
              <w:rPr>
                <w:sz w:val="18"/>
                <w:szCs w:val="18"/>
              </w:rPr>
              <w:t xml:space="preserve">SETTLE</w:t>
            </w:r>
          </w:p>
        </w:tc>
        <w:tc>
          <w:tcPr>
            <w:tcW w:type="dxa" w:w="6619"/>
          </w:tcPr>
          <w:p>
            <w:pPr>
              <w:spacing w:after="20" w:before="20"/>
            </w:pPr>
            <w:r>
              <w:rPr>
                <w:sz w:val="18"/>
                <w:szCs w:val="18"/>
              </w:rPr>
              <w:t xml:space="preserve">loops closed, gates evaluated every tick, settling budget running</w:t>
            </w:r>
          </w:p>
        </w:tc>
      </w:tr>
      <w:tr>
        <w:tc>
          <w:tcPr>
            <w:tcW w:type="dxa" w:w="2407"/>
          </w:tcPr>
          <w:p>
            <w:pPr>
              <w:spacing w:after="20" w:before="20"/>
            </w:pPr>
            <w:r>
              <w:rPr>
                <w:sz w:val="18"/>
                <w:szCs w:val="18"/>
              </w:rPr>
              <w:t xml:space="preserve">DWELL</w:t>
            </w:r>
          </w:p>
        </w:tc>
        <w:tc>
          <w:tcPr>
            <w:tcW w:type="dxa" w:w="6619"/>
          </w:tcPr>
          <w:p>
            <w:pPr>
              <w:spacing w:after="20" w:before="20"/>
            </w:pPr>
            <w:r>
              <w:rPr>
                <w:sz w:val="18"/>
                <w:szCs w:val="18"/>
              </w:rPr>
              <w:t xml:space="preserve">both gates green; accumulating the mean and its standard error</w:t>
            </w:r>
          </w:p>
        </w:tc>
      </w:tr>
      <w:tr>
        <w:tc>
          <w:tcPr>
            <w:tcW w:type="dxa" w:w="2407"/>
          </w:tcPr>
          <w:p>
            <w:pPr>
              <w:spacing w:after="20" w:before="20"/>
            </w:pPr>
            <w:r>
              <w:rPr>
                <w:sz w:val="18"/>
                <w:szCs w:val="18"/>
              </w:rPr>
              <w:t xml:space="preserve">LOG</w:t>
            </w:r>
          </w:p>
        </w:tc>
        <w:tc>
          <w:tcPr>
            <w:tcW w:type="dxa" w:w="6619"/>
          </w:tcPr>
          <w:p>
            <w:pPr>
              <w:spacing w:after="20" w:before="20"/>
            </w:pPr>
            <w:r>
              <w:rPr>
                <w:sz w:val="18"/>
                <w:szCs w:val="18"/>
              </w:rPr>
              <w:t xml:space="preserve">emit the point with its uncertainty, the firmware version and the parameter hash</w:t>
            </w:r>
          </w:p>
        </w:tc>
      </w:tr>
      <w:tr>
        <w:tc>
          <w:tcPr>
            <w:tcW w:type="dxa" w:w="2407"/>
          </w:tcPr>
          <w:p>
            <w:pPr>
              <w:spacing w:after="20" w:before="20"/>
            </w:pPr>
            <w:r>
              <w:rPr>
                <w:sz w:val="18"/>
                <w:szCs w:val="18"/>
              </w:rPr>
              <w:t xml:space="preserve">FAULT</w:t>
            </w:r>
          </w:p>
        </w:tc>
        <w:tc>
          <w:tcPr>
            <w:tcW w:type="dxa" w:w="6619"/>
          </w:tcPr>
          <w:p>
            <w:pPr>
              <w:spacing w:after="20" w:before="20"/>
            </w:pPr>
            <w:r>
              <w:rPr>
                <w:sz w:val="18"/>
                <w:szCs w:val="18"/>
              </w:rPr>
              <w:t xml:space="preserve">latched, outputs safe; leaves only on an explicit operator clear</w:t>
            </w:r>
          </w:p>
        </w:tc>
      </w:tr>
    </w:tbl>
    <w:p>
      <w:pPr>
        <w:spacing w:before="60" w:after="200"/>
        <w:jc w:val="left"/>
      </w:pPr>
      <w:r>
        <w:rPr>
          <w:sz w:val="18"/>
          <w:szCs w:val="18"/>
        </w:rPr>
        <w:t xml:space="preserve">Table 47. The supervisor states. Every arrow out of SETTLE except the one into DWELL is a discarded point, which is the property that makes the instrument trustworthy without an attentive operator.</w:t>
      </w:r>
    </w:p>
    <w:p>
      <w:pPr>
        <w:spacing w:after="120"/>
      </w:pPr>
      <w:r>
        <w:t xml:space="preserve">Auto-ranging picks the water ΔT setpoint, and therefore the flow, from the expected load. It is worth noting </w:t>
      </w:r>
      <w:r>
        <w:rPr>
          <w:b/>
        </w:rPr>
        <w:t xml:space="preserve">why this is free</w:t>
      </w:r>
      <w:r>
        <w:t xml:space="preserve">: §6.6 shows the water setpoint has exactly zero DC gain to the reading, so moving ΔT</w:t>
      </w:r>
      <w:r>
        <w:rPr>
          <w:vertAlign w:val="subscript"/>
        </w:rPr>
        <w:t xml:space="preserve">set</w:t>
      </w:r>
      <w:r>
        <w:t xml:space="preserve"> between points cannot shift the answer — only the transient, which the gates already catch. Ranging is a schedule decision, not a metrological one.</w:t>
      </w:r>
    </w:p>
    <w:tbl>
      <w:tblPr>
        <w:tblStyle w:val="TableGrid"/>
        <w:tblW w:type="auto" w:w="0"/>
        <w:jc w:val="center"/>
        <w:tblLayout w:type="fixed"/>
        <w:tblLook w:firstColumn="1" w:firstRow="1" w:lastColumn="0" w:lastRow="0" w:noHBand="0" w:noVBand="1" w:val="04A0"/>
      </w:tblPr>
      <w:tblGrid>
        <w:gridCol w:w="1504"/>
        <w:gridCol w:w="1304"/>
        <w:gridCol w:w="6218"/>
      </w:tblGrid>
      <w:tr>
        <w:trPr>
          <w:tblHeader w:val="true"/>
        </w:trPr>
        <w:tc>
          <w:tcPr>
            <w:tcW w:type="dxa" w:w="1504"/>
            <w:shd w:val="clear" w:color="auto" w:fill="DEEAF6"/>
          </w:tcPr>
          <w:p>
            <w:pPr>
              <w:spacing w:after="20" w:before="20"/>
            </w:pPr>
            <w:r>
              <w:rPr>
                <w:b/>
                <w:sz w:val="18"/>
                <w:szCs w:val="18"/>
              </w:rPr>
              <w:t xml:space="preserve">Load up to</w:t>
            </w:r>
          </w:p>
        </w:tc>
        <w:tc>
          <w:tcPr>
            <w:tcW w:type="dxa" w:w="1304"/>
            <w:shd w:val="clear" w:color="auto" w:fill="DEEAF6"/>
          </w:tcPr>
          <w:p>
            <w:pPr>
              <w:spacing w:after="20" w:before="20"/>
            </w:pPr>
            <w:r>
              <w:rPr>
                <w:b/>
                <w:sz w:val="18"/>
                <w:szCs w:val="18"/>
              </w:rPr>
              <w:t xml:space="preserve">ΔT</w:t>
            </w:r>
            <w:r>
              <w:rPr>
                <w:b/>
                <w:sz w:val="18"/>
                <w:szCs w:val="18"/>
                <w:vertAlign w:val="subscript"/>
              </w:rPr>
              <w:t xml:space="preserve">set</w:t>
            </w:r>
          </w:p>
        </w:tc>
        <w:tc>
          <w:tcPr>
            <w:tcW w:type="dxa" w:w="6218"/>
            <w:shd w:val="clear" w:color="auto" w:fill="DEEAF6"/>
          </w:tcPr>
          <w:p>
            <w:pPr>
              <w:spacing w:after="20" w:before="20"/>
            </w:pPr>
            <w:r>
              <w:rPr>
                <w:b/>
                <w:sz w:val="18"/>
                <w:szCs w:val="18"/>
              </w:rPr>
              <w:t xml:space="preserve">Consequence</w:t>
            </w:r>
          </w:p>
        </w:tc>
      </w:tr>
      <w:tr>
        <w:tc>
          <w:tcPr>
            <w:tcW w:type="dxa" w:w="1504"/>
          </w:tcPr>
          <w:p>
            <w:pPr>
              <w:spacing w:after="20" w:before="20"/>
            </w:pPr>
            <w:r>
              <w:rPr>
                <w:sz w:val="18"/>
                <w:szCs w:val="18"/>
              </w:rPr>
              <w:t xml:space="preserve">50 W</w:t>
            </w:r>
          </w:p>
        </w:tc>
        <w:tc>
          <w:tcPr>
            <w:tcW w:type="dxa" w:w="1304"/>
          </w:tcPr>
          <w:p>
            <w:pPr>
              <w:spacing w:after="20" w:before="20"/>
            </w:pPr>
            <w:r>
              <w:rPr>
                <w:sz w:val="18"/>
                <w:szCs w:val="18"/>
              </w:rPr>
              <w:t xml:space="preserve">5 K</w:t>
            </w:r>
          </w:p>
        </w:tc>
        <w:tc>
          <w:tcPr>
            <w:tcW w:type="dxa" w:w="6218"/>
          </w:tcPr>
          <w:p>
            <w:pPr>
              <w:spacing w:after="20" w:before="20"/>
            </w:pPr>
            <w:r>
              <w:rPr>
                <w:sz w:val="18"/>
                <w:szCs w:val="18"/>
              </w:rPr>
              <w:t xml:space="preserve">the cold end: highest flow for the load, longest settle</w:t>
            </w:r>
          </w:p>
        </w:tc>
      </w:tr>
      <w:tr>
        <w:tc>
          <w:tcPr>
            <w:tcW w:type="dxa" w:w="1504"/>
          </w:tcPr>
          <w:p>
            <w:pPr>
              <w:spacing w:after="20" w:before="20"/>
            </w:pPr>
            <w:r>
              <w:rPr>
                <w:sz w:val="18"/>
                <w:szCs w:val="18"/>
              </w:rPr>
              <w:t xml:space="preserve">200 W</w:t>
            </w:r>
          </w:p>
        </w:tc>
        <w:tc>
          <w:tcPr>
            <w:tcW w:type="dxa" w:w="1304"/>
          </w:tcPr>
          <w:p>
            <w:pPr>
              <w:spacing w:after="20" w:before="20"/>
            </w:pPr>
            <w:r>
              <w:rPr>
                <w:sz w:val="18"/>
                <w:szCs w:val="18"/>
              </w:rPr>
              <w:t xml:space="preserve">10 K</w:t>
            </w:r>
          </w:p>
        </w:tc>
        <w:tc>
          <w:tcPr>
            <w:tcW w:type="dxa" w:w="6218"/>
          </w:tcPr>
          <w:p>
            <w:pPr>
              <w:spacing w:after="20" w:before="20"/>
            </w:pPr>
            <w:r>
              <w:rPr>
                <w:sz w:val="18"/>
                <w:szCs w:val="18"/>
              </w:rPr>
              <w:t xml:space="preserve">the nominal row; the operating point of §7.6.1</w:t>
            </w:r>
          </w:p>
        </w:tc>
      </w:tr>
      <w:tr>
        <w:tc>
          <w:tcPr>
            <w:tcW w:type="dxa" w:w="1504"/>
          </w:tcPr>
          <w:p>
            <w:pPr>
              <w:spacing w:after="20" w:before="20"/>
            </w:pPr>
            <w:r>
              <w:rPr>
                <w:sz w:val="18"/>
                <w:szCs w:val="18"/>
              </w:rPr>
              <w:t xml:space="preserve">600 W</w:t>
            </w:r>
          </w:p>
        </w:tc>
        <w:tc>
          <w:tcPr>
            <w:tcW w:type="dxa" w:w="1304"/>
          </w:tcPr>
          <w:p>
            <w:pPr>
              <w:spacing w:after="20" w:before="20"/>
            </w:pPr>
            <w:r>
              <w:rPr>
                <w:sz w:val="18"/>
                <w:szCs w:val="18"/>
              </w:rPr>
              <w:t xml:space="preserve">25 K</w:t>
            </w:r>
          </w:p>
        </w:tc>
        <w:tc>
          <w:tcPr>
            <w:tcW w:type="dxa" w:w="6218"/>
          </w:tcPr>
          <w:p>
            <w:pPr>
              <w:spacing w:after="20" w:before="20"/>
            </w:pPr>
            <w:r>
              <w:rPr>
                <w:sz w:val="18"/>
                <w:szCs w:val="18"/>
              </w:rPr>
              <w:t xml:space="preserve">headroom above the 200 W design envelope; never the shipping case</w:t>
            </w:r>
          </w:p>
        </w:tc>
      </w:tr>
    </w:tbl>
    <w:p>
      <w:pPr>
        <w:spacing w:before="60" w:after="200"/>
        <w:jc w:val="left"/>
      </w:pPr>
      <w:r>
        <w:rPr>
          <w:sz w:val="18"/>
          <w:szCs w:val="18"/>
        </w:rPr>
        <w:t xml:space="preserve">Table 48. The ranging table, as generated. A range change re-selects the tare row, recomputes the steady gate and resets the observer.</w:t>
      </w:r>
    </w:p>
    <w:p>
      <w:pPr>
        <w:pStyle w:val="Heading2"/>
      </w:pPr>
      <w:r>
        <w:t xml:space="preserve">Commissioning and the non-volatile store</w:t>
      </w:r>
    </w:p>
    <w:p>
      <w:pPr>
        <w:spacing w:after="120"/>
      </w:pPr>
      <w:r>
        <w:t xml:space="preserve">The standing rule of §7.9 is that commissioning values override computed estimates everywhere. The firmware makes that mechanically true rather than aspirational: </w:t>
      </w:r>
      <w:r>
        <w:rPr>
          <w:b/>
        </w:rPr>
        <w:t xml:space="preserve">every calibrated value lives in non-volatile storage, never in the image</w:t>
      </w:r>
      <w:r>
        <w:t xml:space="preserve">, behind Zephyr's settings subsystem with an NVS backend. Recalibrating the rig never requires a reflash, and a value that has never been calibrated is visibly a design estimate rather than silently indistinguishable from a measured one.</w:t>
      </w:r>
    </w:p>
    <w:tbl>
      <w:tblPr>
        <w:tblStyle w:val="TableGrid"/>
        <w:tblW w:type="auto" w:w="0"/>
        <w:jc w:val="center"/>
        <w:tblLayout w:type="fixed"/>
        <w:tblLook w:firstColumn="1" w:firstRow="1" w:lastColumn="0" w:lastRow="0" w:noHBand="0" w:noVBand="1" w:val="04A0"/>
      </w:tblPr>
      <w:tblGrid>
        <w:gridCol w:w="1905"/>
        <w:gridCol w:w="3009"/>
        <w:gridCol w:w="4112"/>
      </w:tblGrid>
      <w:tr>
        <w:trPr>
          <w:tblHeader w:val="true"/>
        </w:trPr>
        <w:tc>
          <w:tcPr>
            <w:tcW w:type="dxa" w:w="1905"/>
            <w:shd w:val="clear" w:color="auto" w:fill="DEEAF6"/>
          </w:tcPr>
          <w:p>
            <w:pPr>
              <w:spacing w:after="20" w:before="20"/>
            </w:pPr>
            <w:r>
              <w:rPr>
                <w:b/>
                <w:sz w:val="18"/>
                <w:szCs w:val="18"/>
              </w:rPr>
              <w:t xml:space="preserve">Procedure</w:t>
            </w:r>
          </w:p>
        </w:tc>
        <w:tc>
          <w:tcPr>
            <w:tcW w:type="dxa" w:w="3009"/>
            <w:shd w:val="clear" w:color="auto" w:fill="DEEAF6"/>
          </w:tcPr>
          <w:p>
            <w:pPr>
              <w:spacing w:after="20" w:before="20"/>
            </w:pPr>
            <w:r>
              <w:rPr>
                <w:b/>
                <w:sz w:val="18"/>
                <w:szCs w:val="18"/>
              </w:rPr>
              <w:t xml:space="preserve">What it does</w:t>
            </w:r>
          </w:p>
        </w:tc>
        <w:tc>
          <w:tcPr>
            <w:tcW w:type="dxa" w:w="4112"/>
            <w:shd w:val="clear" w:color="auto" w:fill="DEEAF6"/>
          </w:tcPr>
          <w:p>
            <w:pPr>
              <w:spacing w:after="20" w:before="20"/>
            </w:pPr>
            <w:r>
              <w:rPr>
                <w:b/>
                <w:sz w:val="18"/>
                <w:szCs w:val="18"/>
              </w:rPr>
              <w:t xml:space="preserve">What it is really worth</w:t>
            </w:r>
          </w:p>
        </w:tc>
      </w:tr>
      <w:tr>
        <w:tc>
          <w:tcPr>
            <w:tcW w:type="dxa" w:w="1905"/>
          </w:tcPr>
          <w:p>
            <w:pPr>
              <w:spacing w:after="20" w:before="20"/>
            </w:pPr>
            <w:r>
              <w:rPr>
                <w:b/>
                <w:sz w:val="18"/>
                <w:szCs w:val="18"/>
              </w:rPr>
              <w:t xml:space="preserve">SOAK</w:t>
            </w:r>
            <w:r>
              <w:rPr>
                <w:sz w:val="18"/>
                <w:szCs w:val="18"/>
              </w:rPr>
              <w:t xml:space="preserve"> — isothermal offset</w:t>
            </w:r>
          </w:p>
        </w:tc>
        <w:tc>
          <w:tcPr>
            <w:tcW w:type="dxa" w:w="3009"/>
          </w:tcPr>
          <w:p>
            <w:pPr>
              <w:spacing w:after="20" w:before="20"/>
            </w:pPr>
            <w:r>
              <w:rPr>
                <w:sz w:val="18"/>
                <w:szCs w:val="18"/>
              </w:rPr>
              <w:t xml:space="preserve">Before anything is powered the rig genuinely is isothermal. Log every sensor at ambient for a while; store the per-sensor offsets.</w:t>
            </w:r>
          </w:p>
        </w:tc>
        <w:tc>
          <w:tcPr>
            <w:tcW w:type="dxa" w:w="4112"/>
          </w:tcPr>
          <w:p>
            <w:pPr>
              <w:spacing w:after="20" w:before="20"/>
            </w:pPr>
            <w:r>
              <w:rPr>
                <w:sz w:val="18"/>
                <w:szCs w:val="18"/>
              </w:rPr>
              <w:t xml:space="preserve">Three payoffs from one procedure: relative calibration (group mismatch drops from ≈ 0.14 K to the parts' repeatability); a </w:t>
            </w:r>
            <w:r>
              <w:rPr>
                <w:b/>
                <w:sz w:val="18"/>
                <w:szCs w:val="18"/>
              </w:rPr>
              <w:t xml:space="preserve">wiring self-test</w:t>
            </w:r>
            <w:r>
              <w:rPr>
                <w:sz w:val="18"/>
                <w:szCs w:val="18"/>
              </w:rPr>
              <w:t xml:space="preserve">, since a swapped sensor or a duplicated address shows up as an outlier against a set that must physically agree; and its short form becomes the self-test's plausibility gate. Averaging is </w:t>
            </w:r>
            <w:r>
              <w:rPr>
                <w:b/>
                <w:sz w:val="18"/>
                <w:szCs w:val="18"/>
              </w:rPr>
              <w:t xml:space="preserve">not</w:t>
            </w:r>
            <w:r>
              <w:rPr>
                <w:sz w:val="18"/>
                <w:szCs w:val="18"/>
              </w:rPr>
              <w:t xml:space="preserve"> a substitute — parts from one reel have correlated offsets.</w:t>
            </w:r>
          </w:p>
        </w:tc>
      </w:tr>
      <w:tr>
        <w:tc>
          <w:tcPr>
            <w:tcW w:type="dxa" w:w="1905"/>
          </w:tcPr>
          <w:p>
            <w:pPr>
              <w:spacing w:after="20" w:before="20"/>
            </w:pPr>
            <w:r>
              <w:rPr>
                <w:b/>
                <w:sz w:val="18"/>
                <w:szCs w:val="18"/>
              </w:rPr>
              <w:t xml:space="preserve">TARE</w:t>
            </w:r>
            <w:r>
              <w:rPr>
                <w:sz w:val="18"/>
                <w:szCs w:val="18"/>
              </w:rPr>
              <w:t xml:space="preserve"> — the ΔT zero</w:t>
            </w:r>
          </w:p>
        </w:tc>
        <w:tc>
          <w:tcPr>
            <w:tcW w:type="dxa" w:w="3009"/>
          </w:tcPr>
          <w:p>
            <w:pPr>
              <w:spacing w:after="20" w:before="20"/>
            </w:pPr>
            <w:r>
              <w:rPr>
                <w:sz w:val="18"/>
                <w:szCs w:val="18"/>
              </w:rPr>
              <w:t xml:space="preserve">Pump running at the point's flow, DUT off, heaters off, guard off: the ΔT reading should be zero. Whatever it reads is the tare.</w:t>
            </w:r>
          </w:p>
        </w:tc>
        <w:tc>
          <w:tcPr>
            <w:tcW w:type="dxa" w:w="4112"/>
          </w:tcPr>
          <w:p>
            <w:pPr>
              <w:spacing w:after="20" w:before="20"/>
            </w:pPr>
            <w:r>
              <w:rPr>
                <w:sz w:val="18"/>
                <w:szCs w:val="18"/>
              </w:rPr>
              <w:t xml:space="preserve">It absorbs more than probe mismatch — pump work and tube heat exchange too, both </w:t>
            </w:r>
            <w:r>
              <w:rPr>
                <w:b/>
                <w:sz w:val="18"/>
                <w:szCs w:val="18"/>
              </w:rPr>
              <w:t xml:space="preserve">flow dependent</w:t>
            </w:r>
            <w:r>
              <w:rPr>
                <w:sz w:val="18"/>
                <w:szCs w:val="18"/>
              </w:rPr>
              <w:t xml:space="preserve">. About 0.5 W of pump work at 300 mL/min is 26 mK, the same order as the quantity being measured. The tare table is therefore indexed by flow range and auto-ranging must re-select it; </w:t>
            </w:r>
            <w:r>
              <w:rPr>
                <w:b/>
                <w:sz w:val="18"/>
                <w:szCs w:val="18"/>
              </w:rPr>
              <w:t xml:space="preserve">never carry one tare across ranges.</w:t>
            </w:r>
          </w:p>
        </w:tc>
      </w:tr>
      <w:tr>
        <w:tc>
          <w:tcPr>
            <w:tcW w:type="dxa" w:w="1905"/>
          </w:tcPr>
          <w:p>
            <w:pPr>
              <w:spacing w:after="20" w:before="20"/>
            </w:pPr>
            <w:r>
              <w:rPr>
                <w:b/>
                <w:sz w:val="18"/>
                <w:szCs w:val="18"/>
              </w:rPr>
              <w:t xml:space="preserve">SUBST</w:t>
            </w:r>
            <w:r>
              <w:rPr>
                <w:sz w:val="18"/>
                <w:szCs w:val="18"/>
              </w:rPr>
              <w:t xml:space="preserve"> — substitution check</w:t>
            </w:r>
          </w:p>
        </w:tc>
        <w:tc>
          <w:tcPr>
            <w:tcW w:type="dxa" w:w="3009"/>
          </w:tcPr>
          <w:p>
            <w:pPr>
              <w:spacing w:after="20" w:before="20"/>
            </w:pPr>
            <w:r>
              <w:rPr>
                <w:sz w:val="18"/>
                <w:szCs w:val="18"/>
              </w:rPr>
              <w:t xml:space="preserve">Inject a known 100 W into the inner-chamber resistor and confirm the meter reads 100 W.</w:t>
            </w:r>
          </w:p>
        </w:tc>
        <w:tc>
          <w:tcPr>
            <w:tcW w:type="dxa" w:w="4112"/>
          </w:tcPr>
          <w:p>
            <w:pPr>
              <w:spacing w:after="20" w:before="20"/>
            </w:pPr>
            <w:r>
              <w:rPr>
                <w:sz w:val="18"/>
                <w:szCs w:val="18"/>
              </w:rPr>
              <w:t xml:space="preserve">This is the whole instrument in miniature, and it is bring-up rung F3. The result is </w:t>
            </w:r>
            <w:r>
              <w:rPr>
                <w:b/>
                <w:sz w:val="18"/>
                <w:szCs w:val="18"/>
              </w:rPr>
              <w:t xml:space="preserve">reported, never silently applied</w:t>
            </w:r>
            <w:r>
              <w:rPr>
                <w:sz w:val="18"/>
                <w:szCs w:val="18"/>
              </w:rPr>
              <w:t xml:space="preserve">: a scale correction is an operator decision with a paper trail, not something firmware does on its own.</w:t>
            </w:r>
          </w:p>
        </w:tc>
      </w:tr>
    </w:tbl>
    <w:p>
      <w:pPr>
        <w:spacing w:before="60" w:after="200"/>
        <w:jc w:val="left"/>
      </w:pPr>
      <w:r>
        <w:rPr>
          <w:sz w:val="18"/>
          <w:szCs w:val="18"/>
        </w:rPr>
        <w:t xml:space="preserve">Table 49. The three commissioning procedures, cheapest first. All three write to non-volatile storage and all three are reachable from any of the three operator interfaces.</w:t>
      </w:r>
    </w:p>
    <w:p>
      <w:pPr>
        <w:spacing w:after="120"/>
      </w:pPr>
      <w:r>
        <w:t xml:space="preserve">The dual role of the inner-chamber resistor is what makes SUBST possible at all: it is both the chamber preheater and the substitution reference, which is why its current sense is measurement-grade with Kelvin connections while the guard heater's is protection-grade. That distinction originates in §8 and is one of the few places where a firmware requirement drove a board decision rather than the other way round.</w:t>
      </w:r>
    </w:p>
    <w:p>
      <w:pPr>
        <w:pStyle w:val="Heading2"/>
      </w:pPr>
      <w:r>
        <w:t xml:space="preserve">Safety</w:t>
      </w:r>
    </w:p>
    <w:p>
      <w:pPr>
        <w:spacing w:after="120"/>
      </w:pPr>
      <w:r>
        <w:t xml:space="preserve">The rig has two 100 W barrel resistors on a 12 V rail — about 8.3 A each — inside a closed foam box whose entire purpose is to not lose heat. Safety is therefore partitioned by </w:t>
      </w:r>
      <w:r>
        <w:rPr>
          <w:b/>
        </w:rPr>
        <w:t xml:space="preserve">what each tier can still do when the tier above it has failed</w:t>
      </w:r>
      <w:r>
        <w:t xml:space="preserve">, not by severity.</w:t>
      </w:r>
    </w:p>
    <w:tbl>
      <w:tblPr>
        <w:tblStyle w:val="TableGrid"/>
        <w:tblW w:type="auto" w:w="0"/>
        <w:jc w:val="center"/>
        <w:tblLayout w:type="fixed"/>
        <w:tblLook w:firstColumn="1" w:firstRow="1" w:lastColumn="0" w:lastRow="0" w:noHBand="0" w:noVBand="1" w:val="04A0"/>
      </w:tblPr>
      <w:tblGrid>
        <w:gridCol w:w="702"/>
        <w:gridCol w:w="1103"/>
        <w:gridCol w:w="4012"/>
        <w:gridCol w:w="3209"/>
      </w:tblGrid>
      <w:tr>
        <w:trPr>
          <w:tblHeader w:val="true"/>
        </w:trPr>
        <w:tc>
          <w:tcPr>
            <w:tcW w:type="dxa" w:w="702"/>
            <w:shd w:val="clear" w:color="auto" w:fill="DEEAF6"/>
          </w:tcPr>
          <w:p>
            <w:pPr>
              <w:spacing w:after="20" w:before="20"/>
            </w:pPr>
            <w:r>
              <w:rPr>
                <w:b/>
                <w:sz w:val="18"/>
                <w:szCs w:val="18"/>
              </w:rPr>
              <w:t xml:space="preserve">Tier</w:t>
            </w:r>
          </w:p>
        </w:tc>
        <w:tc>
          <w:tcPr>
            <w:tcW w:type="dxa" w:w="1103"/>
            <w:shd w:val="clear" w:color="auto" w:fill="DEEAF6"/>
          </w:tcPr>
          <w:p>
            <w:pPr>
              <w:spacing w:after="20" w:before="20"/>
            </w:pPr>
            <w:r>
              <w:rPr>
                <w:b/>
                <w:sz w:val="18"/>
                <w:szCs w:val="18"/>
              </w:rPr>
              <w:t xml:space="preserve">Latency</w:t>
            </w:r>
          </w:p>
        </w:tc>
        <w:tc>
          <w:tcPr>
            <w:tcW w:type="dxa" w:w="4012"/>
            <w:shd w:val="clear" w:color="auto" w:fill="DEEAF6"/>
          </w:tcPr>
          <w:p>
            <w:pPr>
              <w:spacing w:after="20" w:before="20"/>
            </w:pPr>
            <w:r>
              <w:rPr>
                <w:b/>
                <w:sz w:val="18"/>
                <w:szCs w:val="18"/>
              </w:rPr>
              <w:t xml:space="preserve">Mechanism</w:t>
            </w:r>
          </w:p>
        </w:tc>
        <w:tc>
          <w:tcPr>
            <w:tcW w:type="dxa" w:w="3209"/>
            <w:shd w:val="clear" w:color="auto" w:fill="DEEAF6"/>
          </w:tcPr>
          <w:p>
            <w:pPr>
              <w:spacing w:after="20" w:before="20"/>
            </w:pPr>
            <w:r>
              <w:rPr>
                <w:b/>
                <w:sz w:val="18"/>
                <w:szCs w:val="18"/>
              </w:rPr>
              <w:t xml:space="preserve">What it covers</w:t>
            </w:r>
          </w:p>
        </w:tc>
      </w:tr>
      <w:tr>
        <w:tc>
          <w:tcPr>
            <w:tcW w:type="dxa" w:w="702"/>
          </w:tcPr>
          <w:p>
            <w:pPr>
              <w:spacing w:after="20" w:before="20"/>
            </w:pPr>
            <w:r>
              <w:rPr>
                <w:sz w:val="18"/>
                <w:szCs w:val="18"/>
              </w:rPr>
              <w:t xml:space="preserve">0</w:t>
            </w:r>
          </w:p>
        </w:tc>
        <w:tc>
          <w:tcPr>
            <w:tcW w:type="dxa" w:w="1103"/>
          </w:tcPr>
          <w:p>
            <w:pPr>
              <w:spacing w:after="20" w:before="20"/>
            </w:pPr>
            <w:r>
              <w:rPr>
                <w:sz w:val="18"/>
                <w:szCs w:val="18"/>
              </w:rPr>
              <w:t xml:space="preserve">instant</w:t>
            </w:r>
          </w:p>
        </w:tc>
        <w:tc>
          <w:tcPr>
            <w:tcW w:type="dxa" w:w="4012"/>
          </w:tcPr>
          <w:p>
            <w:pPr>
              <w:spacing w:after="20" w:before="20"/>
            </w:pPr>
            <w:r>
              <w:rPr>
                <w:b/>
                <w:sz w:val="18"/>
                <w:szCs w:val="18"/>
              </w:rPr>
              <w:t xml:space="preserve">Hardware only</w:t>
            </w:r>
            <w:r>
              <w:rPr>
                <w:sz w:val="18"/>
                <w:szCs w:val="18"/>
              </w:rPr>
              <w:t xml:space="preserve"> — bimetallic cutout in series with the heater 12 V, a fuse per rail, 10 kΩ gate pull-downs, the supply's own over-current protection</w:t>
            </w:r>
          </w:p>
        </w:tc>
        <w:tc>
          <w:tcPr>
            <w:tcW w:type="dxa" w:w="3209"/>
          </w:tcPr>
          <w:p>
            <w:pPr>
              <w:spacing w:after="20" w:before="20"/>
            </w:pPr>
            <w:r>
              <w:rPr>
                <w:sz w:val="18"/>
                <w:szCs w:val="18"/>
              </w:rPr>
              <w:t xml:space="preserve">firmware being wrong, hung, or absent altogether</w:t>
            </w:r>
          </w:p>
        </w:tc>
      </w:tr>
      <w:tr>
        <w:tc>
          <w:tcPr>
            <w:tcW w:type="dxa" w:w="702"/>
          </w:tcPr>
          <w:p>
            <w:pPr>
              <w:spacing w:after="20" w:before="20"/>
            </w:pPr>
            <w:r>
              <w:rPr>
                <w:sz w:val="18"/>
                <w:szCs w:val="18"/>
              </w:rPr>
              <w:t xml:space="preserve">1</w:t>
            </w:r>
          </w:p>
        </w:tc>
        <w:tc>
          <w:tcPr>
            <w:tcW w:type="dxa" w:w="1103"/>
          </w:tcPr>
          <w:p>
            <w:pPr>
              <w:spacing w:after="20" w:before="20"/>
            </w:pPr>
            <w:r>
              <w:rPr>
                <w:sz w:val="18"/>
                <w:szCs w:val="18"/>
              </w:rPr>
              <w:t xml:space="preserve">≤ 100 ms</w:t>
            </w:r>
          </w:p>
        </w:tc>
        <w:tc>
          <w:tcPr>
            <w:tcW w:type="dxa" w:w="4012"/>
          </w:tcPr>
          <w:p>
            <w:pPr>
              <w:spacing w:after="20" w:before="20"/>
            </w:pPr>
            <w:r>
              <w:rPr>
                <w:sz w:val="18"/>
                <w:szCs w:val="18"/>
              </w:rPr>
              <w:t xml:space="preserve">the </w:t>
            </w:r>
            <w:r>
              <w:rPr>
                <w:rFonts w:ascii="Consolas" w:hAnsi="Consolas"/>
                <w:sz w:val="17"/>
                <w:szCs w:val="17"/>
              </w:rPr>
              <w:t xml:space="preserve">safety</w:t>
            </w:r>
            <w:r>
              <w:rPr>
                <w:sz w:val="18"/>
                <w:szCs w:val="18"/>
              </w:rPr>
              <w:t xml:space="preserve"> thread at 10 Hz, priority 2, </w:t>
            </w:r>
            <w:r>
              <w:rPr>
                <w:b/>
                <w:sz w:val="18"/>
                <w:szCs w:val="18"/>
              </w:rPr>
              <w:t xml:space="preserve">bus-free</w:t>
            </w:r>
            <w:r>
              <w:rPr>
                <w:sz w:val="18"/>
                <w:szCs w:val="18"/>
              </w:rPr>
              <w:t xml:space="preserve">: the latched ALERT edge as a GPIO interrupt, over-temperature on cached values, staleness, watchdog feed</w:t>
            </w:r>
          </w:p>
        </w:tc>
        <w:tc>
          <w:tcPr>
            <w:tcW w:type="dxa" w:w="3209"/>
          </w:tcPr>
          <w:p>
            <w:pPr>
              <w:spacing w:after="20" w:before="20"/>
            </w:pPr>
            <w:r>
              <w:rPr>
                <w:sz w:val="18"/>
                <w:szCs w:val="18"/>
              </w:rPr>
              <w:t xml:space="preserve">electrical faults and frozen sensors</w:t>
            </w:r>
          </w:p>
        </w:tc>
      </w:tr>
      <w:tr>
        <w:tc>
          <w:tcPr>
            <w:tcW w:type="dxa" w:w="702"/>
          </w:tcPr>
          <w:p>
            <w:pPr>
              <w:spacing w:after="20" w:before="20"/>
            </w:pPr>
            <w:r>
              <w:rPr>
                <w:sz w:val="18"/>
                <w:szCs w:val="18"/>
              </w:rPr>
              <w:t xml:space="preserve">2</w:t>
            </w:r>
          </w:p>
        </w:tc>
        <w:tc>
          <w:tcPr>
            <w:tcW w:type="dxa" w:w="1103"/>
          </w:tcPr>
          <w:p>
            <w:pPr>
              <w:spacing w:after="20" w:before="20"/>
            </w:pPr>
            <w:r>
              <w:rPr>
                <w:sz w:val="18"/>
                <w:szCs w:val="18"/>
              </w:rPr>
              <w:t xml:space="preserve">≤ 1 s</w:t>
            </w:r>
          </w:p>
        </w:tc>
        <w:tc>
          <w:tcPr>
            <w:tcW w:type="dxa" w:w="4012"/>
          </w:tcPr>
          <w:p>
            <w:pPr>
              <w:spacing w:after="20" w:before="20"/>
            </w:pPr>
            <w:r>
              <w:rPr>
                <w:sz w:val="18"/>
                <w:szCs w:val="18"/>
              </w:rPr>
              <w:t xml:space="preserve">the supervisor: gate violations, sustained actuator saturation, command-versus-measurement flow mismatch</w:t>
            </w:r>
          </w:p>
        </w:tc>
        <w:tc>
          <w:tcPr>
            <w:tcW w:type="dxa" w:w="3209"/>
          </w:tcPr>
          <w:p>
            <w:pPr>
              <w:spacing w:after="20" w:before="20"/>
            </w:pPr>
            <w:r>
              <w:rPr>
                <w:sz w:val="18"/>
                <w:szCs w:val="18"/>
              </w:rPr>
              <w:t xml:space="preserve">measurement faults — abort the point, which may or may not mean removing power</w:t>
            </w:r>
          </w:p>
        </w:tc>
      </w:tr>
    </w:tbl>
    <w:p>
      <w:pPr>
        <w:spacing w:before="60" w:after="200"/>
        <w:jc w:val="left"/>
      </w:pPr>
      <w:r>
        <w:rPr>
          <w:sz w:val="18"/>
          <w:szCs w:val="18"/>
        </w:rPr>
        <w:t xml:space="preserve">Table 50. The three safety tiers. Tier 0 is the only one that survives the firmware not running, which is why the gate pull-downs and the thermal cutout are not optional.</w:t>
      </w:r>
    </w:p>
    <w:p>
      <w:pPr>
        <w:spacing w:after="120"/>
      </w:pPr>
      <w:r>
        <w:rPr>
          <w:b/>
        </w:rPr>
        <w:t xml:space="preserve">The rule that makes the partition worth having is that </w:t>
      </w:r>
      <w:r>
        <w:rPr>
          <w:rFonts w:ascii="Consolas" w:hAnsi="Consolas"/>
          <w:b/>
          <w:sz w:val="19"/>
          <w:szCs w:val="19"/>
        </w:rPr>
        <w:t xml:space="preserve">safety</w:t>
      </w:r>
      <w:r>
        <w:rPr>
          <w:b/>
        </w:rPr>
        <w:t xml:space="preserve"> never touches a bus.</w:t>
      </w:r>
      <w:r>
        <w:t xml:space="preserve"> It reads GPIO lines and the last cached values with their timestamps, and nothing else. A hung I²C bus therefore cannot hang the safety thread — which is precisely the failure being protected against, because a hung bus is also what freezes the value the guard integrator is accumulating against (§9.6).</w:t>
      </w:r>
    </w:p>
    <w:p>
      <w:pPr>
        <w:pStyle w:val="Heading3"/>
      </w:pPr>
      <w:r>
        <w:t xml:space="preserve">The heater interlock</w:t>
      </w:r>
    </w:p>
    <w:p>
      <w:pPr>
        <w:spacing w:after="120"/>
      </w:pPr>
      <w:r>
        <w:t xml:space="preserve">Heaters may be energised only when </w:t>
      </w:r>
      <w:r>
        <w:rPr>
          <w:b/>
        </w:rPr>
        <w:t xml:space="preserve">all four</w:t>
      </w:r>
      <w:r>
        <w:t xml:space="preserve"> of the following hold:</w:t>
      </w:r>
    </w:p>
    <w:p>
      <w:pPr>
        <w:spacing w:after="60" w:before="0"/>
        <w:ind w:left="792" w:hanging="432"/>
      </w:pPr>
      <w:r>
        <w:t xml:space="preserve">1.</w:t>
      </w:r>
      <w:r>
        <w:tab/>
      </w:r>
      <w:r>
        <w:t xml:space="preserve">no fault is latched;</w:t>
      </w:r>
    </w:p>
    <w:p>
      <w:pPr>
        <w:spacing w:after="60" w:before="0"/>
        <w:ind w:left="792" w:hanging="432"/>
      </w:pPr>
      <w:r>
        <w:t xml:space="preserve">2.</w:t>
      </w:r>
      <w:r>
        <w:tab/>
      </w:r>
      <w:r>
        <w:t xml:space="preserve">both chamber sensors are valid </w:t>
      </w:r>
      <w:r>
        <w:rPr>
          <w:b/>
        </w:rPr>
        <w:t xml:space="preserve">and fresher than three ticks</w:t>
      </w:r>
      <w:r>
        <w:t xml:space="preserve">;</w:t>
      </w:r>
    </w:p>
    <w:p>
      <w:pPr>
        <w:spacing w:after="60" w:before="0"/>
        <w:ind w:left="792" w:hanging="432"/>
      </w:pPr>
      <w:r>
        <w:t xml:space="preserve">3.</w:t>
      </w:r>
      <w:r>
        <w:tab/>
      </w:r>
      <w:r>
        <w:t xml:space="preserve">every node temperature is below its limit (80 °C chamber and guard, 70 °C water, 85 °C board);</w:t>
      </w:r>
    </w:p>
    <w:p>
      <w:pPr>
        <w:spacing w:after="60" w:before="0"/>
        <w:ind w:left="792" w:hanging="432"/>
      </w:pPr>
      <w:r>
        <w:t xml:space="preserve">4.</w:t>
      </w:r>
      <w:r>
        <w:tab/>
      </w:r>
      <w:r>
        <w:t xml:space="preserve">flow is above the minimum.</w:t>
      </w:r>
    </w:p>
    <w:p>
      <w:pPr>
        <w:spacing w:after="120"/>
      </w:pPr>
      <w:r>
        <w:t xml:space="preserve">The second clause is the one that gets left out of interlocks, and it is the one that matters most here for the reason given in §9.6: a hung bus reports the last value forever, and a plausible constant is exactly what a PI controller will happily integrate against. The interlock is evaluated by the supervisor and reported as an answer, not requested as a favour — </w:t>
      </w:r>
      <w:r>
        <w:rPr>
          <w:rFonts w:ascii="Consolas" w:hAnsi="Consolas"/>
          <w:sz w:val="19"/>
          <w:szCs w:val="19"/>
        </w:rPr>
        <w:t xml:space="preserve">heaters_set_power()</w:t>
      </w:r>
      <w:r>
        <w:t xml:space="preserve"> states a demand in watts, and whether any of it reaches a gate is decided elsewhere.</w:t>
      </w:r>
    </w:p>
    <w:p>
      <w:pPr>
        <w:pStyle w:val="Heading3"/>
      </w:pPr>
      <w:r>
        <w:t xml:space="preserve">The over-current trip, and one gap in the Zephyr driver</w:t>
      </w:r>
    </w:p>
    <w:p>
      <w:pPr>
        <w:spacing w:after="120"/>
      </w:pPr>
      <w:r>
        <w:t xml:space="preserve">Zephyr's </w:t>
      </w:r>
      <w:r>
        <w:rPr>
          <w:rFonts w:ascii="Consolas" w:hAnsi="Consolas"/>
          <w:sz w:val="19"/>
          <w:szCs w:val="19"/>
        </w:rPr>
        <w:t xml:space="preserve">ti,ina226</w:t>
      </w:r>
      <w:r>
        <w:t xml:space="preserve"> driver exposes no threshold attribute — its attribute handler covers only the configuration, calibration and ADC-configuration registers — so arming the part's own comparator is not reachable through the sensor API. The firmware therefore writes the INA226's Mask/Enable and Alert Limit registers </w:t>
      </w:r>
      <w:r>
        <w:rPr>
          <w:b/>
        </w:rPr>
        <w:t xml:space="preserve">directly</w:t>
      </w:r>
      <w:r>
        <w:t xml:space="preserve">, over the </w:t>
      </w:r>
      <w:r>
        <w:rPr>
          <w:rFonts w:ascii="Consolas" w:hAnsi="Consolas"/>
          <w:sz w:val="19"/>
          <w:szCs w:val="19"/>
        </w:rPr>
        <w:t xml:space="preserve">i2c_dt_spec</w:t>
      </w:r>
      <w:r>
        <w:t xml:space="preserve"> obtained from the same devicetree node the driver is bound to: shunt-over-voltage with latch, the limit computed as I·R divided by the 2.5 µV LSB. Both heater rails are armed at 12 A at boot — 100 W at 12 V is 8.3 A, and 12 A leaves inrush headroom while staying under both the MOSFET and the channel fuse.</w:t>
      </w:r>
    </w:p>
    <w:p>
      <w:pPr>
        <w:spacing w:after="120"/>
      </w:pPr>
      <w:r>
        <w:t xml:space="preserve">Once armed, </w:t>
      </w:r>
      <w:r>
        <w:rPr>
          <w:b/>
        </w:rPr>
        <w:t xml:space="preserve">the trip is performed by the chip</w:t>
      </w:r>
      <w:r>
        <w:t xml:space="preserve">. The firmware's only remaining job is to latch the resulting GPIO edge, which is exactly why the bus-free safety thread can act on it. This is the single strongest argument for spending the spare pin on ALERT (§9.4).</w:t>
      </w:r>
    </w:p>
    <w:p>
      <w:pPr>
        <w:pStyle w:val="Heading3"/>
      </w:pPr>
      <w:r>
        <w:t xml:space="preserve">Watchdog, self-test and the fault set</w:t>
      </w:r>
    </w:p>
    <w:p>
      <w:pPr>
        <w:spacing w:after="120"/>
      </w:pPr>
      <w:r>
        <w:t xml:space="preserve">A hardware watchdog runs on a 3 s window and is fed by </w:t>
      </w:r>
      <w:r>
        <w:rPr>
          <w:rFonts w:ascii="Consolas" w:hAnsi="Consolas"/>
          <w:sz w:val="19"/>
          <w:szCs w:val="19"/>
        </w:rPr>
        <w:t xml:space="preserve">safety</w:t>
      </w:r>
      <w:r>
        <w:t xml:space="preserve"> </w:t>
      </w:r>
      <w:r>
        <w:rPr>
          <w:b/>
        </w:rPr>
        <w:t xml:space="preserve">only when the control thread has checked in</w:t>
      </w:r>
      <w:r>
        <w:t xml:space="preserve"> within three ticks. A hung control loop therefore resets the board, and the external gate pull-downs make a reset mean heaters off. This must be tested by injecting an infinite loop at bring-up rung F8; an untested watchdog is decoration.</w:t>
      </w:r>
    </w:p>
    <w:tbl>
      <w:tblPr>
        <w:tblStyle w:val="TableGrid"/>
        <w:tblW w:type="auto" w:w="0"/>
        <w:jc w:val="center"/>
        <w:tblLayout w:type="fixed"/>
        <w:tblLook w:firstColumn="1" w:firstRow="1" w:lastColumn="0" w:lastRow="0" w:noHBand="0" w:noVBand="1" w:val="04A0"/>
      </w:tblPr>
      <w:tblGrid>
        <w:gridCol w:w="602"/>
        <w:gridCol w:w="2407"/>
        <w:gridCol w:w="6017"/>
      </w:tblGrid>
      <w:tr>
        <w:trPr>
          <w:tblHeader w:val="true"/>
        </w:trPr>
        <w:tc>
          <w:tcPr>
            <w:tcW w:type="dxa" w:w="602"/>
            <w:shd w:val="clear" w:color="auto" w:fill="DEEAF6"/>
          </w:tcPr>
          <w:p>
            <w:pPr>
              <w:spacing w:after="20" w:before="20"/>
            </w:pPr>
            <w:r>
              <w:rPr>
                <w:b/>
                <w:sz w:val="18"/>
                <w:szCs w:val="18"/>
              </w:rPr>
              <w:t xml:space="preserve">#</w:t>
            </w:r>
          </w:p>
        </w:tc>
        <w:tc>
          <w:tcPr>
            <w:tcW w:type="dxa" w:w="2407"/>
            <w:shd w:val="clear" w:color="auto" w:fill="DEEAF6"/>
          </w:tcPr>
          <w:p>
            <w:pPr>
              <w:spacing w:after="20" w:before="20"/>
            </w:pPr>
            <w:r>
              <w:rPr>
                <w:b/>
                <w:sz w:val="18"/>
                <w:szCs w:val="18"/>
              </w:rPr>
              <w:t xml:space="preserve">Self-test step</w:t>
            </w:r>
          </w:p>
        </w:tc>
        <w:tc>
          <w:tcPr>
            <w:tcW w:type="dxa" w:w="6017"/>
            <w:shd w:val="clear" w:color="auto" w:fill="DEEAF6"/>
          </w:tcPr>
          <w:p>
            <w:pPr>
              <w:spacing w:after="20" w:before="20"/>
            </w:pPr>
            <w:r>
              <w:rPr>
                <w:b/>
                <w:sz w:val="18"/>
                <w:szCs w:val="18"/>
              </w:rPr>
              <w:t xml:space="preserve">Passes when</w:t>
            </w:r>
          </w:p>
        </w:tc>
      </w:tr>
      <w:tr>
        <w:tc>
          <w:tcPr>
            <w:tcW w:type="dxa" w:w="602"/>
          </w:tcPr>
          <w:p>
            <w:pPr>
              <w:spacing w:after="20" w:before="20"/>
            </w:pPr>
            <w:r>
              <w:rPr>
                <w:sz w:val="18"/>
                <w:szCs w:val="18"/>
              </w:rPr>
              <w:t xml:space="preserve">1</w:t>
            </w:r>
          </w:p>
        </w:tc>
        <w:tc>
          <w:tcPr>
            <w:tcW w:type="dxa" w:w="2407"/>
          </w:tcPr>
          <w:p>
            <w:pPr>
              <w:spacing w:after="20" w:before="20"/>
            </w:pPr>
            <w:r>
              <w:rPr>
                <w:sz w:val="18"/>
                <w:szCs w:val="18"/>
              </w:rPr>
              <w:t xml:space="preserve">isothermal plausibility</w:t>
            </w:r>
          </w:p>
        </w:tc>
        <w:tc>
          <w:tcPr>
            <w:tcW w:type="dxa" w:w="6017"/>
          </w:tcPr>
          <w:p>
            <w:pPr>
              <w:spacing w:after="20" w:before="20"/>
            </w:pPr>
            <w:r>
              <w:rPr>
                <w:sz w:val="18"/>
                <w:szCs w:val="18"/>
              </w:rPr>
              <w:t xml:space="preserve">every sensor agrees with the group within tolerance — the short form of the SOAK procedure, and a wiring check</w:t>
            </w:r>
          </w:p>
        </w:tc>
      </w:tr>
      <w:tr>
        <w:tc>
          <w:tcPr>
            <w:tcW w:type="dxa" w:w="602"/>
          </w:tcPr>
          <w:p>
            <w:pPr>
              <w:spacing w:after="20" w:before="20"/>
            </w:pPr>
            <w:r>
              <w:rPr>
                <w:sz w:val="18"/>
                <w:szCs w:val="18"/>
              </w:rPr>
              <w:t xml:space="preserve">2</w:t>
            </w:r>
          </w:p>
        </w:tc>
        <w:tc>
          <w:tcPr>
            <w:tcW w:type="dxa" w:w="2407"/>
          </w:tcPr>
          <w:p>
            <w:pPr>
              <w:spacing w:after="20" w:before="20"/>
            </w:pPr>
            <w:r>
              <w:rPr>
                <w:sz w:val="18"/>
                <w:szCs w:val="18"/>
              </w:rPr>
              <w:t xml:space="preserve">stepper driver link</w:t>
            </w:r>
          </w:p>
        </w:tc>
        <w:tc>
          <w:tcPr>
            <w:tcW w:type="dxa" w:w="6017"/>
          </w:tcPr>
          <w:p>
            <w:pPr>
              <w:spacing w:after="20" w:before="20"/>
            </w:pPr>
            <w:r>
              <w:rPr>
                <w:sz w:val="18"/>
                <w:szCs w:val="18"/>
              </w:rPr>
              <w:t xml:space="preserve">the TMC5160 answers over SPI with the expected identity</w:t>
            </w:r>
          </w:p>
        </w:tc>
      </w:tr>
      <w:tr>
        <w:tc>
          <w:tcPr>
            <w:tcW w:type="dxa" w:w="602"/>
          </w:tcPr>
          <w:p>
            <w:pPr>
              <w:spacing w:after="20" w:before="20"/>
            </w:pPr>
            <w:r>
              <w:rPr>
                <w:sz w:val="18"/>
                <w:szCs w:val="18"/>
              </w:rPr>
              <w:t xml:space="preserve">3–5</w:t>
            </w:r>
          </w:p>
        </w:tc>
        <w:tc>
          <w:tcPr>
            <w:tcW w:type="dxa" w:w="2407"/>
          </w:tcPr>
          <w:p>
            <w:pPr>
              <w:spacing w:after="20" w:before="20"/>
            </w:pPr>
            <w:r>
              <w:rPr>
                <w:sz w:val="18"/>
                <w:szCs w:val="18"/>
              </w:rPr>
              <w:t xml:space="preserve">inner, guard and reject fans</w:t>
            </w:r>
          </w:p>
        </w:tc>
        <w:tc>
          <w:tcPr>
            <w:tcW w:type="dxa" w:w="6017"/>
          </w:tcPr>
          <w:p>
            <w:pPr>
              <w:spacing w:after="20" w:before="20"/>
            </w:pPr>
            <w:r>
              <w:rPr>
                <w:sz w:val="18"/>
                <w:szCs w:val="18"/>
              </w:rPr>
              <w:t xml:space="preserve">commanded to 60 %, then checked on </w:t>
            </w:r>
            <w:r>
              <w:rPr>
                <w:b/>
                <w:sz w:val="18"/>
                <w:szCs w:val="18"/>
              </w:rPr>
              <w:t xml:space="preserve">two</w:t>
            </w:r>
            <w:r>
              <w:rPr>
                <w:sz w:val="18"/>
                <w:szCs w:val="18"/>
              </w:rPr>
              <w:t xml:space="preserve"> independent signals: a tachometer edge rate, and rail current against the signature learned at this step</w:t>
            </w:r>
          </w:p>
        </w:tc>
      </w:tr>
      <w:tr>
        <w:tc>
          <w:tcPr>
            <w:tcW w:type="dxa" w:w="602"/>
          </w:tcPr>
          <w:p>
            <w:pPr>
              <w:spacing w:after="20" w:before="20"/>
            </w:pPr>
            <w:r>
              <w:rPr>
                <w:sz w:val="18"/>
                <w:szCs w:val="18"/>
              </w:rPr>
              <w:t xml:space="preserve">6</w:t>
            </w:r>
          </w:p>
        </w:tc>
        <w:tc>
          <w:tcPr>
            <w:tcW w:type="dxa" w:w="2407"/>
          </w:tcPr>
          <w:p>
            <w:pPr>
              <w:spacing w:after="20" w:before="20"/>
            </w:pPr>
            <w:r>
              <w:rPr>
                <w:sz w:val="18"/>
                <w:szCs w:val="18"/>
              </w:rPr>
              <w:t xml:space="preserve">pump and turbine</w:t>
            </w:r>
          </w:p>
        </w:tc>
        <w:tc>
          <w:tcPr>
            <w:tcW w:type="dxa" w:w="6017"/>
          </w:tcPr>
          <w:p>
            <w:pPr>
              <w:spacing w:after="20" w:before="20"/>
            </w:pPr>
            <w:r>
              <w:rPr>
                <w:sz w:val="18"/>
                <w:szCs w:val="18"/>
              </w:rPr>
              <w:t xml:space="preserve">a commanded step rate produces turbine pulses</w:t>
            </w:r>
          </w:p>
        </w:tc>
      </w:tr>
      <w:tr>
        <w:tc>
          <w:tcPr>
            <w:tcW w:type="dxa" w:w="602"/>
          </w:tcPr>
          <w:p>
            <w:pPr>
              <w:spacing w:after="20" w:before="20"/>
            </w:pPr>
            <w:r>
              <w:rPr>
                <w:sz w:val="18"/>
                <w:szCs w:val="18"/>
              </w:rPr>
              <w:t xml:space="preserve">7</w:t>
            </w:r>
          </w:p>
        </w:tc>
        <w:tc>
          <w:tcPr>
            <w:tcW w:type="dxa" w:w="2407"/>
          </w:tcPr>
          <w:p>
            <w:pPr>
              <w:spacing w:after="20" w:before="20"/>
            </w:pPr>
            <w:r>
              <w:rPr>
                <w:sz w:val="18"/>
                <w:szCs w:val="18"/>
              </w:rPr>
              <w:t xml:space="preserve">inner heater</w:t>
            </w:r>
          </w:p>
        </w:tc>
        <w:tc>
          <w:tcPr>
            <w:tcW w:type="dxa" w:w="6017"/>
          </w:tcPr>
          <w:p>
            <w:pPr>
              <w:spacing w:after="20" w:before="20"/>
            </w:pPr>
            <w:r>
              <w:rPr>
                <w:sz w:val="18"/>
                <w:szCs w:val="18"/>
              </w:rPr>
              <w:t xml:space="preserve">a short low-power pulse produces the expected rail power</w:t>
            </w:r>
          </w:p>
        </w:tc>
      </w:tr>
    </w:tbl>
    <w:p>
      <w:pPr>
        <w:spacing w:before="60" w:after="200"/>
        <w:jc w:val="left"/>
      </w:pPr>
      <w:r>
        <w:rPr>
          <w:sz w:val="18"/>
          <w:szCs w:val="18"/>
        </w:rPr>
        <w:t xml:space="preserve">Table 51. The power-on self-test. A failed row latches a fault and the supervisor does not reach IDLE.</w:t>
      </w:r>
    </w:p>
    <w:p>
      <w:pPr>
        <w:spacing w:after="120"/>
      </w:pPr>
      <w:r>
        <w:t xml:space="preserve">The fan check deserves a note because it is the one place where two mediocre signals beat one good one. A tachometer proves that </w:t>
      </w:r>
      <w:r>
        <w:rPr>
          <w:i/>
        </w:rPr>
        <w:t xml:space="preserve">something</w:t>
      </w:r>
      <w:r>
        <w:t xml:space="preserve"> in the chain turns; rail current compared against a learned signature is the only thing that can see </w:t>
      </w:r>
      <w:r>
        <w:rPr>
          <w:b/>
        </w:rPr>
        <w:t xml:space="preserve">one</w:t>
      </w:r>
      <w:r>
        <w:t xml:space="preserve"> stopped fan in a daisy chain of several. They fail differently, which is the whole reason for having both. A stalled inner-chamber fan is not a comfort issue: it silently breaks the single-node lumping assumption the entire model of §5 rests on, so it is raised as a </w:t>
      </w:r>
      <w:r>
        <w:rPr>
          <w:b/>
        </w:rPr>
        <w:t xml:space="preserve">measurement</w:t>
      </w:r>
      <w:r>
        <w:t xml:space="preserve"> fault even though nothing is unsafe.</w:t>
      </w:r>
    </w:p>
    <w:tbl>
      <w:tblPr>
        <w:tblStyle w:val="TableGrid"/>
        <w:tblW w:type="auto" w:w="0"/>
        <w:jc w:val="center"/>
        <w:tblLayout w:type="fixed"/>
        <w:tblLook w:firstColumn="1" w:firstRow="1" w:lastColumn="0" w:lastRow="0" w:noHBand="0" w:noVBand="1" w:val="04A0"/>
      </w:tblPr>
      <w:tblGrid>
        <w:gridCol w:w="702"/>
        <w:gridCol w:w="2307"/>
        <w:gridCol w:w="6017"/>
      </w:tblGrid>
      <w:tr>
        <w:trPr>
          <w:tblHeader w:val="true"/>
        </w:trPr>
        <w:tc>
          <w:tcPr>
            <w:tcW w:type="dxa" w:w="702"/>
            <w:shd w:val="clear" w:color="auto" w:fill="DEEAF6"/>
          </w:tcPr>
          <w:p>
            <w:pPr>
              <w:spacing w:after="20" w:before="20"/>
            </w:pPr>
            <w:r>
              <w:rPr>
                <w:b/>
                <w:sz w:val="18"/>
                <w:szCs w:val="18"/>
              </w:rPr>
              <w:t xml:space="preserve">Tier</w:t>
            </w:r>
          </w:p>
        </w:tc>
        <w:tc>
          <w:tcPr>
            <w:tcW w:type="dxa" w:w="2307"/>
            <w:shd w:val="clear" w:color="auto" w:fill="DEEAF6"/>
          </w:tcPr>
          <w:p>
            <w:pPr>
              <w:spacing w:after="20" w:before="20"/>
            </w:pPr>
            <w:r>
              <w:rPr>
                <w:b/>
                <w:sz w:val="18"/>
                <w:szCs w:val="18"/>
              </w:rPr>
              <w:t xml:space="preserve">Fault</w:t>
            </w:r>
          </w:p>
        </w:tc>
        <w:tc>
          <w:tcPr>
            <w:tcW w:type="dxa" w:w="6017"/>
            <w:shd w:val="clear" w:color="auto" w:fill="DEEAF6"/>
          </w:tcPr>
          <w:p>
            <w:pPr>
              <w:spacing w:after="20" w:before="20"/>
            </w:pPr>
            <w:r>
              <w:rPr>
                <w:b/>
                <w:sz w:val="18"/>
                <w:szCs w:val="18"/>
              </w:rPr>
              <w:t xml:space="preserve">Meaning</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ALERT pin</w:t>
            </w:r>
          </w:p>
        </w:tc>
        <w:tc>
          <w:tcPr>
            <w:tcW w:type="dxa" w:w="6017"/>
          </w:tcPr>
          <w:p>
            <w:pPr>
              <w:spacing w:after="20" w:before="20"/>
            </w:pPr>
            <w:r>
              <w:rPr>
                <w:sz w:val="18"/>
                <w:szCs w:val="18"/>
              </w:rPr>
              <w:t xml:space="preserve">the INA226 wired-OR line went active — a hardware over-current trip</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over-temperature</w:t>
            </w:r>
          </w:p>
        </w:tc>
        <w:tc>
          <w:tcPr>
            <w:tcW w:type="dxa" w:w="6017"/>
          </w:tcPr>
          <w:p>
            <w:pPr>
              <w:spacing w:after="20" w:before="20"/>
            </w:pPr>
            <w:r>
              <w:rPr>
                <w:sz w:val="18"/>
                <w:szCs w:val="18"/>
              </w:rPr>
              <w:t xml:space="preserve">a node above its limit</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sensor stale / sensor dead</w:t>
            </w:r>
          </w:p>
        </w:tc>
        <w:tc>
          <w:tcPr>
            <w:tcW w:type="dxa" w:w="6017"/>
          </w:tcPr>
          <w:p>
            <w:pPr>
              <w:spacing w:after="20" w:before="20"/>
            </w:pPr>
            <w:r>
              <w:rPr>
                <w:sz w:val="18"/>
                <w:szCs w:val="18"/>
              </w:rPr>
              <w:t xml:space="preserve">a required channel stopped updating, or failed N reads consecutively and is excluded for good</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control stalled</w:t>
            </w:r>
          </w:p>
        </w:tc>
        <w:tc>
          <w:tcPr>
            <w:tcW w:type="dxa" w:w="6017"/>
          </w:tcPr>
          <w:p>
            <w:pPr>
              <w:spacing w:after="20" w:before="20"/>
            </w:pPr>
            <w:r>
              <w:rPr>
                <w:sz w:val="18"/>
                <w:szCs w:val="18"/>
              </w:rPr>
              <w:t xml:space="preserve">the control thread missed its check-in; the watchdog is no longer being fed</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no flow</w:t>
            </w:r>
          </w:p>
        </w:tc>
        <w:tc>
          <w:tcPr>
            <w:tcW w:type="dxa" w:w="6017"/>
          </w:tcPr>
          <w:p>
            <w:pPr>
              <w:spacing w:after="20" w:before="20"/>
            </w:pPr>
            <w:r>
              <w:rPr>
                <w:sz w:val="18"/>
                <w:szCs w:val="18"/>
              </w:rPr>
              <w:t xml:space="preserve">flow below the interlock minimum with heaters requested</w:t>
            </w:r>
          </w:p>
        </w:tc>
      </w:tr>
      <w:tr>
        <w:tc>
          <w:tcPr>
            <w:tcW w:type="dxa" w:w="702"/>
          </w:tcPr>
          <w:p>
            <w:pPr>
              <w:spacing w:after="20" w:before="20"/>
            </w:pPr>
            <w:r>
              <w:rPr>
                <w:sz w:val="18"/>
                <w:szCs w:val="18"/>
              </w:rPr>
              <w:t xml:space="preserve">1</w:t>
            </w:r>
          </w:p>
        </w:tc>
        <w:tc>
          <w:tcPr>
            <w:tcW w:type="dxa" w:w="2307"/>
          </w:tcPr>
          <w:p>
            <w:pPr>
              <w:spacing w:after="20" w:before="20"/>
            </w:pPr>
            <w:r>
              <w:rPr>
                <w:sz w:val="18"/>
                <w:szCs w:val="18"/>
              </w:rPr>
              <w:t xml:space="preserve">self-test failed / board over-temperature</w:t>
            </w:r>
          </w:p>
        </w:tc>
        <w:tc>
          <w:tcPr>
            <w:tcW w:type="dxa" w:w="6017"/>
          </w:tcPr>
          <w:p>
            <w:pPr>
              <w:spacing w:after="20" w:before="20"/>
            </w:pPr>
            <w:r>
              <w:rPr>
                <w:sz w:val="18"/>
                <w:szCs w:val="18"/>
              </w:rPr>
              <w:t xml:space="preserve">a self-test row failed; or the MOSFET heatsink is above 85 °C</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integrator pinned</w:t>
            </w:r>
          </w:p>
        </w:tc>
        <w:tc>
          <w:tcPr>
            <w:tcW w:type="dxa" w:w="6017"/>
          </w:tcPr>
          <w:p>
            <w:pPr>
              <w:spacing w:after="20" w:before="20"/>
            </w:pPr>
            <w:r>
              <w:rPr>
                <w:sz w:val="18"/>
                <w:szCs w:val="18"/>
              </w:rPr>
              <w:t xml:space="preserve">the guard demand sat at a rail for more than five minutes — </w:t>
            </w:r>
            <w:r>
              <w:rPr>
                <w:b/>
                <w:sz w:val="18"/>
                <w:szCs w:val="18"/>
              </w:rPr>
              <w:t xml:space="preserve">the null cannot be reached, so the reading is biased by an unknown amount</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flow mismatch</w:t>
            </w:r>
          </w:p>
        </w:tc>
        <w:tc>
          <w:tcPr>
            <w:tcW w:type="dxa" w:w="6017"/>
          </w:tcPr>
          <w:p>
            <w:pPr>
              <w:spacing w:after="20" w:before="20"/>
            </w:pPr>
            <w:r>
              <w:rPr>
                <w:sz w:val="18"/>
                <w:szCs w:val="18"/>
              </w:rPr>
              <w:t xml:space="preserve">commanded and measured flow disagree by more than 35 % for a sustained period — a slipped tube, an air lock or an occlusion</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null breach</w:t>
            </w:r>
          </w:p>
        </w:tc>
        <w:tc>
          <w:tcPr>
            <w:tcW w:type="dxa" w:w="6017"/>
          </w:tcPr>
          <w:p>
            <w:pPr>
              <w:spacing w:after="20" w:before="20"/>
            </w:pPr>
            <w:r>
              <w:rPr>
                <w:sz w:val="18"/>
                <w:szCs w:val="18"/>
              </w:rPr>
              <w:t xml:space="preserve">the null gate was breached past the settling budget (see below)</w:t>
            </w:r>
          </w:p>
        </w:tc>
      </w:tr>
      <w:tr>
        <w:tc>
          <w:tcPr>
            <w:tcW w:type="dxa" w:w="702"/>
          </w:tcPr>
          <w:p>
            <w:pPr>
              <w:spacing w:after="20" w:before="20"/>
            </w:pPr>
            <w:r>
              <w:rPr>
                <w:sz w:val="18"/>
                <w:szCs w:val="18"/>
              </w:rPr>
              <w:t xml:space="preserve">2</w:t>
            </w:r>
          </w:p>
        </w:tc>
        <w:tc>
          <w:tcPr>
            <w:tcW w:type="dxa" w:w="2307"/>
          </w:tcPr>
          <w:p>
            <w:pPr>
              <w:spacing w:after="20" w:before="20"/>
            </w:pPr>
            <w:r>
              <w:rPr>
                <w:sz w:val="18"/>
                <w:szCs w:val="18"/>
              </w:rPr>
              <w:t xml:space="preserve">fan health</w:t>
            </w:r>
          </w:p>
        </w:tc>
        <w:tc>
          <w:tcPr>
            <w:tcW w:type="dxa" w:w="6017"/>
          </w:tcPr>
          <w:p>
            <w:pPr>
              <w:spacing w:after="20" w:before="20"/>
            </w:pPr>
            <w:r>
              <w:rPr>
                <w:sz w:val="18"/>
                <w:szCs w:val="18"/>
              </w:rPr>
              <w:t xml:space="preserve">a fan stopped: no tachometer edges, or rail current below its learned signature</w:t>
            </w:r>
          </w:p>
        </w:tc>
      </w:tr>
    </w:tbl>
    <w:p>
      <w:pPr>
        <w:spacing w:before="60" w:after="200"/>
        <w:jc w:val="left"/>
      </w:pPr>
      <w:r>
        <w:rPr>
          <w:sz w:val="18"/>
          <w:szCs w:val="18"/>
        </w:rPr>
        <w:t xml:space="preserve">Table 52. The latched fault set. Tier-1 faults remove the outputs immediately; tier-2 faults abort the point. Clearing any of them is always an explicit operator action, never automatic.</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Transient null-gate breaches are physics, not faults — and getting this wrong faults out the first run</w:t>
            </w:r>
          </w:p>
          <w:p>
            <w:pPr>
              <w:spacing w:after="40"/>
            </w:pPr>
            <w:r>
              <w:rPr>
                <w:sz w:val="19"/>
                <w:szCs w:val="19"/>
              </w:rPr>
              <w:t xml:space="preserve">§7.7 records that the transient null error grows with power and crosses the 1.79 K gate above about 100 W, peaking near 1.91 K at 150 W. The mechanism is structural: the reference the guard must follow — the chamber air, τ ≈ 16 s — moves about twenty times faster than the loop that follows it, whose designed closed-loop time constant is 60 s against an open-loop τ</w:t>
            </w:r>
            <w:r>
              <w:rPr>
                <w:sz w:val="19"/>
                <w:szCs w:val="19"/>
                <w:vertAlign w:val="subscript"/>
              </w:rPr>
              <w:t xml:space="preserve">e</w:t>
            </w:r>
            <w:r>
              <w:rPr>
                <w:sz w:val="19"/>
                <w:szCs w:val="19"/>
              </w:rPr>
              <w:t xml:space="preserve"> of 297 s.</w:t>
            </w:r>
          </w:p>
          <w:p>
            <w:pPr>
              <w:spacing w:after="40"/>
            </w:pPr>
            <w:r>
              <w:rPr>
                <w:sz w:val="19"/>
                <w:szCs w:val="19"/>
              </w:rPr>
              <w:t xml:space="preserve">It costs schedule, not accuracy, because the gates already forbid logging while it lasts. The firmware therefore raises a null-breach fault </w:t>
            </w:r>
            <w:r>
              <w:rPr>
                <w:b/>
                <w:sz w:val="19"/>
                <w:szCs w:val="19"/>
              </w:rPr>
              <w:t xml:space="preserve">only after the settling budget expires</w:t>
            </w:r>
            <w:r>
              <w:rPr>
                <w:sz w:val="19"/>
                <w:szCs w:val="19"/>
              </w:rPr>
              <w:t xml:space="preserve"> — 90 minutes, past the 63.6-minute cold corner of §7.7. A gate that latches on the first breach would fault the instrument out on its own physics at every point above 100 W.</w:t>
            </w:r>
          </w:p>
        </w:tc>
      </w:tr>
    </w:tbl>
    <w:p/>
    <w:p>
      <w:pPr>
        <w:pStyle w:val="Heading2"/>
      </w:pPr>
      <w:r>
        <w:t xml:space="preserve">Operator interfaces and telemetry</w:t>
      </w:r>
    </w:p>
    <w:p>
      <w:pPr>
        <w:spacing w:after="120"/>
      </w:pPr>
      <w:r>
        <w:t xml:space="preserve">There are three ways to operate the rig — the panel, the serial console and the browser — and </w:t>
      </w:r>
      <w:r>
        <w:rPr>
          <w:b/>
        </w:rPr>
        <w:t xml:space="preserve">all three funnel into one function.</w:t>
      </w:r>
      <w:r>
        <w:t xml:space="preserve"> Every operator action becomes a command structure carrying its origin and is submitted through a single entry point; the supervisor's interlocks then decide whether it is honoured, never the transport it arrived on. "Local has priority" is true by construction rather than by a trust flag: there is no second path to an actuator for a remote command to take.</w:t>
      </w:r>
    </w:p>
    <w:p>
      <w:pPr>
        <w:pStyle w:val="Heading3"/>
      </w:pPr>
      <w:r>
        <w:t xml:space="preserve">The panel</w:t>
      </w:r>
    </w:p>
    <w:tbl>
      <w:tblPr>
        <w:tblStyle w:val="TableGrid"/>
        <w:tblW w:type="auto" w:w="0"/>
        <w:jc w:val="center"/>
        <w:tblLayout w:type="fixed"/>
        <w:tblLook w:firstColumn="1" w:firstRow="1" w:lastColumn="0" w:lastRow="0" w:noHBand="0" w:noVBand="1" w:val="04A0"/>
      </w:tblPr>
      <w:tblGrid>
        <w:gridCol w:w="1203"/>
        <w:gridCol w:w="7823"/>
      </w:tblGrid>
      <w:tr>
        <w:trPr>
          <w:tblHeader w:val="true"/>
        </w:trPr>
        <w:tc>
          <w:tcPr>
            <w:tcW w:type="dxa" w:w="1203"/>
            <w:shd w:val="clear" w:color="auto" w:fill="DEEAF6"/>
          </w:tcPr>
          <w:p>
            <w:pPr>
              <w:spacing w:after="20" w:before="20"/>
            </w:pPr>
            <w:r>
              <w:rPr>
                <w:b/>
                <w:sz w:val="18"/>
                <w:szCs w:val="18"/>
              </w:rPr>
              <w:t xml:space="preserve">Screen</w:t>
            </w:r>
          </w:p>
        </w:tc>
        <w:tc>
          <w:tcPr>
            <w:tcW w:type="dxa" w:w="7823"/>
            <w:shd w:val="clear" w:color="auto" w:fill="DEEAF6"/>
          </w:tcPr>
          <w:p>
            <w:pPr>
              <w:spacing w:after="20" w:before="20"/>
            </w:pPr>
            <w:r>
              <w:rPr>
                <w:b/>
                <w:sz w:val="18"/>
                <w:szCs w:val="18"/>
              </w:rPr>
              <w:t xml:space="preserve">Contents</w:t>
            </w:r>
          </w:p>
        </w:tc>
      </w:tr>
      <w:tr>
        <w:tc>
          <w:tcPr>
            <w:tcW w:type="dxa" w:w="1203"/>
          </w:tcPr>
          <w:p>
            <w:pPr>
              <w:spacing w:after="20" w:before="20"/>
            </w:pPr>
            <w:r>
              <w:rPr>
                <w:b/>
                <w:sz w:val="18"/>
                <w:szCs w:val="18"/>
              </w:rPr>
              <w:t xml:space="preserve">RUN</w:t>
            </w:r>
          </w:p>
        </w:tc>
        <w:tc>
          <w:tcPr>
            <w:tcW w:type="dxa" w:w="7823"/>
          </w:tcPr>
          <w:p>
            <w:pPr>
              <w:spacing w:after="20" w:before="20"/>
            </w:pPr>
            <w:r>
              <w:rPr>
                <w:sz w:val="18"/>
                <w:szCs w:val="18"/>
              </w:rPr>
              <w:t xml:space="preserve">the supervisor state; the reading in 28 px; the observer estimate or the last logged point with its standard error; both gate chips with their live values; the four temperatures; progress bars for the inner heater, the guard heater, the fans and the pump; a fault banner</w:t>
            </w:r>
          </w:p>
        </w:tc>
      </w:tr>
      <w:tr>
        <w:tc>
          <w:tcPr>
            <w:tcW w:type="dxa" w:w="1203"/>
          </w:tcPr>
          <w:p>
            <w:pPr>
              <w:spacing w:after="20" w:before="20"/>
            </w:pPr>
            <w:r>
              <w:rPr>
                <w:b/>
                <w:sz w:val="18"/>
                <w:szCs w:val="18"/>
              </w:rPr>
              <w:t xml:space="preserve">CTRL</w:t>
            </w:r>
          </w:p>
        </w:tc>
        <w:tc>
          <w:tcPr>
            <w:tcW w:type="dxa" w:w="7823"/>
          </w:tcPr>
          <w:p>
            <w:pPr>
              <w:spacing w:after="20" w:before="20"/>
            </w:pPr>
            <w:r>
              <w:rPr>
                <w:sz w:val="18"/>
                <w:szCs w:val="18"/>
              </w:rPr>
              <w:t xml:space="preserve">chamber setpoint and water ΔT setpoint, ±1 per press; one START/STOP button that reads the supervisor's own state rather than tracking its own; SOAK and TARE; clear fault</w:t>
            </w:r>
          </w:p>
        </w:tc>
      </w:tr>
      <w:tr>
        <w:tc>
          <w:tcPr>
            <w:tcW w:type="dxa" w:w="1203"/>
          </w:tcPr>
          <w:p>
            <w:pPr>
              <w:spacing w:after="20" w:before="20"/>
            </w:pPr>
            <w:r>
              <w:rPr>
                <w:b/>
                <w:sz w:val="18"/>
                <w:szCs w:val="18"/>
              </w:rPr>
              <w:t xml:space="preserve">NET</w:t>
            </w:r>
          </w:p>
        </w:tc>
        <w:tc>
          <w:tcPr>
            <w:tcW w:type="dxa" w:w="7823"/>
          </w:tcPr>
          <w:p>
            <w:pPr>
              <w:spacing w:after="20" w:before="20"/>
            </w:pPr>
            <w:r>
              <w:rPr>
                <w:sz w:val="18"/>
                <w:szCs w:val="18"/>
              </w:rPr>
              <w:t xml:space="preserve">SSID and passphrase fields with an on-screen keyboard that appears only on focus — 172 px is too narrow to keep it open; a QR code of the dashboard URL, with the address in text underneath</w:t>
            </w:r>
          </w:p>
        </w:tc>
      </w:tr>
    </w:tbl>
    <w:p>
      <w:pPr>
        <w:spacing w:before="60" w:after="200"/>
        <w:jc w:val="left"/>
      </w:pPr>
      <w:r>
        <w:rPr>
          <w:sz w:val="18"/>
          <w:szCs w:val="18"/>
        </w:rPr>
        <w:t xml:space="preserve">Table 53. The three panel screens. The panel sleeps after 120 s through the backlight PWM and wakes on any input.</w:t>
      </w:r>
    </w:p>
    <w:p>
      <w:pPr>
        <w:spacing w:after="120"/>
      </w:pPr>
      <w:r>
        <w:t xml:space="preserve">The development kit fitted has </w:t>
      </w:r>
      <w:r>
        <w:rPr>
          <w:b/>
        </w:rPr>
        <w:t xml:space="preserve">no touch controller</w:t>
      </w:r>
      <w:r>
        <w:t xml:space="preserve">, so the BOOT button is handed to LVGL as a keypad device that emits a "next" key and cycles the tabs; everything else is reachable from the console or the browser. Fitting a touch panel means adding a pointer-input node to the overlay — </w:t>
      </w:r>
      <w:r>
        <w:rPr>
          <w:rFonts w:ascii="Consolas" w:hAnsi="Consolas"/>
          <w:sz w:val="19"/>
          <w:szCs w:val="19"/>
        </w:rPr>
        <w:t xml:space="preserve">ui.c</w:t>
      </w:r>
      <w:r>
        <w:t xml:space="preserve"> needs no change either way, which is the same devicetree-as-data property as the rest of the firmware. On the </w:t>
      </w:r>
      <w:r>
        <w:rPr>
          <w:b/>
        </w:rPr>
        <w:t xml:space="preserve">carrier board there is no panel at all</w:t>
      </w:r>
      <w:r>
        <w:t xml:space="preserve"> (§9.16), and the BOOT button is bound to STOP instead: on a headless rig it is the only physical control, and stop is the one command that is always safe.</w:t>
      </w:r>
    </w:p>
    <w:p>
      <w:pPr>
        <w:pStyle w:val="Heading3"/>
      </w:pPr>
      <w:r>
        <w:t xml:space="preserve">The dashboard</w:t>
      </w:r>
    </w:p>
    <w:p>
      <w:pPr>
        <w:spacing w:after="120"/>
      </w:pPr>
      <w:r>
        <w:t xml:space="preserve">The remote interface </w:t>
      </w:r>
      <w:r>
        <w:rPr>
          <w:b/>
        </w:rPr>
        <w:t xml:space="preserve">streams state, not pixels</w:t>
      </w:r>
      <w:r>
        <w:t xml:space="preserve">: one JSON snapshot per second, with the panel and the browser each rendering their own layout from it. Streaming a framebuffer would have coupled the two interfaces' layouts and put a display's bandwidth on a 1 Hz instrument's network.</w:t>
      </w:r>
    </w:p>
    <w:p>
      <w:pPr>
        <w:spacing w:after="60" w:before="0"/>
        <w:ind w:left="720" w:hanging="360"/>
      </w:pPr>
      <w:r>
        <w:t xml:space="preserve">•</w:t>
      </w:r>
      <w:r>
        <w:tab/>
      </w:r>
      <w:r>
        <w:rPr>
          <w:rFonts w:ascii="Consolas" w:hAnsi="Consolas"/>
          <w:sz w:val="19"/>
          <w:szCs w:val="19"/>
        </w:rPr>
        <w:t xml:space="preserve">GET /</w:t>
      </w:r>
      <w:r>
        <w:t xml:space="preserve"> — the page itself, gzipped into flash at build time (</w:t>
      </w:r>
      <w:r>
        <w:rPr>
          <w:b/>
        </w:rPr>
        <w:t xml:space="preserve">about 5.5 kB compressed</w:t>
      </w:r>
      <w:r>
        <w:t xml:space="preserve">). No content-delivery network, no framework and no web font: the rig is LAN-only by design, so an external font request would fail anyway and the fallback stack </w:t>
      </w:r>
      <w:r>
        <w:rPr>
          <w:b/>
        </w:rPr>
        <w:t xml:space="preserve">is</w:t>
      </w:r>
      <w:r>
        <w:t xml:space="preserve"> the design.</w:t>
      </w:r>
    </w:p>
    <w:p>
      <w:pPr>
        <w:spacing w:after="60" w:before="0"/>
        <w:ind w:left="720" w:hanging="360"/>
      </w:pPr>
      <w:r>
        <w:t xml:space="preserve">•</w:t>
      </w:r>
      <w:r>
        <w:tab/>
      </w:r>
      <w:r>
        <w:rPr>
          <w:rFonts w:ascii="Consolas" w:hAnsi="Consolas"/>
          <w:sz w:val="19"/>
          <w:szCs w:val="19"/>
        </w:rPr>
        <w:t xml:space="preserve">GET /api/state</w:t>
      </w:r>
      <w:r>
        <w:t xml:space="preserve"> — the same JSON, for polling.</w:t>
      </w:r>
    </w:p>
    <w:p>
      <w:pPr>
        <w:spacing w:after="60" w:before="0"/>
        <w:ind w:left="720" w:hanging="360"/>
      </w:pPr>
      <w:r>
        <w:t xml:space="preserve">•</w:t>
      </w:r>
      <w:r>
        <w:tab/>
      </w:r>
      <w:r>
        <w:rPr>
          <w:rFonts w:ascii="Consolas" w:hAnsi="Consolas"/>
          <w:sz w:val="19"/>
          <w:szCs w:val="19"/>
        </w:rPr>
        <w:t xml:space="preserve">POST /api/cmd</w:t>
      </w:r>
      <w:r>
        <w:t xml:space="preserve"> — a command plus a token. The token is a per-boot random value displayed on the panel's NET screen, so </w:t>
      </w:r>
      <w:r>
        <w:rPr>
          <w:b/>
        </w:rPr>
        <w:t xml:space="preserve">physical access grants control access</w:t>
      </w:r>
      <w:r>
        <w:t xml:space="preserve">. That is the bar a LAN-only instrument actually sets; it is not, and does not pretend to be, cryptographic authentication (§9.16).</w:t>
      </w:r>
    </w:p>
    <w:p>
      <w:pPr>
        <w:spacing w:after="60" w:before="0"/>
        <w:ind w:left="720" w:hanging="360"/>
      </w:pPr>
      <w:r>
        <w:t xml:space="preserve">•</w:t>
      </w:r>
      <w:r>
        <w:tab/>
      </w:r>
      <w:r>
        <w:rPr>
          <w:rFonts w:ascii="Consolas" w:hAnsi="Consolas"/>
          <w:sz w:val="19"/>
          <w:szCs w:val="19"/>
        </w:rPr>
        <w:t xml:space="preserve">GET /ws</w:t>
      </w:r>
      <w:r>
        <w:t xml:space="preserve"> — WebSocket push at 1 Hz. The page uses it when it is offered and falls back to polling on its own, because the WebSocket costs the build a crypto module it does not otherwise need (§9.2.1).</w:t>
      </w:r>
    </w:p>
    <w:p>
      <w:pPr>
        <w:spacing w:after="120"/>
      </w:pPr>
      <w:r>
        <w:t xml:space="preserve">The JSON is emitted by hand rather than through Zephyr's encoder: the schema is a flat list of about thirty-five floats, the encoder has no float descriptor, and the bounded </w:t>
      </w:r>
      <w:r>
        <w:rPr>
          <w:rFonts w:ascii="Consolas" w:hAnsi="Consolas"/>
          <w:sz w:val="19"/>
          <w:szCs w:val="19"/>
        </w:rPr>
        <w:t xml:space="preserve">snprintk</w:t>
      </w:r>
      <w:r>
        <w:t xml:space="preserve"> alternative runs on an opportunistic thread where its cost cannot reach the control loop. The page carries a </w:t>
      </w:r>
      <w:r>
        <w:rPr>
          <w:b/>
        </w:rPr>
        <w:t xml:space="preserve">stale state</w:t>
      </w:r>
      <w:r>
        <w:t xml:space="preserve"> that greys itself and says "no data" rather than continuing to display a confident number that stopped updating three seconds ago — the single most important behaviour a remote instrument display can have.</w:t>
      </w:r>
    </w:p>
    <w:p>
      <w:pPr>
        <w:pStyle w:val="Heading3"/>
      </w:pPr>
      <w:r>
        <w:t xml:space="preserve">The console</w:t>
      </w:r>
    </w:p>
    <w:p>
      <w:pPr>
        <w:spacing w:after="120"/>
      </w:pPr>
      <w:r>
        <w:t xml:space="preserve">Everything is under one shell command, which is the fastest thing to reach for during bring-up:</w:t>
      </w:r>
    </w:p>
    <w:p>
      <w:pPr>
        <w:spacing w:after="0" w:before="0" w:line="240" w:lineRule="auto"/>
        <w:ind w:left="288"/>
      </w:pPr>
      <w:r>
        <w:rPr>
          <w:rFonts w:ascii="Consolas" w:hAnsi="Consolas"/>
          <w:sz w:val="18"/>
          <w:szCs w:val="18"/>
        </w:rPr>
        <w:t xml:space="preserve">cal status              everything, once - the whole snapshot in eight lines</w:t>
      </w:r>
    </w:p>
    <w:p>
      <w:pPr>
        <w:spacing w:after="0" w:before="0" w:line="240" w:lineRule="auto"/>
        <w:ind w:left="288"/>
      </w:pPr>
      <w:r>
        <w:rPr>
          <w:rFonts w:ascii="Consolas" w:hAnsi="Consolas"/>
          <w:sz w:val="18"/>
          <w:szCs w:val="18"/>
        </w:rPr>
        <w:t xml:space="preserve">cal start / cal stop    run or abort a measurement point</w:t>
      </w:r>
    </w:p>
    <w:p>
      <w:pPr>
        <w:spacing w:after="0" w:before="0" w:line="240" w:lineRule="auto"/>
        <w:ind w:left="288"/>
      </w:pPr>
      <w:r>
        <w:rPr>
          <w:rFonts w:ascii="Consolas" w:hAnsi="Consolas"/>
          <w:sz w:val="18"/>
          <w:szCs w:val="18"/>
        </w:rPr>
        <w:t xml:space="preserve">cal tss &lt;degC&gt;          chamber setpoint</w:t>
      </w:r>
    </w:p>
    <w:p>
      <w:pPr>
        <w:spacing w:after="0" w:before="0" w:line="240" w:lineRule="auto"/>
        <w:ind w:left="288"/>
      </w:pPr>
      <w:r>
        <w:rPr>
          <w:rFonts w:ascii="Consolas" w:hAnsi="Consolas"/>
          <w:sz w:val="18"/>
          <w:szCs w:val="18"/>
        </w:rPr>
        <w:t xml:space="preserve">cal dtw &lt;K&gt;             water dT setpoint (picks the flow)</w:t>
      </w:r>
    </w:p>
    <w:p>
      <w:pPr>
        <w:spacing w:after="0" w:before="0" w:line="240" w:lineRule="auto"/>
        <w:ind w:left="288"/>
      </w:pPr>
      <w:r>
        <w:rPr>
          <w:rFonts w:ascii="Consolas" w:hAnsi="Consolas"/>
          <w:sz w:val="18"/>
          <w:szCs w:val="18"/>
        </w:rPr>
        <w:t xml:space="preserve">cal inlet &lt;degC&gt;        reject-loop inlet setpoint</w:t>
      </w:r>
    </w:p>
    <w:p>
      <w:pPr>
        <w:spacing w:after="0" w:before="0" w:line="240" w:lineRule="auto"/>
        <w:ind w:left="288"/>
      </w:pPr>
      <w:r>
        <w:rPr>
          <w:rFonts w:ascii="Consolas" w:hAnsi="Consolas"/>
          <w:sz w:val="18"/>
          <w:szCs w:val="18"/>
        </w:rPr>
        <w:t xml:space="preserve">cal soak                isothermal offset calibration   -&gt; NVS</w:t>
      </w:r>
    </w:p>
    <w:p>
      <w:pPr>
        <w:spacing w:after="0" w:before="0" w:line="240" w:lineRule="auto"/>
        <w:ind w:left="288"/>
      </w:pPr>
      <w:r>
        <w:rPr>
          <w:rFonts w:ascii="Consolas" w:hAnsi="Consolas"/>
          <w:sz w:val="18"/>
          <w:szCs w:val="18"/>
        </w:rPr>
        <w:t xml:space="preserve">cal tare [mL/min]       dT zero for this flow range     -&gt; NVS</w:t>
      </w:r>
    </w:p>
    <w:p>
      <w:pPr>
        <w:spacing w:after="0" w:before="0" w:line="240" w:lineRule="auto"/>
        <w:ind w:left="288"/>
      </w:pPr>
      <w:r>
        <w:rPr>
          <w:rFonts w:ascii="Consolas" w:hAnsi="Consolas"/>
          <w:sz w:val="18"/>
          <w:szCs w:val="18"/>
        </w:rPr>
        <w:t xml:space="preserve">cal subst [W]           substitution check (inject a known W)</w:t>
      </w:r>
    </w:p>
    <w:p>
      <w:pPr>
        <w:spacing w:after="0" w:before="0" w:line="240" w:lineRule="auto"/>
        <w:ind w:left="288"/>
      </w:pPr>
      <w:r>
        <w:rPr>
          <w:rFonts w:ascii="Consolas" w:hAnsi="Consolas"/>
          <w:sz w:val="18"/>
          <w:szCs w:val="18"/>
        </w:rPr>
        <w:t xml:space="preserve">cal post                re-run the self test</w:t>
      </w:r>
    </w:p>
    <w:p>
      <w:pPr>
        <w:spacing w:after="0" w:before="0" w:line="240" w:lineRule="auto"/>
        <w:ind w:left="288"/>
      </w:pPr>
      <w:r>
        <w:rPr>
          <w:rFonts w:ascii="Consolas" w:hAnsi="Consolas"/>
          <w:sz w:val="18"/>
          <w:szCs w:val="18"/>
        </w:rPr>
        <w:t xml:space="preserve">cal wifi &lt;ssid&gt; &lt;psk&gt;   store credentials and associate</w:t>
      </w:r>
    </w:p>
    <w:p>
      <w:pPr>
        <w:spacing w:after="0" w:before="0" w:line="240" w:lineRule="auto"/>
        <w:ind w:left="288"/>
      </w:pPr>
      <w:r>
        <w:rPr>
          <w:rFonts w:ascii="Consolas" w:hAnsi="Consolas"/>
          <w:sz w:val="18"/>
          <w:szCs w:val="18"/>
        </w:rPr>
        <w:t xml:space="preserve">cal clear               clear latched faults</w:t>
      </w:r>
    </w:p>
    <w:p/>
    <w:p>
      <w:pPr>
        <w:spacing w:after="120"/>
      </w:pPr>
      <w:r>
        <w:t xml:space="preserve">Logging runs in deferred mode so that a log call in the control path costs a memory copy rather than a UART transaction. Every logged point carries the firmware version and the parameter hash of §9.7 alongside the measurement, which is what makes a campaign log self-describing months later.</w:t>
      </w:r>
    </w:p>
    <w:p>
      <w:pPr>
        <w:pStyle w:val="Heading2"/>
      </w:pPr>
      <w:r>
        <w:t xml:space="preserve">Design decisions and departures from the architecture note</w:t>
      </w:r>
    </w:p>
    <w:p>
      <w:pPr>
        <w:spacing w:after="120"/>
      </w:pPr>
      <w:r>
        <w:t xml:space="preserve">The firmware architecture note that preceded implementation (RD-14) opens with twelve decisions. Nine were implemented as written. Three were deliberately changed, and those three are the ones that matter for review; the remaining rows below record implementation choices where a defensible alternative existed.</w:t>
      </w:r>
    </w:p>
    <w:tbl>
      <w:tblPr>
        <w:tblStyle w:val="TableGrid"/>
        <w:tblW w:type="auto" w:w="0"/>
        <w:jc w:val="center"/>
        <w:tblLayout w:type="fixed"/>
        <w:tblLook w:firstColumn="1" w:firstRow="1" w:lastColumn="0" w:lastRow="0" w:noHBand="0" w:noVBand="1" w:val="04A0"/>
      </w:tblPr>
      <w:tblGrid>
        <w:gridCol w:w="2307"/>
        <w:gridCol w:w="2106"/>
        <w:gridCol w:w="4613"/>
      </w:tblGrid>
      <w:tr>
        <w:trPr>
          <w:tblHeader w:val="true"/>
        </w:trPr>
        <w:tc>
          <w:tcPr>
            <w:tcW w:type="dxa" w:w="2307"/>
            <w:shd w:val="clear" w:color="auto" w:fill="DEEAF6"/>
          </w:tcPr>
          <w:p>
            <w:pPr>
              <w:spacing w:after="20" w:before="20"/>
            </w:pPr>
            <w:r>
              <w:rPr>
                <w:b/>
                <w:sz w:val="18"/>
                <w:szCs w:val="18"/>
              </w:rPr>
              <w:t xml:space="preserve">Decision as built</w:t>
            </w:r>
          </w:p>
        </w:tc>
        <w:tc>
          <w:tcPr>
            <w:tcW w:type="dxa" w:w="2106"/>
            <w:shd w:val="clear" w:color="auto" w:fill="DEEAF6"/>
          </w:tcPr>
          <w:p>
            <w:pPr>
              <w:spacing w:after="20" w:before="20"/>
            </w:pPr>
            <w:r>
              <w:rPr>
                <w:b/>
                <w:sz w:val="18"/>
                <w:szCs w:val="18"/>
              </w:rPr>
              <w:t xml:space="preserve">Alternative</w:t>
            </w:r>
          </w:p>
        </w:tc>
        <w:tc>
          <w:tcPr>
            <w:tcW w:type="dxa" w:w="4613"/>
            <w:shd w:val="clear" w:color="auto" w:fill="DEEAF6"/>
          </w:tcPr>
          <w:p>
            <w:pPr>
              <w:spacing w:after="20" w:before="20"/>
            </w:pPr>
            <w:r>
              <w:rPr>
                <w:b/>
                <w:sz w:val="18"/>
                <w:szCs w:val="18"/>
              </w:rPr>
              <w:t xml:space="preserve">Why</w:t>
            </w:r>
          </w:p>
        </w:tc>
      </w:tr>
      <w:tr>
        <w:tc>
          <w:tcPr>
            <w:tcW w:type="dxa" w:w="2307"/>
          </w:tcPr>
          <w:p>
            <w:pPr>
              <w:spacing w:after="20" w:before="20"/>
            </w:pPr>
            <w:r>
              <w:rPr>
                <w:b/>
                <w:sz w:val="18"/>
                <w:szCs w:val="18"/>
              </w:rPr>
              <w:t xml:space="preserve">★ Three threads, not four</w:t>
            </w:r>
            <w:r>
              <w:rPr>
                <w:sz w:val="18"/>
                <w:szCs w:val="18"/>
              </w:rPr>
              <w:t xml:space="preserve"> — no separate acquisition thread</w:t>
            </w:r>
          </w:p>
        </w:tc>
        <w:tc>
          <w:tcPr>
            <w:tcW w:type="dxa" w:w="2106"/>
          </w:tcPr>
          <w:p>
            <w:pPr>
              <w:spacing w:after="20" w:before="20"/>
            </w:pPr>
            <w:r>
              <w:rPr>
                <w:rFonts w:ascii="Consolas" w:hAnsi="Consolas"/>
                <w:sz w:val="17"/>
                <w:szCs w:val="17"/>
              </w:rPr>
              <w:t xml:space="preserve">safety</w:t>
            </w:r>
            <w:r>
              <w:rPr>
                <w:sz w:val="18"/>
                <w:szCs w:val="18"/>
              </w:rPr>
              <w:t xml:space="preserve"> · </w:t>
            </w:r>
            <w:r>
              <w:rPr>
                <w:rFonts w:ascii="Consolas" w:hAnsi="Consolas"/>
                <w:sz w:val="17"/>
                <w:szCs w:val="17"/>
              </w:rPr>
              <w:t xml:space="preserve">acq</w:t>
            </w:r>
            <w:r>
              <w:rPr>
                <w:sz w:val="18"/>
                <w:szCs w:val="18"/>
              </w:rPr>
              <w:t xml:space="preserve"> at 10 Hz · </w:t>
            </w:r>
            <w:r>
              <w:rPr>
                <w:rFonts w:ascii="Consolas" w:hAnsi="Consolas"/>
                <w:sz w:val="17"/>
                <w:szCs w:val="17"/>
              </w:rPr>
              <w:t xml:space="preserve">ctrl</w:t>
            </w:r>
            <w:r>
              <w:rPr>
                <w:sz w:val="18"/>
                <w:szCs w:val="18"/>
              </w:rPr>
              <w:t xml:space="preserve"> · telemetry</w:t>
            </w:r>
          </w:p>
        </w:tc>
        <w:tc>
          <w:tcPr>
            <w:tcW w:type="dxa" w:w="4613"/>
          </w:tcPr>
          <w:p>
            <w:pPr>
              <w:spacing w:after="20" w:before="20"/>
            </w:pPr>
            <w:r>
              <w:rPr>
                <w:rFonts w:ascii="Consolas" w:hAnsi="Consolas"/>
                <w:sz w:val="17"/>
                <w:szCs w:val="17"/>
              </w:rPr>
              <w:t xml:space="preserve">acq</w:t>
            </w:r>
            <w:r>
              <w:rPr>
                <w:sz w:val="18"/>
                <w:szCs w:val="18"/>
              </w:rPr>
              <w:t xml:space="preserve"> existed at 10 Hz solely to chop a </w:t>
            </w:r>
            <w:r>
              <w:rPr>
                <w:b/>
                <w:sz w:val="18"/>
                <w:szCs w:val="18"/>
              </w:rPr>
              <w:t xml:space="preserve">multiplexed</w:t>
            </w:r>
            <w:r>
              <w:rPr>
                <w:sz w:val="18"/>
                <w:szCs w:val="18"/>
              </w:rPr>
              <w:t xml:space="preserve"> RTD front end; the hardware settled on one converter per probe, so there is nothing to chop. A 1 s skew between channels is worth 0.34 mW. </w:t>
            </w:r>
            <w:r>
              <w:rPr>
                <w:b/>
                <w:sz w:val="18"/>
                <w:szCs w:val="18"/>
              </w:rPr>
              <w:t xml:space="preserve">Honest cost:</w:t>
            </w:r>
            <w:r>
              <w:rPr>
                <w:sz w:val="18"/>
                <w:szCs w:val="18"/>
              </w:rPr>
              <w:t xml:space="preserve"> the chop also rejected the front end's 1/f drift, which is the mechanism that eats the 20 mK the budget allows. That benefit is deferred to a future multiplexed front end, not free (§9.16).</w:t>
            </w:r>
          </w:p>
        </w:tc>
      </w:tr>
      <w:tr>
        <w:tc>
          <w:tcPr>
            <w:tcW w:type="dxa" w:w="2307"/>
          </w:tcPr>
          <w:p>
            <w:pPr>
              <w:spacing w:after="20" w:before="20"/>
            </w:pPr>
            <w:r>
              <w:rPr>
                <w:b/>
                <w:sz w:val="18"/>
                <w:szCs w:val="18"/>
              </w:rPr>
              <w:t xml:space="preserve">★ The observer is the energy balance</w:t>
            </w:r>
            <w:r>
              <w:rPr>
                <w:sz w:val="18"/>
                <w:szCs w:val="18"/>
              </w:rPr>
              <w:t xml:space="preserve">, reduced order, in shadow mode</w:t>
            </w:r>
          </w:p>
        </w:tc>
        <w:tc>
          <w:tcPr>
            <w:tcW w:type="dxa" w:w="2106"/>
          </w:tcPr>
          <w:p>
            <w:pPr>
              <w:spacing w:after="20" w:before="20"/>
            </w:pPr>
            <w:r>
              <w:rPr>
                <w:sz w:val="18"/>
                <w:szCs w:val="18"/>
              </w:rPr>
              <w:t xml:space="preserve">the eleven-state fixed-gain Kalman filter of RD-11 §24, with a gain table per flow row</w:t>
            </w:r>
          </w:p>
        </w:tc>
        <w:tc>
          <w:tcPr>
            <w:tcW w:type="dxa" w:w="4613"/>
          </w:tcPr>
          <w:p>
            <w:pPr>
              <w:spacing w:after="20" w:before="20"/>
            </w:pPr>
            <w:r>
              <w:rPr>
                <w:sz w:val="18"/>
                <w:szCs w:val="18"/>
              </w:rPr>
              <w:t xml:space="preserve">It inherits the closed loop's exact unbiasedness instead of adding a gain to get wrong; it is checkable by eye; and RD-11 §24 itself prescribes shadow mode for the first campaign. </w:t>
            </w:r>
            <w:r>
              <w:rPr>
                <w:b/>
                <w:sz w:val="18"/>
                <w:szCs w:val="18"/>
              </w:rPr>
              <w:t xml:space="preserve">Cost:</w:t>
            </w:r>
            <w:r>
              <w:rPr>
                <w:sz w:val="18"/>
                <w:szCs w:val="18"/>
              </w:rPr>
              <w:t xml:space="preserve"> ≈ 0.06 W of estimator noise where a Kalman filter would filter. See §9.9.</w:t>
            </w:r>
          </w:p>
        </w:tc>
      </w:tr>
      <w:tr>
        <w:tc>
          <w:tcPr>
            <w:tcW w:type="dxa" w:w="2307"/>
          </w:tcPr>
          <w:p>
            <w:pPr>
              <w:spacing w:after="20" w:before="20"/>
            </w:pPr>
            <w:r>
              <w:rPr>
                <w:b/>
                <w:sz w:val="18"/>
                <w:szCs w:val="18"/>
              </w:rPr>
              <w:t xml:space="preserve">★ The turbine is the meter</w:t>
            </w:r>
            <w:r>
              <w:rPr>
                <w:sz w:val="18"/>
                <w:szCs w:val="18"/>
              </w:rPr>
              <w:t xml:space="preserve">; the pump is only the actuator</w:t>
            </w:r>
          </w:p>
        </w:tc>
        <w:tc>
          <w:tcPr>
            <w:tcW w:type="dxa" w:w="2106"/>
          </w:tcPr>
          <w:p>
            <w:pPr>
              <w:spacing w:after="20" w:before="20"/>
            </w:pPr>
            <w:r>
              <w:rPr>
                <w:sz w:val="18"/>
                <w:szCs w:val="18"/>
              </w:rPr>
              <w:t xml:space="preserve">pump step count as the primary flow measurement, turbine as witness</w:t>
            </w:r>
          </w:p>
        </w:tc>
        <w:tc>
          <w:tcPr>
            <w:tcW w:type="dxa" w:w="4613"/>
          </w:tcPr>
          <w:p>
            <w:pPr>
              <w:spacing w:after="20" w:before="20"/>
            </w:pPr>
            <w:r>
              <w:rPr>
                <w:sz w:val="18"/>
                <w:szCs w:val="18"/>
              </w:rPr>
              <w:t xml:space="preserve">Reversed by explicit project decision. There is now no step-count-based metrology in the firmware at all; the command-versus-measurement disagreement became a fault instead. </w:t>
            </w:r>
            <w:r>
              <w:rPr>
                <w:b/>
                <w:sz w:val="18"/>
                <w:szCs w:val="18"/>
              </w:rPr>
              <w:t xml:space="preserve">RD-14 §4.2 is stale as written and should be corrected before anyone implements against it.</w:t>
            </w:r>
          </w:p>
        </w:tc>
      </w:tr>
      <w:tr>
        <w:tc>
          <w:tcPr>
            <w:tcW w:type="dxa" w:w="2307"/>
          </w:tcPr>
          <w:p>
            <w:pPr>
              <w:spacing w:after="20" w:before="20"/>
            </w:pPr>
            <w:r>
              <w:rPr>
                <w:sz w:val="18"/>
                <w:szCs w:val="18"/>
              </w:rPr>
              <w:t xml:space="preserve">Mutex-guarded snapshot with copy-out</w:t>
            </w:r>
          </w:p>
        </w:tc>
        <w:tc>
          <w:tcPr>
            <w:tcW w:type="dxa" w:w="2106"/>
          </w:tcPr>
          <w:p>
            <w:pPr>
              <w:spacing w:after="20" w:before="20"/>
            </w:pPr>
            <w:r>
              <w:rPr>
                <w:rFonts w:ascii="Consolas" w:hAnsi="Consolas"/>
                <w:sz w:val="17"/>
                <w:szCs w:val="17"/>
              </w:rPr>
              <w:t xml:space="preserve">zbus</w:t>
            </w:r>
          </w:p>
        </w:tc>
        <w:tc>
          <w:tcPr>
            <w:tcW w:type="dxa" w:w="4613"/>
          </w:tcPr>
          <w:p>
            <w:pPr>
              <w:spacing w:after="20" w:before="20"/>
            </w:pPr>
            <w:r>
              <w:rPr>
                <w:sz w:val="18"/>
                <w:szCs w:val="18"/>
              </w:rPr>
              <w:t xml:space="preserve">One writer, and readers that need only a consistent copy. </w:t>
            </w:r>
            <w:r>
              <w:rPr>
                <w:rFonts w:ascii="Consolas" w:hAnsi="Consolas"/>
                <w:sz w:val="17"/>
                <w:szCs w:val="17"/>
              </w:rPr>
              <w:t xml:space="preserve">zbus</w:t>
            </w:r>
            <w:r>
              <w:rPr>
                <w:sz w:val="18"/>
                <w:szCs w:val="18"/>
              </w:rPr>
              <w:t xml:space="preserve"> is the right answer for many-to-many; here it is a dependency and an indirection around a forty-line problem. RD-14 explicitly permits a functional equivalent.</w:t>
            </w:r>
          </w:p>
        </w:tc>
      </w:tr>
      <w:tr>
        <w:tc>
          <w:tcPr>
            <w:tcW w:type="dxa" w:w="2307"/>
          </w:tcPr>
          <w:p>
            <w:pPr>
              <w:spacing w:after="20" w:before="20"/>
            </w:pPr>
            <w:r>
              <w:rPr>
                <w:sz w:val="18"/>
                <w:szCs w:val="18"/>
              </w:rPr>
              <w:t xml:space="preserve">Back-calculation anti-windup</w:t>
            </w:r>
          </w:p>
        </w:tc>
        <w:tc>
          <w:tcPr>
            <w:tcW w:type="dxa" w:w="2106"/>
          </w:tcPr>
          <w:p>
            <w:pPr>
              <w:spacing w:after="20" w:before="20"/>
            </w:pPr>
            <w:r>
              <w:rPr>
                <w:sz w:val="18"/>
                <w:szCs w:val="18"/>
              </w:rPr>
              <w:t xml:space="preserve">conditional integration</w:t>
            </w:r>
          </w:p>
        </w:tc>
        <w:tc>
          <w:tcPr>
            <w:tcW w:type="dxa" w:w="4613"/>
          </w:tcPr>
          <w:p>
            <w:pPr>
              <w:spacing w:after="20" w:before="20"/>
            </w:pPr>
            <w:r>
              <w:rPr>
                <w:sz w:val="18"/>
                <w:szCs w:val="18"/>
              </w:rPr>
              <w:t xml:space="preserve">Both were permitted. The back-calculation correction is </w:t>
            </w:r>
            <w:r>
              <w:rPr>
                <w:b/>
                <w:sz w:val="18"/>
                <w:szCs w:val="18"/>
              </w:rPr>
              <w:t xml:space="preserve">exactly zero</w:t>
            </w:r>
            <w:r>
              <w:rPr>
                <w:sz w:val="18"/>
                <w:szCs w:val="18"/>
              </w:rPr>
              <w:t xml:space="preserve"> when the output is not clipped, so there is no branch to get wrong and no discontinuity at the limit.</w:t>
            </w:r>
          </w:p>
        </w:tc>
      </w:tr>
      <w:tr>
        <w:tc>
          <w:tcPr>
            <w:tcW w:type="dxa" w:w="2307"/>
          </w:tcPr>
          <w:p>
            <w:pPr>
              <w:spacing w:after="20" w:before="20"/>
            </w:pPr>
            <w:r>
              <w:rPr>
                <w:sz w:val="18"/>
                <w:szCs w:val="18"/>
              </w:rPr>
              <w:t xml:space="preserve">STOP as an atomic flag</w:t>
            </w:r>
          </w:p>
        </w:tc>
        <w:tc>
          <w:tcPr>
            <w:tcW w:type="dxa" w:w="2106"/>
          </w:tcPr>
          <w:p>
            <w:pPr>
              <w:spacing w:after="20" w:before="20"/>
            </w:pPr>
            <w:r>
              <w:rPr>
                <w:sz w:val="18"/>
                <w:szCs w:val="18"/>
              </w:rPr>
              <w:t xml:space="preserve">STOP as a queue entry</w:t>
            </w:r>
          </w:p>
        </w:tc>
        <w:tc>
          <w:tcPr>
            <w:tcW w:type="dxa" w:w="4613"/>
          </w:tcPr>
          <w:p>
            <w:pPr>
              <w:spacing w:after="20" w:before="20"/>
            </w:pPr>
            <w:r>
              <w:rPr>
                <w:sz w:val="18"/>
                <w:szCs w:val="18"/>
              </w:rPr>
              <w:t xml:space="preserve">Peeking the head of the queue would miss a stop that arrived behind three other commands. Stop is the one request that must never wait its turn.</w:t>
            </w:r>
          </w:p>
        </w:tc>
      </w:tr>
      <w:tr>
        <w:tc>
          <w:tcPr>
            <w:tcW w:type="dxa" w:w="2307"/>
          </w:tcPr>
          <w:p>
            <w:pPr>
              <w:spacing w:after="20" w:before="20"/>
            </w:pPr>
            <w:r>
              <w:rPr>
                <w:sz w:val="18"/>
                <w:szCs w:val="18"/>
              </w:rPr>
              <w:t xml:space="preserve">Hand-rolled JSON</w:t>
            </w:r>
          </w:p>
        </w:tc>
        <w:tc>
          <w:tcPr>
            <w:tcW w:type="dxa" w:w="2106"/>
          </w:tcPr>
          <w:p>
            <w:pPr>
              <w:spacing w:after="20" w:before="20"/>
            </w:pPr>
            <w:r>
              <w:rPr>
                <w:rFonts w:ascii="Consolas" w:hAnsi="Consolas"/>
                <w:sz w:val="17"/>
                <w:szCs w:val="17"/>
              </w:rPr>
              <w:t xml:space="preserve">CONFIG_JSON_LIBRARY</w:t>
            </w:r>
          </w:p>
        </w:tc>
        <w:tc>
          <w:tcPr>
            <w:tcW w:type="dxa" w:w="4613"/>
          </w:tcPr>
          <w:p>
            <w:pPr>
              <w:spacing w:after="20" w:before="20"/>
            </w:pPr>
            <w:r>
              <w:rPr>
                <w:sz w:val="18"/>
                <w:szCs w:val="18"/>
              </w:rPr>
              <w:t xml:space="preserve">A flat list of ≈ 35 floats, and the encoder has no float descriptor. Bounded </w:t>
            </w:r>
            <w:r>
              <w:rPr>
                <w:rFonts w:ascii="Consolas" w:hAnsi="Consolas"/>
                <w:sz w:val="17"/>
                <w:szCs w:val="17"/>
              </w:rPr>
              <w:t xml:space="preserve">snprintk</w:t>
            </w:r>
            <w:r>
              <w:rPr>
                <w:sz w:val="18"/>
                <w:szCs w:val="18"/>
              </w:rPr>
              <w:t xml:space="preserve"> on an opportunistic thread.</w:t>
            </w:r>
          </w:p>
        </w:tc>
      </w:tr>
      <w:tr>
        <w:tc>
          <w:tcPr>
            <w:tcW w:type="dxa" w:w="2307"/>
          </w:tcPr>
          <w:p>
            <w:pPr>
              <w:spacing w:after="20" w:before="20"/>
            </w:pPr>
            <w:r>
              <w:rPr>
                <w:sz w:val="18"/>
                <w:szCs w:val="18"/>
              </w:rPr>
              <w:t xml:space="preserve">Generator not wired into CMake</w:t>
            </w:r>
          </w:p>
        </w:tc>
        <w:tc>
          <w:tcPr>
            <w:tcW w:type="dxa" w:w="2106"/>
          </w:tcPr>
          <w:p>
            <w:pPr>
              <w:spacing w:after="20" w:before="20"/>
            </w:pPr>
            <w:r>
              <w:rPr>
                <w:rFonts w:ascii="Consolas" w:hAnsi="Consolas"/>
                <w:sz w:val="17"/>
                <w:szCs w:val="17"/>
              </w:rPr>
              <w:t xml:space="preserve">add_custom_command</w:t>
            </w:r>
          </w:p>
        </w:tc>
        <w:tc>
          <w:tcPr>
            <w:tcW w:type="dxa" w:w="4613"/>
          </w:tcPr>
          <w:p>
            <w:pPr>
              <w:spacing w:after="20" w:before="20"/>
            </w:pPr>
            <w:r>
              <w:rPr>
                <w:sz w:val="18"/>
                <w:szCs w:val="18"/>
              </w:rPr>
              <w:t xml:space="preserve">A build that cannot run without Python and PyYAML breaks on someone else's machine. The trade — a header that can go stale — is covered by stamping the parameter hash into the image and logging it with every point (§9.7).</w:t>
            </w:r>
          </w:p>
        </w:tc>
      </w:tr>
    </w:tbl>
    <w:p>
      <w:pPr>
        <w:spacing w:before="60" w:after="200"/>
        <w:jc w:val="left"/>
      </w:pPr>
      <w:r>
        <w:rPr>
          <w:sz w:val="18"/>
          <w:szCs w:val="18"/>
        </w:rPr>
        <w:t xml:space="preserve">Table 54. Decisions taken during implementation. The three marked ★ are departures from the architecture that preceded the code.</w:t>
      </w:r>
    </w:p>
    <w:p>
      <w:pPr>
        <w:pStyle w:val="Heading2"/>
      </w:pPr>
      <w:r>
        <w:t xml:space="preserve">Build verification and resource budget</w:t>
      </w:r>
    </w:p>
    <w:p>
      <w:pPr>
        <w:spacing w:after="120"/>
      </w:pPr>
      <w:r>
        <w:t xml:space="preserve">All four combinations were built from scratch on 2026-08-30 against Zephyr 4.4.99 and SDK 1.0.1. The figures are the linker's, not estimates.</w:t>
      </w:r>
    </w:p>
    <w:tbl>
      <w:tblPr>
        <w:tblStyle w:val="TableGrid"/>
        <w:tblW w:type="auto" w:w="0"/>
        <w:jc w:val="center"/>
        <w:tblLayout w:type="fixed"/>
        <w:tblLook w:firstColumn="1" w:firstRow="1" w:lastColumn="0" w:lastRow="0" w:noHBand="0" w:noVBand="1" w:val="04A0"/>
      </w:tblPr>
      <w:tblGrid>
        <w:gridCol w:w="2407"/>
        <w:gridCol w:w="2407"/>
        <w:gridCol w:w="1805"/>
        <w:gridCol w:w="2407"/>
      </w:tblGrid>
      <w:tr>
        <w:trPr>
          <w:tblHeader w:val="true"/>
        </w:trPr>
        <w:tc>
          <w:tcPr>
            <w:tcW w:type="dxa" w:w="2407"/>
            <w:shd w:val="clear" w:color="auto" w:fill="DEEAF6"/>
          </w:tcPr>
          <w:p>
            <w:pPr>
              <w:spacing w:after="20" w:before="20"/>
            </w:pPr>
            <w:r>
              <w:rPr>
                <w:b/>
                <w:sz w:val="18"/>
                <w:szCs w:val="18"/>
              </w:rPr>
              <w:t xml:space="preserve">Build</w:t>
            </w:r>
          </w:p>
        </w:tc>
        <w:tc>
          <w:tcPr>
            <w:tcW w:type="dxa" w:w="2407"/>
            <w:shd w:val="clear" w:color="auto" w:fill="DEEAF6"/>
          </w:tcPr>
          <w:p>
            <w:pPr>
              <w:spacing w:after="20" w:before="20"/>
            </w:pPr>
            <w:r>
              <w:rPr>
                <w:b/>
                <w:sz w:val="18"/>
                <w:szCs w:val="18"/>
              </w:rPr>
              <w:t xml:space="preserve">FLASH</w:t>
            </w:r>
          </w:p>
        </w:tc>
        <w:tc>
          <w:tcPr>
            <w:tcW w:type="dxa" w:w="1805"/>
            <w:shd w:val="clear" w:color="auto" w:fill="DEEAF6"/>
          </w:tcPr>
          <w:p>
            <w:pPr>
              <w:spacing w:after="20" w:before="20"/>
            </w:pPr>
            <w:r>
              <w:rPr>
                <w:b/>
                <w:sz w:val="18"/>
                <w:szCs w:val="18"/>
              </w:rPr>
              <w:t xml:space="preserve">IRAM</w:t>
            </w:r>
          </w:p>
        </w:tc>
        <w:tc>
          <w:tcPr>
            <w:tcW w:type="dxa" w:w="2407"/>
            <w:shd w:val="clear" w:color="auto" w:fill="DEEAF6"/>
          </w:tcPr>
          <w:p>
            <w:pPr>
              <w:spacing w:after="20" w:before="20"/>
            </w:pPr>
            <w:r>
              <w:rPr>
                <w:b/>
                <w:sz w:val="18"/>
                <w:szCs w:val="18"/>
              </w:rPr>
              <w:t xml:space="preserve">DRAM</w:t>
            </w:r>
          </w:p>
        </w:tc>
      </w:tr>
      <w:tr>
        <w:tc>
          <w:tcPr>
            <w:tcW w:type="dxa" w:w="2407"/>
          </w:tcPr>
          <w:p>
            <w:pPr>
              <w:spacing w:after="20" w:before="20"/>
            </w:pPr>
            <w:r>
              <w:rPr>
                <w:sz w:val="18"/>
                <w:szCs w:val="18"/>
              </w:rPr>
              <w:t xml:space="preserve">carrier, no radio</w:t>
            </w:r>
          </w:p>
        </w:tc>
        <w:tc>
          <w:tcPr>
            <w:tcW w:type="dxa" w:w="2407"/>
          </w:tcPr>
          <w:p>
            <w:pPr>
              <w:spacing w:after="20" w:before="20"/>
            </w:pPr>
            <w:r>
              <w:rPr>
                <w:sz w:val="18"/>
                <w:szCs w:val="18"/>
              </w:rPr>
              <w:t xml:space="preserve">368 kB / 8 MB (4.4 %)</w:t>
            </w:r>
          </w:p>
        </w:tc>
        <w:tc>
          <w:tcPr>
            <w:tcW w:type="dxa" w:w="1805"/>
          </w:tcPr>
          <w:p>
            <w:pPr>
              <w:spacing w:after="20" w:before="20"/>
            </w:pPr>
            <w:r>
              <w:rPr>
                <w:sz w:val="18"/>
                <w:szCs w:val="18"/>
              </w:rPr>
              <w:t xml:space="preserve">68 kB (16.3 %)</w:t>
            </w:r>
          </w:p>
        </w:tc>
        <w:tc>
          <w:tcPr>
            <w:tcW w:type="dxa" w:w="2407"/>
          </w:tcPr>
          <w:p>
            <w:pPr>
              <w:spacing w:after="20" w:before="20"/>
            </w:pPr>
            <w:r>
              <w:rPr>
                <w:sz w:val="18"/>
                <w:szCs w:val="18"/>
              </w:rPr>
              <w:t xml:space="preserve">165 kB / 390 kB (41.3 %)</w:t>
            </w:r>
          </w:p>
        </w:tc>
      </w:tr>
      <w:tr>
        <w:tc>
          <w:tcPr>
            <w:tcW w:type="dxa" w:w="2407"/>
          </w:tcPr>
          <w:p>
            <w:pPr>
              <w:spacing w:after="20" w:before="20"/>
            </w:pPr>
            <w:r>
              <w:rPr>
                <w:sz w:val="18"/>
                <w:szCs w:val="18"/>
              </w:rPr>
              <w:t xml:space="preserve">carrier + Wi-Fi</w:t>
            </w:r>
          </w:p>
        </w:tc>
        <w:tc>
          <w:tcPr>
            <w:tcW w:type="dxa" w:w="2407"/>
          </w:tcPr>
          <w:p>
            <w:pPr>
              <w:spacing w:after="20" w:before="20"/>
            </w:pPr>
            <w:r>
              <w:rPr>
                <w:sz w:val="18"/>
                <w:szCs w:val="18"/>
              </w:rPr>
              <w:t xml:space="preserve">742 kB / 8 MB (8.9 %)</w:t>
            </w:r>
          </w:p>
        </w:tc>
        <w:tc>
          <w:tcPr>
            <w:tcW w:type="dxa" w:w="1805"/>
          </w:tcPr>
          <w:p>
            <w:pPr>
              <w:spacing w:after="20" w:before="20"/>
            </w:pPr>
            <w:r>
              <w:rPr>
                <w:sz w:val="18"/>
                <w:szCs w:val="18"/>
              </w:rPr>
              <w:t xml:space="preserve">79 kB (18.9 %)</w:t>
            </w:r>
          </w:p>
        </w:tc>
        <w:tc>
          <w:tcPr>
            <w:tcW w:type="dxa" w:w="2407"/>
          </w:tcPr>
          <w:p>
            <w:pPr>
              <w:spacing w:after="20" w:before="20"/>
            </w:pPr>
            <w:r>
              <w:rPr>
                <w:sz w:val="18"/>
                <w:szCs w:val="18"/>
              </w:rPr>
              <w:t xml:space="preserve">261 kB / 390 kB (65.3 %)</w:t>
            </w:r>
          </w:p>
        </w:tc>
      </w:tr>
      <w:tr>
        <w:tc>
          <w:tcPr>
            <w:tcW w:type="dxa" w:w="2407"/>
          </w:tcPr>
          <w:p>
            <w:pPr>
              <w:spacing w:after="20" w:before="20"/>
            </w:pPr>
            <w:r>
              <w:rPr>
                <w:sz w:val="18"/>
                <w:szCs w:val="18"/>
              </w:rPr>
              <w:t xml:space="preserve">development kit, no radio</w:t>
            </w:r>
          </w:p>
        </w:tc>
        <w:tc>
          <w:tcPr>
            <w:tcW w:type="dxa" w:w="2407"/>
          </w:tcPr>
          <w:p>
            <w:pPr>
              <w:spacing w:after="20" w:before="20"/>
            </w:pPr>
            <w:r>
              <w:rPr>
                <w:sz w:val="18"/>
                <w:szCs w:val="18"/>
              </w:rPr>
              <w:t xml:space="preserve">717 kB / 16 MB (4.3 %)</w:t>
            </w:r>
          </w:p>
        </w:tc>
        <w:tc>
          <w:tcPr>
            <w:tcW w:type="dxa" w:w="1805"/>
          </w:tcPr>
          <w:p>
            <w:pPr>
              <w:spacing w:after="20" w:before="20"/>
            </w:pPr>
            <w:r>
              <w:rPr>
                <w:sz w:val="18"/>
                <w:szCs w:val="18"/>
              </w:rPr>
              <w:t xml:space="preserve">71 kB (17.1 %)</w:t>
            </w:r>
          </w:p>
        </w:tc>
        <w:tc>
          <w:tcPr>
            <w:tcW w:type="dxa" w:w="2407"/>
          </w:tcPr>
          <w:p>
            <w:pPr>
              <w:spacing w:after="20" w:before="20"/>
            </w:pPr>
            <w:r>
              <w:rPr>
                <w:sz w:val="18"/>
                <w:szCs w:val="18"/>
              </w:rPr>
              <w:t xml:space="preserve">228 kB / 390 kB (57.0 %)</w:t>
            </w:r>
          </w:p>
        </w:tc>
      </w:tr>
      <w:tr>
        <w:tc>
          <w:tcPr>
            <w:tcW w:type="dxa" w:w="2407"/>
          </w:tcPr>
          <w:p>
            <w:pPr>
              <w:spacing w:after="20" w:before="20"/>
            </w:pPr>
            <w:r>
              <w:rPr>
                <w:sz w:val="18"/>
                <w:szCs w:val="18"/>
              </w:rPr>
              <w:t xml:space="preserve">development kit + Wi-Fi</w:t>
            </w:r>
          </w:p>
        </w:tc>
        <w:tc>
          <w:tcPr>
            <w:tcW w:type="dxa" w:w="2407"/>
          </w:tcPr>
          <w:p>
            <w:pPr>
              <w:spacing w:after="20" w:before="20"/>
            </w:pPr>
            <w:r>
              <w:rPr>
                <w:sz w:val="18"/>
                <w:szCs w:val="18"/>
              </w:rPr>
              <w:t xml:space="preserve">1 091 kB / 16 MB (6.5 %)</w:t>
            </w:r>
          </w:p>
        </w:tc>
        <w:tc>
          <w:tcPr>
            <w:tcW w:type="dxa" w:w="1805"/>
          </w:tcPr>
          <w:p>
            <w:pPr>
              <w:spacing w:after="20" w:before="20"/>
            </w:pPr>
            <w:r>
              <w:rPr>
                <w:sz w:val="18"/>
                <w:szCs w:val="18"/>
              </w:rPr>
              <w:t xml:space="preserve">81 kB (19.5 %)</w:t>
            </w:r>
          </w:p>
        </w:tc>
        <w:tc>
          <w:tcPr>
            <w:tcW w:type="dxa" w:w="2407"/>
          </w:tcPr>
          <w:p>
            <w:pPr>
              <w:spacing w:after="20" w:before="20"/>
            </w:pPr>
            <w:r>
              <w:rPr>
                <w:sz w:val="18"/>
                <w:szCs w:val="18"/>
              </w:rPr>
              <w:t xml:space="preserve">322 kB / 390 kB (80.8 %)</w:t>
            </w:r>
          </w:p>
        </w:tc>
      </w:tr>
    </w:tbl>
    <w:p>
      <w:pPr>
        <w:spacing w:before="60" w:after="200"/>
        <w:jc w:val="left"/>
      </w:pPr>
      <w:r>
        <w:rPr>
          <w:sz w:val="18"/>
          <w:szCs w:val="18"/>
        </w:rPr>
        <w:t xml:space="preserve">Table 55. Build verification, all four combinations, built with </w:t>
      </w:r>
      <w:r>
        <w:rPr>
          <w:rFonts w:ascii="Consolas" w:hAnsi="Consolas"/>
          <w:sz w:val="17"/>
          <w:szCs w:val="17"/>
        </w:rPr>
        <w:t xml:space="preserve">-p always</w:t>
      </w:r>
      <w:r>
        <w:rPr>
          <w:sz w:val="18"/>
          <w:szCs w:val="18"/>
        </w:rPr>
        <w:t xml:space="preserve">. Flash is not a constraint on either board; internal data RAM is the only resource worth watching.</w:t>
      </w:r>
    </w:p>
    <w:p>
      <w:pPr>
        <w:spacing w:after="120"/>
      </w:pPr>
      <w:r>
        <w:rPr>
          <w:b/>
        </w:rPr>
        <w:t xml:space="preserve">The board that ships is the roomiest one.</w:t>
      </w:r>
      <w:r>
        <w:t xml:space="preserve"> The carrier build sits at 41 % of data RAM without the radio and 65 % with it, because it carries no LVGL; the 80.8 % figure belongs to the development-kit panel build. There is headroom there but not a great deal, and if it tightens the first levers are the LVGL memory pool (32 kB today), the network buffer counts and the HTTP server's stack. PSRAM is already enabled on the carrier target, so LVGL's frame buffers can move out of internal RAM if a panel is ever fitted to it. The thread analyser is compiled in, so the real high-water marks should be read rather than guessed at first boot.</w:t>
      </w:r>
    </w:p>
    <w:tbl>
      <w:tblPr>
        <w:tblStyle w:val="TableGrid"/>
        <w:tblW w:type="auto" w:w="0"/>
        <w:tblLayout w:type="fixed"/>
        <w:tblLook w:firstColumn="1" w:firstRow="1" w:lastColumn="0" w:lastRow="0" w:noHBand="0" w:noVBand="1" w:val="04A0"/>
      </w:tblPr>
      <w:tblGrid>
        <w:gridCol w:w="9026"/>
      </w:tblGrid>
      <w:tr>
        <w:tc>
          <w:tcPr>
            <w:tcW w:type="dxa" w:w="9029"/>
            <w:shd w:val="clear" w:color="auto" w:fill="F2F2F2"/>
          </w:tcPr>
          <w:p>
            <w:r>
              <w:rPr>
                <w:b/>
                <w:sz w:val="19"/>
                <w:szCs w:val="19"/>
              </w:rPr>
              <w:t xml:space="preserve">What "it compiles" does and does not mean</w:t>
            </w:r>
          </w:p>
          <w:p>
            <w:pPr>
              <w:spacing w:after="40"/>
            </w:pPr>
            <w:r>
              <w:rPr>
                <w:b/>
                <w:sz w:val="19"/>
                <w:szCs w:val="19"/>
              </w:rPr>
              <w:t xml:space="preserve">It means:</w:t>
            </w:r>
            <w:r>
              <w:rPr>
                <w:sz w:val="19"/>
                <w:szCs w:val="19"/>
              </w:rPr>
              <w:t xml:space="preserve"> every devicetree node resolves; every driver named exists in this tree; every API signature is correct at this revision; every alias the application dereferences is present in both overlays; and the whole image links inside the memory map with the margins in Table 55.</w:t>
            </w:r>
          </w:p>
          <w:p>
            <w:pPr>
              <w:spacing w:after="40"/>
            </w:pPr>
            <w:r>
              <w:rPr>
                <w:b/>
                <w:sz w:val="19"/>
                <w:szCs w:val="19"/>
              </w:rPr>
              <w:t xml:space="preserve">It does not mean any of it works.</w:t>
            </w:r>
            <w:r>
              <w:rPr>
                <w:sz w:val="19"/>
                <w:szCs w:val="19"/>
              </w:rPr>
              <w:t xml:space="preserve"> Nothing has been flashed. No sensor has been read, no actuator has moved, no loop has closed and no fault path has ever been taken. The bring-up ladder below is the distance between this section and an instrument, and </w:t>
            </w:r>
            <w:r>
              <w:rPr>
                <w:b/>
                <w:sz w:val="19"/>
                <w:szCs w:val="19"/>
              </w:rPr>
              <w:t xml:space="preserve">F3 is the rung that matters</w:t>
            </w:r>
            <w:r>
              <w:rPr>
                <w:sz w:val="19"/>
                <w:szCs w:val="19"/>
              </w:rPr>
              <w:t xml:space="preserve">: if a known 100 W does not read back as 100 W, nothing above F3 means anything.</w:t>
            </w:r>
          </w:p>
        </w:tc>
      </w:tr>
    </w:tbl>
    <w:p/>
    <w:p>
      <w:pPr>
        <w:pStyle w:val="Heading2"/>
      </w:pPr>
      <w:r>
        <w:t xml:space="preserve">Bring-up, open items and handover</w:t>
      </w:r>
    </w:p>
    <w:p>
      <w:pPr>
        <w:pStyle w:val="Heading3"/>
      </w:pPr>
      <w:r>
        <w:t xml:space="preserve">The bring-up ladder</w:t>
      </w:r>
    </w:p>
    <w:p>
      <w:pPr>
        <w:spacing w:after="120"/>
      </w:pPr>
      <w:r>
        <w:t xml:space="preserve">Do not climb past a rung that is red.</w:t>
      </w:r>
    </w:p>
    <w:tbl>
      <w:tblPr>
        <w:tblStyle w:val="TableGrid"/>
        <w:tblW w:type="auto" w:w="0"/>
        <w:jc w:val="center"/>
        <w:tblLayout w:type="fixed"/>
        <w:tblLook w:firstColumn="1" w:firstRow="1" w:lastColumn="0" w:lastRow="0" w:noHBand="0" w:noVBand="1" w:val="04A0"/>
      </w:tblPr>
      <w:tblGrid>
        <w:gridCol w:w="602"/>
        <w:gridCol w:w="2206"/>
        <w:gridCol w:w="6218"/>
      </w:tblGrid>
      <w:tr>
        <w:trPr>
          <w:tblHeader w:val="true"/>
        </w:trPr>
        <w:tc>
          <w:tcPr>
            <w:tcW w:type="dxa" w:w="602"/>
            <w:shd w:val="clear" w:color="auto" w:fill="DEEAF6"/>
          </w:tcPr>
          <w:p>
            <w:pPr>
              <w:spacing w:after="20" w:before="20"/>
            </w:pPr>
            <w:r>
              <w:rPr>
                <w:b/>
                <w:sz w:val="18"/>
                <w:szCs w:val="18"/>
              </w:rPr>
              <w:t xml:space="preserve">#</w:t>
            </w:r>
          </w:p>
        </w:tc>
        <w:tc>
          <w:tcPr>
            <w:tcW w:type="dxa" w:w="2206"/>
            <w:shd w:val="clear" w:color="auto" w:fill="DEEAF6"/>
          </w:tcPr>
          <w:p>
            <w:pPr>
              <w:spacing w:after="20" w:before="20"/>
            </w:pPr>
            <w:r>
              <w:rPr>
                <w:b/>
                <w:sz w:val="18"/>
                <w:szCs w:val="18"/>
              </w:rPr>
              <w:t xml:space="preserve">Stage</w:t>
            </w:r>
          </w:p>
        </w:tc>
        <w:tc>
          <w:tcPr>
            <w:tcW w:type="dxa" w:w="6218"/>
            <w:shd w:val="clear" w:color="auto" w:fill="DEEAF6"/>
          </w:tcPr>
          <w:p>
            <w:pPr>
              <w:spacing w:after="20" w:before="20"/>
            </w:pPr>
            <w:r>
              <w:rPr>
                <w:b/>
                <w:sz w:val="18"/>
                <w:szCs w:val="18"/>
              </w:rPr>
              <w:t xml:space="preserve">Exit criterion</w:t>
            </w:r>
          </w:p>
        </w:tc>
      </w:tr>
      <w:tr>
        <w:tc>
          <w:tcPr>
            <w:tcW w:type="dxa" w:w="602"/>
          </w:tcPr>
          <w:p>
            <w:pPr>
              <w:spacing w:after="20" w:before="20"/>
            </w:pPr>
            <w:r>
              <w:rPr>
                <w:sz w:val="18"/>
                <w:szCs w:val="18"/>
              </w:rPr>
              <w:t xml:space="preserve">F0</w:t>
            </w:r>
          </w:p>
        </w:tc>
        <w:tc>
          <w:tcPr>
            <w:tcW w:type="dxa" w:w="2206"/>
          </w:tcPr>
          <w:p>
            <w:pPr>
              <w:spacing w:after="20" w:before="20"/>
            </w:pPr>
            <w:r>
              <w:rPr>
                <w:sz w:val="18"/>
                <w:szCs w:val="18"/>
              </w:rPr>
              <w:t xml:space="preserve">build, flash, shell</w:t>
            </w:r>
          </w:p>
        </w:tc>
        <w:tc>
          <w:tcPr>
            <w:tcW w:type="dxa" w:w="6218"/>
          </w:tcPr>
          <w:p>
            <w:pPr>
              <w:spacing w:after="20" w:before="20"/>
            </w:pPr>
            <w:r>
              <w:rPr>
                <w:sz w:val="18"/>
                <w:szCs w:val="18"/>
              </w:rPr>
              <w:t xml:space="preserve">every device binding resolves; </w:t>
            </w:r>
            <w:r>
              <w:rPr>
                <w:rFonts w:ascii="Consolas" w:hAnsi="Consolas"/>
                <w:sz w:val="17"/>
                <w:szCs w:val="17"/>
              </w:rPr>
              <w:t xml:space="preserve">cal status</w:t>
            </w:r>
            <w:r>
              <w:rPr>
                <w:sz w:val="18"/>
                <w:szCs w:val="18"/>
              </w:rPr>
              <w:t xml:space="preserve"> prints</w:t>
            </w:r>
          </w:p>
        </w:tc>
      </w:tr>
      <w:tr>
        <w:tc>
          <w:tcPr>
            <w:tcW w:type="dxa" w:w="602"/>
          </w:tcPr>
          <w:p>
            <w:pPr>
              <w:spacing w:after="20" w:before="20"/>
            </w:pPr>
            <w:r>
              <w:rPr>
                <w:sz w:val="18"/>
                <w:szCs w:val="18"/>
              </w:rPr>
              <w:t xml:space="preserve">F1</w:t>
            </w:r>
          </w:p>
        </w:tc>
        <w:tc>
          <w:tcPr>
            <w:tcW w:type="dxa" w:w="2206"/>
          </w:tcPr>
          <w:p>
            <w:pPr>
              <w:spacing w:after="20" w:before="20"/>
            </w:pPr>
            <w:r>
              <w:rPr>
                <w:sz w:val="18"/>
                <w:szCs w:val="18"/>
              </w:rPr>
              <w:t xml:space="preserve">acquisition</w:t>
            </w:r>
          </w:p>
        </w:tc>
        <w:tc>
          <w:tcPr>
            <w:tcW w:type="dxa" w:w="6218"/>
          </w:tcPr>
          <w:p>
            <w:pPr>
              <w:spacing w:after="20" w:before="20"/>
            </w:pPr>
            <w:r>
              <w:rPr>
                <w:rFonts w:ascii="Consolas" w:hAnsi="Consolas"/>
                <w:sz w:val="17"/>
                <w:szCs w:val="17"/>
              </w:rPr>
              <w:t xml:space="preserve">cal soak</w:t>
            </w:r>
            <w:r>
              <w:rPr>
                <w:sz w:val="18"/>
                <w:szCs w:val="18"/>
              </w:rPr>
              <w:t xml:space="preserve"> passes: all sensors within ±2 K, offsets stored</w:t>
            </w:r>
          </w:p>
        </w:tc>
      </w:tr>
      <w:tr>
        <w:tc>
          <w:tcPr>
            <w:tcW w:type="dxa" w:w="602"/>
          </w:tcPr>
          <w:p>
            <w:pPr>
              <w:spacing w:after="20" w:before="20"/>
            </w:pPr>
            <w:r>
              <w:rPr>
                <w:sz w:val="18"/>
                <w:szCs w:val="18"/>
              </w:rPr>
              <w:t xml:space="preserve">F2</w:t>
            </w:r>
          </w:p>
        </w:tc>
        <w:tc>
          <w:tcPr>
            <w:tcW w:type="dxa" w:w="2206"/>
          </w:tcPr>
          <w:p>
            <w:pPr>
              <w:spacing w:after="20" w:before="20"/>
            </w:pPr>
            <w:r>
              <w:rPr>
                <w:sz w:val="18"/>
                <w:szCs w:val="18"/>
              </w:rPr>
              <w:t xml:space="preserve">actuators and self-test</w:t>
            </w:r>
          </w:p>
        </w:tc>
        <w:tc>
          <w:tcPr>
            <w:tcW w:type="dxa" w:w="6218"/>
          </w:tcPr>
          <w:p>
            <w:pPr>
              <w:spacing w:after="20" w:before="20"/>
            </w:pPr>
            <w:r>
              <w:rPr>
                <w:sz w:val="18"/>
                <w:szCs w:val="18"/>
              </w:rPr>
              <w:t xml:space="preserve">every self-test row within tolerance</w:t>
            </w:r>
          </w:p>
        </w:tc>
      </w:tr>
      <w:tr>
        <w:tc>
          <w:tcPr>
            <w:tcW w:type="dxa" w:w="602"/>
          </w:tcPr>
          <w:p>
            <w:pPr>
              <w:spacing w:after="20" w:before="20"/>
            </w:pPr>
            <w:r>
              <w:rPr>
                <w:sz w:val="18"/>
                <w:szCs w:val="18"/>
              </w:rPr>
              <w:t xml:space="preserve">F3</w:t>
            </w:r>
          </w:p>
        </w:tc>
        <w:tc>
          <w:tcPr>
            <w:tcW w:type="dxa" w:w="2206"/>
          </w:tcPr>
          <w:p>
            <w:pPr>
              <w:spacing w:after="20" w:before="20"/>
            </w:pPr>
            <w:r>
              <w:rPr>
                <w:b/>
                <w:sz w:val="18"/>
                <w:szCs w:val="18"/>
              </w:rPr>
              <w:t xml:space="preserve">the meter</w:t>
            </w:r>
          </w:p>
        </w:tc>
        <w:tc>
          <w:tcPr>
            <w:tcW w:type="dxa" w:w="6218"/>
          </w:tcPr>
          <w:p>
            <w:pPr>
              <w:spacing w:after="20" w:before="20"/>
            </w:pPr>
            <w:r>
              <w:rPr>
                <w:rFonts w:ascii="Consolas" w:hAnsi="Consolas"/>
                <w:sz w:val="17"/>
                <w:szCs w:val="17"/>
              </w:rPr>
              <w:t xml:space="preserve">cal subst 100</w:t>
            </w:r>
            <w:r>
              <w:rPr>
                <w:sz w:val="18"/>
                <w:szCs w:val="18"/>
              </w:rPr>
              <w:t xml:space="preserve"> reads back within ±1 W — </w:t>
            </w:r>
            <w:r>
              <w:rPr>
                <w:b/>
                <w:sz w:val="18"/>
                <w:szCs w:val="18"/>
              </w:rPr>
              <w:t xml:space="preserve">the whole instrument in miniature</w:t>
            </w:r>
          </w:p>
        </w:tc>
      </w:tr>
      <w:tr>
        <w:tc>
          <w:tcPr>
            <w:tcW w:type="dxa" w:w="602"/>
          </w:tcPr>
          <w:p>
            <w:pPr>
              <w:spacing w:after="20" w:before="20"/>
            </w:pPr>
            <w:r>
              <w:rPr>
                <w:sz w:val="18"/>
                <w:szCs w:val="18"/>
              </w:rPr>
              <w:t xml:space="preserve">F4</w:t>
            </w:r>
          </w:p>
        </w:tc>
        <w:tc>
          <w:tcPr>
            <w:tcW w:type="dxa" w:w="2206"/>
          </w:tcPr>
          <w:p>
            <w:pPr>
              <w:spacing w:after="20" w:before="20"/>
            </w:pPr>
            <w:r>
              <w:rPr>
                <w:sz w:val="18"/>
                <w:szCs w:val="18"/>
              </w:rPr>
              <w:t xml:space="preserve">reject loop</w:t>
            </w:r>
          </w:p>
        </w:tc>
        <w:tc>
          <w:tcPr>
            <w:tcW w:type="dxa" w:w="6218"/>
          </w:tcPr>
          <w:p>
            <w:pPr>
              <w:spacing w:after="20" w:before="20"/>
            </w:pPr>
            <w:r>
              <w:rPr>
                <w:sz w:val="18"/>
                <w:szCs w:val="18"/>
              </w:rPr>
              <w:t xml:space="preserve">the inlet holds its setpoint within ±0.2 K across a load sweep</w:t>
            </w:r>
          </w:p>
        </w:tc>
      </w:tr>
      <w:tr>
        <w:tc>
          <w:tcPr>
            <w:tcW w:type="dxa" w:w="602"/>
          </w:tcPr>
          <w:p>
            <w:pPr>
              <w:spacing w:after="20" w:before="20"/>
            </w:pPr>
            <w:r>
              <w:rPr>
                <w:sz w:val="18"/>
                <w:szCs w:val="18"/>
              </w:rPr>
              <w:t xml:space="preserve">F5</w:t>
            </w:r>
          </w:p>
        </w:tc>
        <w:tc>
          <w:tcPr>
            <w:tcW w:type="dxa" w:w="2206"/>
          </w:tcPr>
          <w:p>
            <w:pPr>
              <w:spacing w:after="20" w:before="20"/>
            </w:pPr>
            <w:r>
              <w:rPr>
                <w:sz w:val="18"/>
                <w:szCs w:val="18"/>
              </w:rPr>
              <w:t xml:space="preserve">guard loop</w:t>
            </w:r>
          </w:p>
        </w:tc>
        <w:tc>
          <w:tcPr>
            <w:tcW w:type="dxa" w:w="6218"/>
          </w:tcPr>
          <w:p>
            <w:pPr>
              <w:spacing w:after="20" w:before="20"/>
            </w:pPr>
            <w:r>
              <w:rPr>
                <w:sz w:val="18"/>
                <w:szCs w:val="18"/>
              </w:rPr>
              <w:t xml:space="preserve">the null error reaches the noise floor; the guard integrator converges; anti-windup verified by forcing saturation</w:t>
            </w:r>
          </w:p>
        </w:tc>
      </w:tr>
      <w:tr>
        <w:tc>
          <w:tcPr>
            <w:tcW w:type="dxa" w:w="602"/>
          </w:tcPr>
          <w:p>
            <w:pPr>
              <w:spacing w:after="20" w:before="20"/>
            </w:pPr>
            <w:r>
              <w:rPr>
                <w:sz w:val="18"/>
                <w:szCs w:val="18"/>
              </w:rPr>
              <w:t xml:space="preserve">F6</w:t>
            </w:r>
          </w:p>
        </w:tc>
        <w:tc>
          <w:tcPr>
            <w:tcW w:type="dxa" w:w="2206"/>
          </w:tcPr>
          <w:p>
            <w:pPr>
              <w:spacing w:after="20" w:before="20"/>
            </w:pPr>
            <w:r>
              <w:rPr>
                <w:sz w:val="18"/>
                <w:szCs w:val="18"/>
              </w:rPr>
              <w:t xml:space="preserve">gates and supervisor</w:t>
            </w:r>
          </w:p>
        </w:tc>
        <w:tc>
          <w:tcPr>
            <w:tcW w:type="dxa" w:w="6218"/>
          </w:tcPr>
          <w:p>
            <w:pPr>
              <w:spacing w:after="20" w:before="20"/>
            </w:pPr>
            <w:r>
              <w:rPr>
                <w:sz w:val="18"/>
                <w:szCs w:val="18"/>
              </w:rPr>
              <w:t xml:space="preserve">one point taken start-to-logged, unattended</w:t>
            </w:r>
          </w:p>
        </w:tc>
      </w:tr>
      <w:tr>
        <w:tc>
          <w:tcPr>
            <w:tcW w:type="dxa" w:w="602"/>
          </w:tcPr>
          <w:p>
            <w:pPr>
              <w:spacing w:after="20" w:before="20"/>
            </w:pPr>
            <w:r>
              <w:rPr>
                <w:sz w:val="18"/>
                <w:szCs w:val="18"/>
              </w:rPr>
              <w:t xml:space="preserve">F7</w:t>
            </w:r>
          </w:p>
        </w:tc>
        <w:tc>
          <w:tcPr>
            <w:tcW w:type="dxa" w:w="2206"/>
          </w:tcPr>
          <w:p>
            <w:pPr>
              <w:spacing w:after="20" w:before="20"/>
            </w:pPr>
            <w:r>
              <w:rPr>
                <w:sz w:val="18"/>
                <w:szCs w:val="18"/>
              </w:rPr>
              <w:t xml:space="preserve">observer</w:t>
            </w:r>
          </w:p>
        </w:tc>
        <w:tc>
          <w:tcPr>
            <w:tcW w:type="dxa" w:w="6218"/>
          </w:tcPr>
          <w:p>
            <w:pPr>
              <w:spacing w:after="20" w:before="20"/>
            </w:pPr>
            <w:r>
              <w:rPr>
                <w:sz w:val="18"/>
                <w:szCs w:val="18"/>
              </w:rPr>
              <w:t xml:space="preserve">the estimate agrees with the fully settled reading at every corner</w:t>
            </w:r>
          </w:p>
        </w:tc>
      </w:tr>
      <w:tr>
        <w:tc>
          <w:tcPr>
            <w:tcW w:type="dxa" w:w="602"/>
          </w:tcPr>
          <w:p>
            <w:pPr>
              <w:spacing w:after="20" w:before="20"/>
            </w:pPr>
            <w:r>
              <w:rPr>
                <w:sz w:val="18"/>
                <w:szCs w:val="18"/>
              </w:rPr>
              <w:t xml:space="preserve">F8</w:t>
            </w:r>
          </w:p>
        </w:tc>
        <w:tc>
          <w:tcPr>
            <w:tcW w:type="dxa" w:w="2206"/>
          </w:tcPr>
          <w:p>
            <w:pPr>
              <w:spacing w:after="20" w:before="20"/>
            </w:pPr>
            <w:r>
              <w:rPr>
                <w:sz w:val="18"/>
                <w:szCs w:val="18"/>
              </w:rPr>
              <w:t xml:space="preserve">safety</w:t>
            </w:r>
          </w:p>
        </w:tc>
        <w:tc>
          <w:tcPr>
            <w:tcW w:type="dxa" w:w="6218"/>
          </w:tcPr>
          <w:p>
            <w:pPr>
              <w:spacing w:after="20" w:before="20"/>
            </w:pPr>
            <w:r>
              <w:rPr>
                <w:b/>
                <w:sz w:val="18"/>
                <w:szCs w:val="18"/>
              </w:rPr>
              <w:t xml:space="preserve">actually break things</w:t>
            </w:r>
            <w:r>
              <w:rPr>
                <w:sz w:val="18"/>
                <w:szCs w:val="18"/>
              </w:rPr>
              <w:t xml:space="preserve">: pull SDA low, unplug a sensor, stall a fan, stop the pump, hang the control loop</w:t>
            </w:r>
          </w:p>
        </w:tc>
      </w:tr>
    </w:tbl>
    <w:p>
      <w:pPr>
        <w:spacing w:before="60" w:after="200"/>
        <w:jc w:val="left"/>
      </w:pPr>
      <w:r>
        <w:rPr>
          <w:sz w:val="18"/>
          <w:szCs w:val="18"/>
        </w:rPr>
        <w:t xml:space="preserve">Table 56. The bring-up ladder. F8 must be done by breaking things, not by reading code — an untested fault path is a fault path that does not exist.</w:t>
      </w:r>
    </w:p>
    <w:p>
      <w:pPr>
        <w:pStyle w:val="Heading3"/>
      </w:pPr>
      <w:r>
        <w:t xml:space="preserve">Open items</w:t>
      </w:r>
    </w:p>
    <w:tbl>
      <w:tblPr>
        <w:tblStyle w:val="TableGrid"/>
        <w:tblW w:type="auto" w:w="0"/>
        <w:jc w:val="center"/>
        <w:tblLayout w:type="fixed"/>
        <w:tblLook w:firstColumn="1" w:firstRow="1" w:lastColumn="0" w:lastRow="0" w:noHBand="0" w:noVBand="1" w:val="04A0"/>
      </w:tblPr>
      <w:tblGrid>
        <w:gridCol w:w="501"/>
        <w:gridCol w:w="2206"/>
        <w:gridCol w:w="4312"/>
        <w:gridCol w:w="2007"/>
      </w:tblGrid>
      <w:tr>
        <w:trPr>
          <w:tblHeader w:val="true"/>
        </w:trPr>
        <w:tc>
          <w:tcPr>
            <w:tcW w:type="dxa" w:w="501"/>
            <w:shd w:val="clear" w:color="auto" w:fill="DEEAF6"/>
          </w:tcPr>
          <w:p>
            <w:pPr>
              <w:spacing w:after="20" w:before="20"/>
            </w:pPr>
            <w:r>
              <w:rPr>
                <w:b/>
                <w:sz w:val="18"/>
                <w:szCs w:val="18"/>
              </w:rPr>
              <w:t xml:space="preserve">#</w:t>
            </w:r>
          </w:p>
        </w:tc>
        <w:tc>
          <w:tcPr>
            <w:tcW w:type="dxa" w:w="2206"/>
            <w:shd w:val="clear" w:color="auto" w:fill="DEEAF6"/>
          </w:tcPr>
          <w:p>
            <w:pPr>
              <w:spacing w:after="20" w:before="20"/>
            </w:pPr>
            <w:r>
              <w:rPr>
                <w:b/>
                <w:sz w:val="18"/>
                <w:szCs w:val="18"/>
              </w:rPr>
              <w:t xml:space="preserve">Item</w:t>
            </w:r>
          </w:p>
        </w:tc>
        <w:tc>
          <w:tcPr>
            <w:tcW w:type="dxa" w:w="4312"/>
            <w:shd w:val="clear" w:color="auto" w:fill="DEEAF6"/>
          </w:tcPr>
          <w:p>
            <w:pPr>
              <w:spacing w:after="20" w:before="20"/>
            </w:pPr>
            <w:r>
              <w:rPr>
                <w:b/>
                <w:sz w:val="18"/>
                <w:szCs w:val="18"/>
              </w:rPr>
              <w:t xml:space="preserve">Why it matters</w:t>
            </w:r>
          </w:p>
        </w:tc>
        <w:tc>
          <w:tcPr>
            <w:tcW w:type="dxa" w:w="2007"/>
            <w:shd w:val="clear" w:color="auto" w:fill="DEEAF6"/>
          </w:tcPr>
          <w:p>
            <w:pPr>
              <w:spacing w:after="20" w:before="20"/>
            </w:pPr>
            <w:r>
              <w:rPr>
                <w:b/>
                <w:sz w:val="18"/>
                <w:szCs w:val="18"/>
              </w:rPr>
              <w:t xml:space="preserve">Where it lands</w:t>
            </w:r>
          </w:p>
        </w:tc>
      </w:tr>
      <w:tr>
        <w:tc>
          <w:tcPr>
            <w:tcW w:type="dxa" w:w="501"/>
          </w:tcPr>
          <w:p>
            <w:pPr>
              <w:spacing w:after="20" w:before="20"/>
            </w:pPr>
            <w:r>
              <w:rPr>
                <w:sz w:val="18"/>
                <w:szCs w:val="18"/>
              </w:rPr>
              <w:t xml:space="preserve">1</w:t>
            </w:r>
          </w:p>
        </w:tc>
        <w:tc>
          <w:tcPr>
            <w:tcW w:type="dxa" w:w="2206"/>
          </w:tcPr>
          <w:p>
            <w:pPr>
              <w:spacing w:after="20" w:before="20"/>
            </w:pPr>
            <w:r>
              <w:rPr>
                <w:sz w:val="18"/>
                <w:szCs w:val="18"/>
              </w:rPr>
              <w:t xml:space="preserve">Gravimetric flow calibration</w:t>
            </w:r>
          </w:p>
        </w:tc>
        <w:tc>
          <w:tcPr>
            <w:tcW w:type="dxa" w:w="4312"/>
          </w:tcPr>
          <w:p>
            <w:pPr>
              <w:spacing w:after="20" w:before="20"/>
            </w:pPr>
            <w:r>
              <w:rPr>
                <w:sz w:val="18"/>
                <w:szCs w:val="18"/>
              </w:rPr>
              <w:t xml:space="preserve">Rank 1 of the error budget (§5.6): 0.75 W at +0.5 %, and the one error no control loop can rescue. The scale-factor setter and its storage slot already exist; the number is a bucket and a scale.</w:t>
            </w:r>
          </w:p>
        </w:tc>
        <w:tc>
          <w:tcPr>
            <w:tcW w:type="dxa" w:w="2007"/>
          </w:tcPr>
          <w:p>
            <w:pPr>
              <w:spacing w:after="20" w:before="20"/>
            </w:pPr>
            <w:r>
              <w:rPr>
                <w:sz w:val="18"/>
                <w:szCs w:val="18"/>
              </w:rPr>
              <w:t xml:space="preserve">commissioning, before F3 is trusted</w:t>
            </w:r>
          </w:p>
        </w:tc>
      </w:tr>
      <w:tr>
        <w:tc>
          <w:tcPr>
            <w:tcW w:type="dxa" w:w="501"/>
          </w:tcPr>
          <w:p>
            <w:pPr>
              <w:spacing w:after="20" w:before="20"/>
            </w:pPr>
            <w:r>
              <w:rPr>
                <w:sz w:val="18"/>
                <w:szCs w:val="18"/>
              </w:rPr>
              <w:t xml:space="preserve">2</w:t>
            </w:r>
          </w:p>
        </w:tc>
        <w:tc>
          <w:tcPr>
            <w:tcW w:type="dxa" w:w="2206"/>
          </w:tcPr>
          <w:p>
            <w:pPr>
              <w:spacing w:after="20" w:before="20"/>
            </w:pPr>
            <w:r>
              <w:rPr>
                <w:sz w:val="18"/>
                <w:szCs w:val="18"/>
              </w:rPr>
              <w:t xml:space="preserve">Fix </w:t>
            </w:r>
            <w:r>
              <w:rPr>
                <w:rFonts w:ascii="Consolas" w:hAnsi="Consolas"/>
                <w:sz w:val="17"/>
                <w:szCs w:val="17"/>
              </w:rPr>
              <w:t xml:space="preserve">alpha</w:t>
            </w:r>
            <w:r>
              <w:rPr>
                <w:sz w:val="18"/>
                <w:szCs w:val="18"/>
              </w:rPr>
              <w:t xml:space="preserve"> in </w:t>
            </w:r>
            <w:r>
              <w:rPr>
                <w:rFonts w:ascii="Consolas" w:hAnsi="Consolas"/>
                <w:sz w:val="17"/>
                <w:szCs w:val="17"/>
              </w:rPr>
              <w:t xml:space="preserve">params.yaml</w:t>
            </w:r>
          </w:p>
        </w:tc>
        <w:tc>
          <w:tcPr>
            <w:tcW w:type="dxa" w:w="4312"/>
          </w:tcPr>
          <w:p>
            <w:pPr>
              <w:spacing w:after="20" w:before="20"/>
            </w:pPr>
            <w:r>
              <w:rPr>
                <w:sz w:val="18"/>
                <w:szCs w:val="18"/>
              </w:rPr>
              <w:t xml:space="preserve">It still defaults to the dropped copper-block operating point, so the generator overrides it (§9.7). Correcting the source removes the divergence rather than papering over it.</w:t>
            </w:r>
          </w:p>
        </w:tc>
        <w:tc>
          <w:tcPr>
            <w:tcW w:type="dxa" w:w="2007"/>
          </w:tcPr>
          <w:p>
            <w:pPr>
              <w:spacing w:after="20" w:before="20"/>
            </w:pPr>
            <w:r>
              <w:rPr>
                <w:sz w:val="18"/>
                <w:szCs w:val="18"/>
              </w:rPr>
              <w:t xml:space="preserve">one line in </w:t>
            </w:r>
            <w:r>
              <w:rPr>
                <w:rFonts w:ascii="Consolas" w:hAnsi="Consolas"/>
                <w:sz w:val="17"/>
                <w:szCs w:val="17"/>
              </w:rPr>
              <w:t xml:space="preserve">params.yaml</w:t>
            </w:r>
          </w:p>
        </w:tc>
      </w:tr>
      <w:tr>
        <w:tc>
          <w:tcPr>
            <w:tcW w:type="dxa" w:w="501"/>
          </w:tcPr>
          <w:p>
            <w:pPr>
              <w:spacing w:after="20" w:before="20"/>
            </w:pPr>
            <w:r>
              <w:rPr>
                <w:sz w:val="18"/>
                <w:szCs w:val="18"/>
              </w:rPr>
              <w:t xml:space="preserve">3</w:t>
            </w:r>
          </w:p>
        </w:tc>
        <w:tc>
          <w:tcPr>
            <w:tcW w:type="dxa" w:w="2206"/>
          </w:tcPr>
          <w:p>
            <w:pPr>
              <w:spacing w:after="20" w:before="20"/>
            </w:pPr>
            <w:r>
              <w:rPr>
                <w:sz w:val="18"/>
                <w:szCs w:val="18"/>
              </w:rPr>
              <w:t xml:space="preserve">Measure the sensor lag at F1</w:t>
            </w:r>
          </w:p>
        </w:tc>
        <w:tc>
          <w:tcPr>
            <w:tcW w:type="dxa" w:w="4312"/>
          </w:tcPr>
          <w:p>
            <w:pPr>
              <w:spacing w:after="20" w:before="20"/>
            </w:pPr>
            <w:r>
              <w:rPr>
                <w:sz w:val="18"/>
                <w:szCs w:val="18"/>
              </w:rPr>
              <w:t xml:space="preserve">The 5 s first-order sensor lag carried in the parameter set (§7.3) is a placeholder. Step the chamber, fit the lag, feed the real number back into </w:t>
            </w:r>
            <w:r>
              <w:rPr>
                <w:rFonts w:ascii="Consolas" w:hAnsi="Consolas"/>
                <w:sz w:val="17"/>
                <w:szCs w:val="17"/>
              </w:rPr>
              <w:t xml:space="preserve">params.yaml</w:t>
            </w:r>
            <w:r>
              <w:rPr>
                <w:sz w:val="18"/>
                <w:szCs w:val="18"/>
              </w:rPr>
              <w:t xml:space="preserve">.</w:t>
            </w:r>
          </w:p>
        </w:tc>
        <w:tc>
          <w:tcPr>
            <w:tcW w:type="dxa" w:w="2007"/>
          </w:tcPr>
          <w:p>
            <w:pPr>
              <w:spacing w:after="20" w:before="20"/>
            </w:pPr>
            <w:r>
              <w:rPr>
                <w:sz w:val="18"/>
                <w:szCs w:val="18"/>
              </w:rPr>
              <w:t xml:space="preserve">bring-up F1</w:t>
            </w:r>
          </w:p>
        </w:tc>
      </w:tr>
      <w:tr>
        <w:tc>
          <w:tcPr>
            <w:tcW w:type="dxa" w:w="501"/>
          </w:tcPr>
          <w:p>
            <w:pPr>
              <w:spacing w:after="20" w:before="20"/>
            </w:pPr>
            <w:r>
              <w:rPr>
                <w:sz w:val="18"/>
                <w:szCs w:val="18"/>
              </w:rPr>
              <w:t xml:space="preserve">4</w:t>
            </w:r>
          </w:p>
        </w:tc>
        <w:tc>
          <w:tcPr>
            <w:tcW w:type="dxa" w:w="2206"/>
          </w:tcPr>
          <w:p>
            <w:pPr>
              <w:spacing w:after="20" w:before="20"/>
            </w:pPr>
            <w:r>
              <w:rPr>
                <w:sz w:val="18"/>
                <w:szCs w:val="18"/>
              </w:rPr>
              <w:t xml:space="preserve">Trim the reject radiator's full-scale capacity at F4</w:t>
            </w:r>
          </w:p>
        </w:tc>
        <w:tc>
          <w:tcPr>
            <w:tcW w:type="dxa" w:w="4312"/>
          </w:tcPr>
          <w:p>
            <w:pPr>
              <w:spacing w:after="20" w:before="20"/>
            </w:pPr>
            <w:r>
              <w:rPr>
                <w:sz w:val="18"/>
                <w:szCs w:val="18"/>
              </w:rPr>
              <w:t xml:space="preserve">The cooling-watts-to-fan-duty mapping is a design estimate. It affects settling only, never the reading.</w:t>
            </w:r>
          </w:p>
        </w:tc>
        <w:tc>
          <w:tcPr>
            <w:tcW w:type="dxa" w:w="2007"/>
          </w:tcPr>
          <w:p>
            <w:pPr>
              <w:spacing w:after="20" w:before="20"/>
            </w:pPr>
            <w:r>
              <w:rPr>
                <w:sz w:val="18"/>
                <w:szCs w:val="18"/>
              </w:rPr>
              <w:t xml:space="preserve">bring-up F4</w:t>
            </w:r>
          </w:p>
        </w:tc>
      </w:tr>
      <w:tr>
        <w:tc>
          <w:tcPr>
            <w:tcW w:type="dxa" w:w="501"/>
          </w:tcPr>
          <w:p>
            <w:pPr>
              <w:spacing w:after="20" w:before="20"/>
            </w:pPr>
            <w:r>
              <w:rPr>
                <w:sz w:val="18"/>
                <w:szCs w:val="18"/>
              </w:rPr>
              <w:t xml:space="preserve">5</w:t>
            </w:r>
          </w:p>
        </w:tc>
        <w:tc>
          <w:tcPr>
            <w:tcW w:type="dxa" w:w="2206"/>
          </w:tcPr>
          <w:p>
            <w:pPr>
              <w:spacing w:after="20" w:before="20"/>
            </w:pPr>
            <w:r>
              <w:rPr>
                <w:sz w:val="18"/>
                <w:szCs w:val="18"/>
              </w:rPr>
              <w:t xml:space="preserve">One multiplexed RTD converter instead of two</w:t>
            </w:r>
          </w:p>
        </w:tc>
        <w:tc>
          <w:tcPr>
            <w:tcW w:type="dxa" w:w="4312"/>
          </w:tcPr>
          <w:p>
            <w:pPr>
              <w:spacing w:after="20" w:before="20"/>
            </w:pPr>
            <w:r>
              <w:rPr>
                <w:sz w:val="18"/>
                <w:szCs w:val="18"/>
              </w:rPr>
              <w:t xml:space="preserve">The two converters' reference resistors do not cancel in the difference. This is the difference between 0.38 W and ≈ 4 W should the per-range tare ever fail to cover the mismatch — and it also brings back the A/B chop, and with it the separate acquisition thread of §9.14.</w:t>
            </w:r>
          </w:p>
        </w:tc>
        <w:tc>
          <w:tcPr>
            <w:tcW w:type="dxa" w:w="2007"/>
          </w:tcPr>
          <w:p>
            <w:pPr>
              <w:spacing w:after="20" w:before="20"/>
            </w:pPr>
            <w:r>
              <w:rPr>
                <w:sz w:val="18"/>
                <w:szCs w:val="18"/>
              </w:rPr>
              <w:t xml:space="preserve">§8, next board revision</w:t>
            </w:r>
          </w:p>
        </w:tc>
      </w:tr>
      <w:tr>
        <w:tc>
          <w:tcPr>
            <w:tcW w:type="dxa" w:w="501"/>
          </w:tcPr>
          <w:p>
            <w:pPr>
              <w:spacing w:after="20" w:before="20"/>
            </w:pPr>
            <w:r>
              <w:rPr>
                <w:sz w:val="18"/>
                <w:szCs w:val="18"/>
              </w:rPr>
              <w:t xml:space="preserve">6</w:t>
            </w:r>
          </w:p>
        </w:tc>
        <w:tc>
          <w:tcPr>
            <w:tcW w:type="dxa" w:w="2206"/>
          </w:tcPr>
          <w:p>
            <w:pPr>
              <w:spacing w:after="20" w:before="20"/>
            </w:pPr>
            <w:r>
              <w:rPr>
                <w:sz w:val="18"/>
                <w:szCs w:val="18"/>
              </w:rPr>
              <w:t xml:space="preserve">Confirm the pump motor's phase current</w:t>
            </w:r>
          </w:p>
        </w:tc>
        <w:tc>
          <w:tcPr>
            <w:tcW w:type="dxa" w:w="4312"/>
          </w:tcPr>
          <w:p>
            <w:pPr>
              <w:spacing w:after="20" w:before="20"/>
            </w:pPr>
            <w:r>
              <w:rPr>
                <w:sz w:val="18"/>
                <w:szCs w:val="18"/>
              </w:rPr>
              <w:t xml:space="preserve">The stepper driver's run-current limit defaults to a deliberately low 1 A RMS because the vendor has not published the number. Raising it is one devicetree property — which is exactly what an SPI-configurable limit buys over a soldered sense resistor.</w:t>
            </w:r>
          </w:p>
        </w:tc>
        <w:tc>
          <w:tcPr>
            <w:tcW w:type="dxa" w:w="2007"/>
          </w:tcPr>
          <w:p>
            <w:pPr>
              <w:spacing w:after="20" w:before="20"/>
            </w:pPr>
            <w:r>
              <w:rPr>
                <w:sz w:val="18"/>
                <w:szCs w:val="18"/>
              </w:rPr>
              <w:t xml:space="preserve">vendor query; then one overlay property</w:t>
            </w:r>
          </w:p>
        </w:tc>
      </w:tr>
      <w:tr>
        <w:tc>
          <w:tcPr>
            <w:tcW w:type="dxa" w:w="501"/>
          </w:tcPr>
          <w:p>
            <w:pPr>
              <w:spacing w:after="20" w:before="20"/>
            </w:pPr>
            <w:r>
              <w:rPr>
                <w:sz w:val="18"/>
                <w:szCs w:val="18"/>
              </w:rPr>
              <w:t xml:space="preserve">7</w:t>
            </w:r>
          </w:p>
        </w:tc>
        <w:tc>
          <w:tcPr>
            <w:tcW w:type="dxa" w:w="2206"/>
          </w:tcPr>
          <w:p>
            <w:pPr>
              <w:spacing w:after="20" w:before="20"/>
            </w:pPr>
            <w:r>
              <w:rPr>
                <w:sz w:val="18"/>
                <w:szCs w:val="18"/>
              </w:rPr>
              <w:t xml:space="preserve">Validate the observer in shadow mode</w:t>
            </w:r>
          </w:p>
        </w:tc>
        <w:tc>
          <w:tcPr>
            <w:tcW w:type="dxa" w:w="4312"/>
          </w:tcPr>
          <w:p>
            <w:pPr>
              <w:spacing w:after="20" w:before="20"/>
            </w:pPr>
            <w:r>
              <w:rPr>
                <w:sz w:val="18"/>
                <w:szCs w:val="18"/>
              </w:rPr>
              <w:t xml:space="preserve">Run it alongside the full settling wait for one campaign and compare before the trust flag is ever set (§9.9).</w:t>
            </w:r>
          </w:p>
        </w:tc>
        <w:tc>
          <w:tcPr>
            <w:tcW w:type="dxa" w:w="2007"/>
          </w:tcPr>
          <w:p>
            <w:pPr>
              <w:spacing w:after="20" w:before="20"/>
            </w:pPr>
            <w:r>
              <w:rPr>
                <w:sz w:val="18"/>
                <w:szCs w:val="18"/>
              </w:rPr>
              <w:t xml:space="preserve">first measurement campaign</w:t>
            </w:r>
          </w:p>
        </w:tc>
      </w:tr>
      <w:tr>
        <w:tc>
          <w:tcPr>
            <w:tcW w:type="dxa" w:w="501"/>
          </w:tcPr>
          <w:p>
            <w:pPr>
              <w:spacing w:after="20" w:before="20"/>
            </w:pPr>
            <w:r>
              <w:rPr>
                <w:sz w:val="18"/>
                <w:szCs w:val="18"/>
              </w:rPr>
              <w:t xml:space="preserve">8</w:t>
            </w:r>
          </w:p>
        </w:tc>
        <w:tc>
          <w:tcPr>
            <w:tcW w:type="dxa" w:w="2206"/>
          </w:tcPr>
          <w:p>
            <w:pPr>
              <w:spacing w:after="20" w:before="20"/>
            </w:pPr>
            <w:r>
              <w:rPr>
                <w:sz w:val="18"/>
                <w:szCs w:val="18"/>
              </w:rPr>
              <w:t xml:space="preserve">TLS, if the rig ever leaves the laboratory LAN</w:t>
            </w:r>
          </w:p>
        </w:tc>
        <w:tc>
          <w:tcPr>
            <w:tcW w:type="dxa" w:w="4312"/>
          </w:tcPr>
          <w:p>
            <w:pPr>
              <w:spacing w:after="20" w:before="20"/>
            </w:pPr>
            <w:r>
              <w:rPr>
                <w:sz w:val="18"/>
                <w:szCs w:val="18"/>
              </w:rPr>
              <w:t xml:space="preserve">Today the control endpoint is protected by a per-boot token and network locality (§9.13). Adding TLS is a configuration change plus a certificate, not a code change.</w:t>
            </w:r>
          </w:p>
        </w:tc>
        <w:tc>
          <w:tcPr>
            <w:tcW w:type="dxa" w:w="2007"/>
          </w:tcPr>
          <w:p>
            <w:pPr>
              <w:spacing w:after="20" w:before="20"/>
            </w:pPr>
            <w:r>
              <w:rPr>
                <w:sz w:val="18"/>
                <w:szCs w:val="18"/>
              </w:rPr>
              <w:t xml:space="preserve">only if the deployment changes</w:t>
            </w:r>
          </w:p>
        </w:tc>
      </w:tr>
      <w:tr>
        <w:tc>
          <w:tcPr>
            <w:tcW w:type="dxa" w:w="501"/>
          </w:tcPr>
          <w:p>
            <w:pPr>
              <w:spacing w:after="20" w:before="20"/>
            </w:pPr>
            <w:r>
              <w:rPr>
                <w:sz w:val="18"/>
                <w:szCs w:val="18"/>
              </w:rPr>
              <w:t xml:space="preserve">9</w:t>
            </w:r>
          </w:p>
        </w:tc>
        <w:tc>
          <w:tcPr>
            <w:tcW w:type="dxa" w:w="2206"/>
          </w:tcPr>
          <w:p>
            <w:pPr>
              <w:spacing w:after="20" w:before="20"/>
            </w:pPr>
            <w:r>
              <w:rPr>
                <w:sz w:val="18"/>
                <w:szCs w:val="18"/>
              </w:rPr>
              <w:t xml:space="preserve">Correct RD-14 §4.2</w:t>
            </w:r>
          </w:p>
        </w:tc>
        <w:tc>
          <w:tcPr>
            <w:tcW w:type="dxa" w:w="4312"/>
          </w:tcPr>
          <w:p>
            <w:pPr>
              <w:spacing w:after="20" w:before="20"/>
            </w:pPr>
            <w:r>
              <w:rPr>
                <w:sz w:val="18"/>
                <w:szCs w:val="18"/>
              </w:rPr>
              <w:t xml:space="preserve">Its pump-as-primary flow metrology contradicts both the project decision and this firmware (§9.14).</w:t>
            </w:r>
          </w:p>
        </w:tc>
        <w:tc>
          <w:tcPr>
            <w:tcW w:type="dxa" w:w="2007"/>
          </w:tcPr>
          <w:p>
            <w:pPr>
              <w:spacing w:after="20" w:before="20"/>
            </w:pPr>
            <w:r>
              <w:rPr>
                <w:sz w:val="18"/>
                <w:szCs w:val="18"/>
              </w:rPr>
              <w:t xml:space="preserve">documentation</w:t>
            </w:r>
          </w:p>
        </w:tc>
      </w:tr>
    </w:tbl>
    <w:p>
      <w:pPr>
        <w:spacing w:before="60" w:after="200"/>
        <w:jc w:val="left"/>
      </w:pPr>
      <w:r>
        <w:rPr>
          <w:sz w:val="18"/>
          <w:szCs w:val="18"/>
        </w:rPr>
        <w:t xml:space="preserve">Table 57. Open items, in the order they should be closed. Items 1 and 3 are on the critical path to a trustworthy first point; the rest are improvements.</w:t>
      </w:r>
    </w:p>
    <w:p>
      <w:pPr>
        <w:spacing w:after="120"/>
      </w:pPr>
      <w:r>
        <w:t xml:space="preserve">Four further items were found by building the devicetree against the board design and belong to §8 rather than here: two misnamed chip-select nets, an SPI mode constraint that turns out not to be one, an unspecified board temperature sensor, and the panel that has nowhere to go on a board whose signal budget is full. All four are carried as open items in §8.8, and the corrections are already reflected in §8's own pin tables.</w:t>
      </w:r>
    </w:p>
    <w:p>
      <w:pPr>
        <w:pStyle w:val="Heading3"/>
      </w:pPr>
      <w:r>
        <w:t xml:space="preserve">Handing it over</w:t>
      </w:r>
    </w:p>
    <w:p>
      <w:pPr>
        <w:spacing w:after="120"/>
      </w:pPr>
      <w:r>
        <w:t xml:space="preserve">Two artefacts exist specifically so that the next person does not start cold. The first is the application's </w:t>
      </w:r>
      <w:r>
        <w:rPr>
          <w:rFonts w:ascii="Consolas" w:hAnsi="Consolas"/>
          <w:sz w:val="19"/>
          <w:szCs w:val="19"/>
        </w:rPr>
        <w:t xml:space="preserve">README.md</w:t>
      </w:r>
      <w:r>
        <w:t xml:space="preserve">, which carries the build commands, the operating commands, the bring-up ladder and the known limitations in the form above. The second is a </w:t>
      </w:r>
      <w:r>
        <w:rPr>
          <w:b/>
        </w:rPr>
        <w:t xml:space="preserve">knowledge graph of the source</w:t>
      </w:r>
      <w:r>
        <w:t xml:space="preserve">, generated into </w:t>
      </w:r>
      <w:r>
        <w:rPr>
          <w:rFonts w:ascii="Consolas" w:hAnsi="Consolas"/>
          <w:sz w:val="19"/>
          <w:szCs w:val="19"/>
        </w:rPr>
        <w:t xml:space="preserve">graphify-out/</w:t>
      </w:r>
      <w:r>
        <w:t xml:space="preserve">: 307 nodes and 716 edges across 11 communities, in two layers. The structural layer is derived from the abstract syntax tree — files, functions, calls and includes — and is regenerable after any edit. The semantic layer is hand-written and holds what a syntax tree cannot see: every load-bearing decision in this section is a node with its rationale attached, wired to the functions that implement it.</w:t>
      </w:r>
    </w:p>
    <w:p>
      <w:pPr>
        <w:spacing w:after="120"/>
      </w:pPr>
      <w:r>
        <w:t xml:space="preserve">The eleven communities the clustering found map almost exactly onto the module structure of Table 41, which is a small independent piece of evidence that the file split was the right one. The highest-betweenness nodes are the control function, then </w:t>
      </w:r>
      <w:r>
        <w:rPr>
          <w:rFonts w:ascii="Consolas" w:hAnsi="Consolas"/>
          <w:sz w:val="19"/>
          <w:szCs w:val="19"/>
        </w:rPr>
        <w:t xml:space="preserve">main()</w:t>
      </w:r>
      <w:r>
        <w:t xml:space="preserve"> and </w:t>
      </w:r>
      <w:r>
        <w:rPr>
          <w:b/>
        </w:rPr>
        <w:t xml:space="preserve">the carrier-board overlay</w:t>
      </w:r>
      <w:r>
        <w:t xml:space="preserve"> — the overlay scoring as a top-three bridge is the devicetree-as-data decision of §9.4 appearing as graph structure rather than as a claim. The directory is inert as far as the build is concerned, which was verified rather than assumed: both Wi-Fi variants were rebuilt from scratch with it present and produced byte-identical images.</w:t>
      </w:r>
    </w:p>
    <w:p>
      <w:pPr>
        <w:spacing w:after="80"/>
      </w:pPr>
    </w:p>
    <w:sectPr w:rsidR="0065783A" w:rsidSect="005C6D9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D07533" w14:textId="77777777" w:rsidR="001F1A32" w:rsidRDefault="001F1A32" w:rsidP="005C6D9A">
      <w:pPr>
        <w:spacing w:after="0" w:line="240" w:lineRule="auto"/>
      </w:pPr>
      <w:r>
        <w:separator/>
      </w:r>
    </w:p>
  </w:endnote>
  <w:endnote w:type="continuationSeparator" w:id="0">
    <w:p w14:paraId="56DA8FFE" w14:textId="77777777" w:rsidR="001F1A32" w:rsidRDefault="001F1A32" w:rsidP="005C6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C4A44" w14:textId="77777777" w:rsidR="005E3EE1" w:rsidRDefault="005E3E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23DB3" w14:textId="02CE5812" w:rsidR="0054421B" w:rsidRDefault="00DF756E" w:rsidP="00DF756E">
    <w:pPr>
      <w:pStyle w:val="Header"/>
    </w:pPr>
    <w:r>
      <w:rPr>
        <w:noProof/>
      </w:rPr>
      <w:drawing>
        <wp:inline distT="0" distB="0" distL="0" distR="0" wp14:anchorId="41156D73" wp14:editId="58E1B9FE">
          <wp:extent cx="1348740" cy="428257"/>
          <wp:effectExtent l="0" t="0" r="3810" b="0"/>
          <wp:docPr id="548893376" name="Picture 3" descr="A green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93376" name="Picture 3" descr="A green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425258" cy="452553"/>
                  </a:xfrm>
                  <a:prstGeom prst="rect">
                    <a:avLst/>
                  </a:prstGeom>
                </pic:spPr>
              </pic:pic>
            </a:graphicData>
          </a:graphic>
        </wp:inline>
      </w:drawing>
    </w:r>
    <w:r>
      <w:tab/>
    </w:r>
    <w:r w:rsidR="0054421B" w:rsidRPr="00D63C77">
      <w:t xml:space="preserve">Page </w:t>
    </w:r>
    <w:r w:rsidR="0054421B" w:rsidRPr="00D63C77">
      <w:fldChar w:fldCharType="begin"/>
    </w:r>
    <w:r w:rsidR="0054421B" w:rsidRPr="00D63C77">
      <w:instrText xml:space="preserve"> PAGE  \* Arabic  \* MERGEFORMAT </w:instrText>
    </w:r>
    <w:r w:rsidR="0054421B" w:rsidRPr="00D63C77">
      <w:fldChar w:fldCharType="separate"/>
    </w:r>
    <w:r w:rsidR="0054421B" w:rsidRPr="00D63C77">
      <w:rPr>
        <w:noProof/>
      </w:rPr>
      <w:t>1</w:t>
    </w:r>
    <w:r w:rsidR="0054421B" w:rsidRPr="00D63C77">
      <w:fldChar w:fldCharType="end"/>
    </w:r>
    <w:r w:rsidR="0054421B" w:rsidRPr="00D63C77">
      <w:t xml:space="preserve"> of </w:t>
    </w:r>
    <w:fldSimple w:instr=" NUMPAGES  \* Arabic  \* MERGEFORMAT ">
      <w:r w:rsidR="0054421B" w:rsidRPr="00D63C77">
        <w:rPr>
          <w:noProof/>
        </w:rPr>
        <w:t>2</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49096B" w14:textId="77777777" w:rsidR="0014774D" w:rsidRDefault="0014774D" w:rsidP="001D0AE4">
    <w:pPr>
      <w:pBdr>
        <w:bottom w:val="single" w:sz="12" w:space="1" w:color="auto"/>
      </w:pBdr>
    </w:pPr>
  </w:p>
  <w:tbl>
    <w:tblPr>
      <w:tblStyle w:val="TableGrid"/>
      <w:tblW w:w="9356"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546"/>
    </w:tblGrid>
    <w:tr w:rsidR="0054421B" w14:paraId="0BC1A028" w14:textId="77777777" w:rsidTr="00DF756E">
      <w:tc>
        <w:tcPr>
          <w:tcW w:w="4810" w:type="dxa"/>
        </w:tcPr>
        <w:p w14:paraId="18FB387F" w14:textId="55920440" w:rsidR="0054421B" w:rsidRDefault="00DF756E" w:rsidP="0054421B">
          <w:pPr>
            <w:pStyle w:val="Footer"/>
          </w:pPr>
          <w:r>
            <w:rPr>
              <w:noProof/>
            </w:rPr>
            <w:drawing>
              <wp:inline distT="0" distB="0" distL="0" distR="0" wp14:anchorId="5DB9F9B1" wp14:editId="5C1049A5">
                <wp:extent cx="1367898" cy="434340"/>
                <wp:effectExtent l="0" t="0" r="3810" b="3810"/>
                <wp:docPr id="288926913" name="Picture 1" descr="A green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26913" name="Picture 1" descr="A green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16722" cy="481595"/>
                        </a:xfrm>
                        <a:prstGeom prst="rect">
                          <a:avLst/>
                        </a:prstGeom>
                      </pic:spPr>
                    </pic:pic>
                  </a:graphicData>
                </a:graphic>
              </wp:inline>
            </w:drawing>
          </w:r>
        </w:p>
      </w:tc>
      <w:tc>
        <w:tcPr>
          <w:tcW w:w="4546" w:type="dxa"/>
          <w:vAlign w:val="bottom"/>
        </w:tcPr>
        <w:p w14:paraId="78B325E4" w14:textId="77777777" w:rsidR="0054421B" w:rsidRDefault="0054421B" w:rsidP="0054421B">
          <w:pPr>
            <w:pStyle w:val="Footer"/>
            <w:jc w:val="right"/>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r>
  </w:tbl>
  <w:p w14:paraId="1E29C99E" w14:textId="77777777" w:rsidR="0054421B" w:rsidRDefault="0054421B" w:rsidP="00DF75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3B4EFF" w14:textId="77777777" w:rsidR="001F1A32" w:rsidRDefault="001F1A32" w:rsidP="005C6D9A">
      <w:pPr>
        <w:spacing w:after="0" w:line="240" w:lineRule="auto"/>
      </w:pPr>
      <w:r>
        <w:separator/>
      </w:r>
    </w:p>
  </w:footnote>
  <w:footnote w:type="continuationSeparator" w:id="0">
    <w:p w14:paraId="4363DF58" w14:textId="77777777" w:rsidR="001F1A32" w:rsidRDefault="001F1A32" w:rsidP="005C6D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5BD5B" w14:textId="77777777" w:rsidR="005E3EE1" w:rsidRDefault="005E3E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PlainTable4"/>
      <w:tblW w:w="9214" w:type="dxa"/>
      <w:tblInd w:w="-142" w:type="dxa"/>
      <w:tblLook w:val="04A0" w:firstRow="1" w:lastRow="0" w:firstColumn="1" w:lastColumn="0" w:noHBand="0" w:noVBand="1"/>
    </w:tblPr>
    <w:tblGrid>
      <w:gridCol w:w="3005"/>
      <w:gridCol w:w="3005"/>
      <w:gridCol w:w="3204"/>
    </w:tblGrid>
    <w:tr w:rsidR="00305C02" w14:paraId="3AC26353" w14:textId="77777777" w:rsidTr="00871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val="restart"/>
        </w:tcPr>
        <w:p w14:paraId="43BC419E" w14:textId="77777777" w:rsidR="00305C02" w:rsidRDefault="003839CF" w:rsidP="00305C02">
          <w:pPr>
            <w:pStyle w:val="Header"/>
          </w:pPr>
          <w:r w:rsidRPr="003839CF">
            <w:rPr>
              <w:noProof/>
            </w:rPr>
            <w:drawing>
              <wp:inline distT="0" distB="0" distL="0" distR="0" wp14:anchorId="5752CEEE" wp14:editId="1ED95701">
                <wp:extent cx="981075" cy="490682"/>
                <wp:effectExtent l="0" t="0" r="0" b="5080"/>
                <wp:docPr id="2224067" name="Graphic 3">
                  <a:extLst xmlns:a="http://schemas.openxmlformats.org/drawingml/2006/main">
                    <a:ext uri="{FF2B5EF4-FFF2-40B4-BE49-F238E27FC236}">
                      <a16:creationId xmlns:a16="http://schemas.microsoft.com/office/drawing/2014/main" id="{AFBBC18C-2506-2435-8F05-02E8A4E1F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3">
                          <a:extLst>
                            <a:ext uri="{FF2B5EF4-FFF2-40B4-BE49-F238E27FC236}">
                              <a16:creationId xmlns:a16="http://schemas.microsoft.com/office/drawing/2014/main" id="{AFBBC18C-2506-2435-8F05-02E8A4E1F906}"/>
                            </a:ext>
                          </a:extLst>
                        </pic:cNvPr>
                        <pic:cNvPicPr>
                          <a:picLocks noChangeAspect="1"/>
                        </pic:cNvPicPr>
                      </pic:nvPicPr>
                      <pic:blipFill>
                        <a:blip r:embed="rId1">
                          <a:extLst>
                            <a:ext uri="{28A0092B-C50C-407E-A947-70E740481C1C}">
                              <a14:useLocalDpi xmlns:a14="http://schemas.microsoft.com/office/drawing/2010/main" val="0"/>
                            </a:ext>
                          </a:extLst>
                        </a:blip>
                        <a:srcRect/>
                        <a:stretch/>
                      </pic:blipFill>
                      <pic:spPr>
                        <a:xfrm>
                          <a:off x="0" y="0"/>
                          <a:ext cx="992915" cy="496604"/>
                        </a:xfrm>
                        <a:prstGeom prst="rect">
                          <a:avLst/>
                        </a:prstGeom>
                      </pic:spPr>
                    </pic:pic>
                  </a:graphicData>
                </a:graphic>
              </wp:inline>
            </w:drawing>
          </w:r>
        </w:p>
      </w:tc>
      <w:tc>
        <w:tcPr>
          <w:tcW w:w="3005" w:type="dxa"/>
        </w:tcPr>
        <w:p w14:paraId="282E3240" w14:textId="77777777" w:rsidR="00305C02" w:rsidRDefault="00305C02" w:rsidP="00305C02">
          <w:pPr>
            <w:pStyle w:val="Header"/>
            <w:jc w:val="center"/>
            <w:cnfStyle w:val="100000000000" w:firstRow="1" w:lastRow="0" w:firstColumn="0" w:lastColumn="0" w:oddVBand="0" w:evenVBand="0" w:oddHBand="0" w:evenHBand="0" w:firstRowFirstColumn="0" w:firstRowLastColumn="0" w:lastRowFirstColumn="0" w:lastRowLastColumn="0"/>
          </w:pPr>
          <w:r>
            <w:t>Document ID</w:t>
          </w:r>
        </w:p>
      </w:tc>
      <w:tc>
        <w:tcPr>
          <w:tcW w:w="3204" w:type="dxa"/>
        </w:tcPr>
        <w:p w14:paraId="0F4A91A7" w14:textId="77777777" w:rsidR="00305C02" w:rsidRDefault="00FA00E5" w:rsidP="00305C02">
          <w:pPr>
            <w:pStyle w:val="Header"/>
            <w:jc w:val="right"/>
            <w:cnfStyle w:val="100000000000" w:firstRow="1" w:lastRow="0" w:firstColumn="0" w:lastColumn="0" w:oddVBand="0" w:evenVBand="0" w:oddHBand="0" w:evenHBand="0" w:firstRowFirstColumn="0" w:firstRowLastColumn="0" w:lastRowFirstColumn="0" w:lastRowLastColumn="0"/>
          </w:pPr>
          <w:r w:rsidRPr="002E1D90">
            <w:rPr>
              <w:b w:val="0"/>
              <w:bCs w:val="0"/>
            </w:rPr>
            <w:t>Iss</w:t>
          </w:r>
          <w:r>
            <w:rPr>
              <w:b w:val="0"/>
              <w:bCs w:val="0"/>
            </w:rPr>
            <w:t>:1</w:t>
          </w:r>
          <w:r w:rsidRPr="002E1D90">
            <w:rPr>
              <w:b w:val="0"/>
              <w:bCs w:val="0"/>
            </w:rPr>
            <w:t>/Rev</w:t>
          </w:r>
          <w:r>
            <w:rPr>
              <w:b w:val="0"/>
              <w:bCs w:val="0"/>
            </w:rPr>
            <w:t>.:0</w:t>
          </w:r>
        </w:p>
      </w:tc>
    </w:tr>
    <w:tr w:rsidR="00305C02" w14:paraId="6D9F7F15" w14:textId="77777777" w:rsidTr="00871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tcPr>
        <w:p w14:paraId="4E692EB5" w14:textId="77777777" w:rsidR="00305C02" w:rsidRDefault="00305C02" w:rsidP="00305C02">
          <w:pPr>
            <w:pStyle w:val="Header"/>
          </w:pPr>
        </w:p>
      </w:tc>
      <w:tc>
        <w:tcPr>
          <w:tcW w:w="3005" w:type="dxa"/>
          <w:shd w:val="clear" w:color="auto" w:fill="auto"/>
        </w:tcPr>
        <w:p w14:paraId="3431C180" w14:textId="77777777" w:rsidR="00305C02" w:rsidRPr="002E1D90" w:rsidRDefault="00305C02" w:rsidP="00305C02">
          <w:pPr>
            <w:pStyle w:val="Header"/>
            <w:jc w:val="center"/>
            <w:cnfStyle w:val="000000100000" w:firstRow="0" w:lastRow="0" w:firstColumn="0" w:lastColumn="0" w:oddVBand="0" w:evenVBand="0" w:oddHBand="1" w:evenHBand="0" w:firstRowFirstColumn="0" w:firstRowLastColumn="0" w:lastRowFirstColumn="0" w:lastRowLastColumn="0"/>
            <w:rPr>
              <w:b/>
              <w:bCs/>
            </w:rPr>
          </w:pPr>
        </w:p>
      </w:tc>
      <w:tc>
        <w:tcPr>
          <w:tcW w:w="3204" w:type="dxa"/>
          <w:shd w:val="clear" w:color="auto" w:fill="auto"/>
        </w:tcPr>
        <w:p w14:paraId="73D92CFB" w14:textId="77777777" w:rsidR="00305C02" w:rsidRPr="002E1D90" w:rsidRDefault="00305C02" w:rsidP="00305C02">
          <w:pPr>
            <w:pStyle w:val="Header"/>
            <w:jc w:val="right"/>
            <w:cnfStyle w:val="000000100000" w:firstRow="0" w:lastRow="0" w:firstColumn="0" w:lastColumn="0" w:oddVBand="0" w:evenVBand="0" w:oddHBand="1" w:evenHBand="0" w:firstRowFirstColumn="0" w:firstRowLastColumn="0" w:lastRowFirstColumn="0" w:lastRowLastColumn="0"/>
            <w:rPr>
              <w:b/>
              <w:bCs/>
            </w:rPr>
          </w:pPr>
        </w:p>
      </w:tc>
    </w:tr>
  </w:tbl>
  <w:p w14:paraId="1ADB4A08" w14:textId="77777777" w:rsidR="005C6D9A" w:rsidRPr="0054421B" w:rsidRDefault="005C6D9A" w:rsidP="005442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PlainTable4"/>
      <w:tblW w:w="9356" w:type="dxa"/>
      <w:tblInd w:w="-142" w:type="dxa"/>
      <w:tblLook w:val="04A0" w:firstRow="1" w:lastRow="0" w:firstColumn="1" w:lastColumn="0" w:noHBand="0" w:noVBand="1"/>
    </w:tblPr>
    <w:tblGrid>
      <w:gridCol w:w="3005"/>
      <w:gridCol w:w="3005"/>
      <w:gridCol w:w="3346"/>
    </w:tblGrid>
    <w:tr w:rsidR="002E1D90" w14:paraId="0270212B" w14:textId="77777777" w:rsidTr="001D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val="restart"/>
        </w:tcPr>
        <w:p w14:paraId="02C57A6E" w14:textId="77777777" w:rsidR="002E1D90" w:rsidRDefault="003839CF" w:rsidP="001D0AE4">
          <w:pPr>
            <w:pStyle w:val="Header"/>
          </w:pPr>
          <w:r w:rsidRPr="003839CF">
            <w:rPr>
              <w:noProof/>
            </w:rPr>
            <w:drawing>
              <wp:inline distT="0" distB="0" distL="0" distR="0" wp14:anchorId="37515E2F" wp14:editId="4796FE53">
                <wp:extent cx="981075" cy="490682"/>
                <wp:effectExtent l="0" t="0" r="0" b="5080"/>
                <wp:docPr id="1843595681" name="Graphic 3">
                  <a:extLst xmlns:a="http://schemas.openxmlformats.org/drawingml/2006/main">
                    <a:ext uri="{FF2B5EF4-FFF2-40B4-BE49-F238E27FC236}">
                      <a16:creationId xmlns:a16="http://schemas.microsoft.com/office/drawing/2014/main" id="{AFBBC18C-2506-2435-8F05-02E8A4E1F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3">
                          <a:extLst>
                            <a:ext uri="{FF2B5EF4-FFF2-40B4-BE49-F238E27FC236}">
                              <a16:creationId xmlns:a16="http://schemas.microsoft.com/office/drawing/2014/main" id="{AFBBC18C-2506-2435-8F05-02E8A4E1F906}"/>
                            </a:ext>
                          </a:extLst>
                        </pic:cNvPr>
                        <pic:cNvPicPr>
                          <a:picLocks noChangeAspect="1"/>
                        </pic:cNvPicPr>
                      </pic:nvPicPr>
                      <pic:blipFill>
                        <a:blip r:embed="rId1">
                          <a:extLst>
                            <a:ext uri="{28A0092B-C50C-407E-A947-70E740481C1C}">
                              <a14:useLocalDpi xmlns:a14="http://schemas.microsoft.com/office/drawing/2010/main" val="0"/>
                            </a:ext>
                          </a:extLst>
                        </a:blip>
                        <a:srcRect/>
                        <a:stretch/>
                      </pic:blipFill>
                      <pic:spPr>
                        <a:xfrm>
                          <a:off x="0" y="0"/>
                          <a:ext cx="992915" cy="496604"/>
                        </a:xfrm>
                        <a:prstGeom prst="rect">
                          <a:avLst/>
                        </a:prstGeom>
                      </pic:spPr>
                    </pic:pic>
                  </a:graphicData>
                </a:graphic>
              </wp:inline>
            </w:drawing>
          </w:r>
        </w:p>
      </w:tc>
      <w:tc>
        <w:tcPr>
          <w:tcW w:w="3005" w:type="dxa"/>
        </w:tcPr>
        <w:p w14:paraId="6CF670CD" w14:textId="77777777" w:rsidR="002E1D90" w:rsidRPr="00903A6D" w:rsidRDefault="002E1D90" w:rsidP="002E1D90">
          <w:pPr>
            <w:pStyle w:val="Header"/>
            <w:jc w:val="center"/>
            <w:cnfStyle w:val="100000000000" w:firstRow="1" w:lastRow="0" w:firstColumn="0" w:lastColumn="0" w:oddVBand="0" w:evenVBand="0" w:oddHBand="0" w:evenHBand="0" w:firstRowFirstColumn="0" w:firstRowLastColumn="0" w:lastRowFirstColumn="0" w:lastRowLastColumn="0"/>
          </w:pPr>
          <w:r w:rsidRPr="00903A6D">
            <w:t>Document ID</w:t>
          </w:r>
        </w:p>
      </w:tc>
      <w:tc>
        <w:tcPr>
          <w:tcW w:w="3346" w:type="dxa"/>
        </w:tcPr>
        <w:p w14:paraId="45525412" w14:textId="77777777" w:rsidR="002E1D90" w:rsidRDefault="00FA00E5" w:rsidP="002E1D90">
          <w:pPr>
            <w:pStyle w:val="Header"/>
            <w:jc w:val="right"/>
            <w:cnfStyle w:val="100000000000" w:firstRow="1" w:lastRow="0" w:firstColumn="0" w:lastColumn="0" w:oddVBand="0" w:evenVBand="0" w:oddHBand="0" w:evenHBand="0" w:firstRowFirstColumn="0" w:firstRowLastColumn="0" w:lastRowFirstColumn="0" w:lastRowLastColumn="0"/>
          </w:pPr>
          <w:r w:rsidRPr="002E1D90">
            <w:rPr>
              <w:b w:val="0"/>
              <w:bCs w:val="0"/>
            </w:rPr>
            <w:t>Iss</w:t>
          </w:r>
          <w:r>
            <w:rPr>
              <w:b w:val="0"/>
              <w:bCs w:val="0"/>
            </w:rPr>
            <w:t>:1</w:t>
          </w:r>
          <w:r w:rsidRPr="002E1D90">
            <w:rPr>
              <w:b w:val="0"/>
              <w:bCs w:val="0"/>
            </w:rPr>
            <w:t>/Rev</w:t>
          </w:r>
          <w:r>
            <w:rPr>
              <w:b w:val="0"/>
              <w:bCs w:val="0"/>
            </w:rPr>
            <w:t>.:0</w:t>
          </w:r>
        </w:p>
      </w:tc>
    </w:tr>
    <w:tr w:rsidR="002E1D90" w14:paraId="59379FD7" w14:textId="77777777" w:rsidTr="001D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vMerge/>
        </w:tcPr>
        <w:p w14:paraId="22B50DF1" w14:textId="77777777" w:rsidR="002E1D90" w:rsidRDefault="002E1D90" w:rsidP="001D0AE4">
          <w:pPr>
            <w:pStyle w:val="Header"/>
          </w:pPr>
        </w:p>
      </w:tc>
      <w:tc>
        <w:tcPr>
          <w:tcW w:w="3005" w:type="dxa"/>
          <w:shd w:val="clear" w:color="auto" w:fill="auto"/>
        </w:tcPr>
        <w:p w14:paraId="16E4AD8C" w14:textId="77777777" w:rsidR="002E1D90" w:rsidRPr="002E1D90" w:rsidRDefault="002E1D90" w:rsidP="002E1D90">
          <w:pPr>
            <w:pStyle w:val="Header"/>
            <w:jc w:val="center"/>
            <w:cnfStyle w:val="000000100000" w:firstRow="0" w:lastRow="0" w:firstColumn="0" w:lastColumn="0" w:oddVBand="0" w:evenVBand="0" w:oddHBand="1" w:evenHBand="0" w:firstRowFirstColumn="0" w:firstRowLastColumn="0" w:lastRowFirstColumn="0" w:lastRowLastColumn="0"/>
            <w:rPr>
              <w:b/>
              <w:bCs/>
            </w:rPr>
          </w:pPr>
        </w:p>
      </w:tc>
      <w:tc>
        <w:tcPr>
          <w:tcW w:w="3346" w:type="dxa"/>
          <w:shd w:val="clear" w:color="auto" w:fill="auto"/>
        </w:tcPr>
        <w:p w14:paraId="5DE299EA" w14:textId="77777777" w:rsidR="002E1D90" w:rsidRPr="00903A6D" w:rsidRDefault="002E1D90" w:rsidP="002E1D90">
          <w:pPr>
            <w:pStyle w:val="Header"/>
            <w:jc w:val="right"/>
            <w:cnfStyle w:val="000000100000" w:firstRow="0" w:lastRow="0" w:firstColumn="0" w:lastColumn="0" w:oddVBand="0" w:evenVBand="0" w:oddHBand="1" w:evenHBand="0" w:firstRowFirstColumn="0" w:firstRowLastColumn="0" w:lastRowFirstColumn="0" w:lastRowLastColumn="0"/>
          </w:pPr>
          <w:r w:rsidRPr="00903A6D">
            <w:t>Date</w:t>
          </w:r>
        </w:p>
      </w:tc>
    </w:tr>
  </w:tbl>
  <w:p w14:paraId="45FBE248" w14:textId="77777777" w:rsidR="004C073D" w:rsidRDefault="004C073D" w:rsidP="001D0AE4">
    <w:pPr>
      <w:pStyle w:val="Header"/>
      <w:pBdr>
        <w:bottom w:val="single" w:sz="12" w:space="1" w:color="auto"/>
      </w:pBdr>
    </w:pPr>
    <w:r>
      <w:softHyphen/>
    </w:r>
    <w:r>
      <w:softHyphen/>
    </w:r>
    <w: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807CF7"/>
    <w:multiLevelType w:val="multilevel"/>
    <w:tmpl w:val="5B2E767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750F02B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35479383">
    <w:abstractNumId w:val="1"/>
  </w:num>
  <w:num w:numId="2" w16cid:durableId="2144664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1"/>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6E"/>
    <w:rsid w:val="00000E44"/>
    <w:rsid w:val="00006E76"/>
    <w:rsid w:val="00006FD6"/>
    <w:rsid w:val="0004426F"/>
    <w:rsid w:val="000C3817"/>
    <w:rsid w:val="001352EC"/>
    <w:rsid w:val="0013759C"/>
    <w:rsid w:val="0014774D"/>
    <w:rsid w:val="001D0AE4"/>
    <w:rsid w:val="001E056F"/>
    <w:rsid w:val="001F1A32"/>
    <w:rsid w:val="002613DF"/>
    <w:rsid w:val="00291390"/>
    <w:rsid w:val="002E1D90"/>
    <w:rsid w:val="00301DC4"/>
    <w:rsid w:val="00305C02"/>
    <w:rsid w:val="00334C0B"/>
    <w:rsid w:val="0035576C"/>
    <w:rsid w:val="00364696"/>
    <w:rsid w:val="003671C2"/>
    <w:rsid w:val="003839CF"/>
    <w:rsid w:val="00413C08"/>
    <w:rsid w:val="00452C06"/>
    <w:rsid w:val="004C073D"/>
    <w:rsid w:val="004D383C"/>
    <w:rsid w:val="0054421B"/>
    <w:rsid w:val="00545C41"/>
    <w:rsid w:val="0057365E"/>
    <w:rsid w:val="005C6D9A"/>
    <w:rsid w:val="005E3EE1"/>
    <w:rsid w:val="0065783A"/>
    <w:rsid w:val="006F1CCB"/>
    <w:rsid w:val="00716353"/>
    <w:rsid w:val="00734B73"/>
    <w:rsid w:val="00751B20"/>
    <w:rsid w:val="007A0D90"/>
    <w:rsid w:val="007B2D3D"/>
    <w:rsid w:val="007F0932"/>
    <w:rsid w:val="008408AF"/>
    <w:rsid w:val="008714BC"/>
    <w:rsid w:val="008D3B0E"/>
    <w:rsid w:val="00903A6D"/>
    <w:rsid w:val="00954A66"/>
    <w:rsid w:val="00BB3FFE"/>
    <w:rsid w:val="00BC6582"/>
    <w:rsid w:val="00C53DC0"/>
    <w:rsid w:val="00CA6E9F"/>
    <w:rsid w:val="00CA7220"/>
    <w:rsid w:val="00CC74BA"/>
    <w:rsid w:val="00D6083C"/>
    <w:rsid w:val="00D63C77"/>
    <w:rsid w:val="00D83345"/>
    <w:rsid w:val="00DF756E"/>
    <w:rsid w:val="00EE0FD3"/>
    <w:rsid w:val="00F74055"/>
    <w:rsid w:val="00FA00E5"/>
    <w:rsid w:val="00FC04B0"/>
    <w:rsid w:val="00FC7F01"/>
    <w:rsid w:val="00FF7322"/>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B07BF"/>
  <w15:chartTrackingRefBased/>
  <w15:docId w15:val="{5DE15880-94F4-48B3-8B1F-F1392C8171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00E5"/>
    <w:pPr>
      <w:keepNext/>
      <w:keepLines/>
      <w:numPr>
        <w:numId w:val="2"/>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FA00E5"/>
    <w:pPr>
      <w:keepNext/>
      <w:keepLines/>
      <w:numPr>
        <w:ilvl w:val="1"/>
        <w:numId w:val="2"/>
      </w:numPr>
      <w:spacing w:before="40" w:after="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uiPriority w:val="9"/>
    <w:unhideWhenUsed/>
    <w:qFormat/>
    <w:rsid w:val="00FA00E5"/>
    <w:pPr>
      <w:keepNext/>
      <w:keepLines/>
      <w:numPr>
        <w:ilvl w:val="2"/>
        <w:numId w:val="2"/>
      </w:numPr>
      <w:spacing w:before="40" w:after="0"/>
      <w:outlineLvl w:val="2"/>
    </w:pPr>
    <w:rPr>
      <w:rFonts w:asciiTheme="majorHAnsi" w:eastAsiaTheme="majorEastAsia" w:hAnsiTheme="majorHAnsi" w:cstheme="majorBidi"/>
      <w:i/>
      <w:color w:val="1F3763" w:themeColor="accent1" w:themeShade="7F"/>
      <w:sz w:val="24"/>
      <w:szCs w:val="24"/>
    </w:rPr>
  </w:style>
  <w:style w:type="paragraph" w:styleId="Heading4">
    <w:name w:val="heading 4"/>
    <w:basedOn w:val="Normal"/>
    <w:next w:val="Normal"/>
    <w:link w:val="Heading4Char"/>
    <w:uiPriority w:val="9"/>
    <w:unhideWhenUsed/>
    <w:qFormat/>
    <w:rsid w:val="00734B73"/>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00E5"/>
    <w:pPr>
      <w:keepNext/>
      <w:keepLines/>
      <w:numPr>
        <w:ilvl w:val="4"/>
        <w:numId w:val="2"/>
      </w:numPr>
      <w:spacing w:before="40" w:after="0"/>
      <w:outlineLvl w:val="4"/>
    </w:pPr>
    <w:rPr>
      <w:rFonts w:asciiTheme="majorHAnsi" w:eastAsiaTheme="majorEastAsia" w:hAnsiTheme="majorHAnsi" w:cstheme="majorBidi"/>
      <w:i/>
      <w:color w:val="2F5496" w:themeColor="accent1" w:themeShade="BF"/>
    </w:rPr>
  </w:style>
  <w:style w:type="paragraph" w:styleId="Heading6">
    <w:name w:val="heading 6"/>
    <w:basedOn w:val="Normal"/>
    <w:next w:val="Normal"/>
    <w:link w:val="Heading6Char"/>
    <w:uiPriority w:val="9"/>
    <w:semiHidden/>
    <w:unhideWhenUsed/>
    <w:qFormat/>
    <w:rsid w:val="00734B73"/>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34B73"/>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34B7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34B7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6D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6D9A"/>
  </w:style>
  <w:style w:type="paragraph" w:styleId="Footer">
    <w:name w:val="footer"/>
    <w:basedOn w:val="Normal"/>
    <w:link w:val="FooterChar"/>
    <w:uiPriority w:val="99"/>
    <w:unhideWhenUsed/>
    <w:rsid w:val="005C6D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6D9A"/>
  </w:style>
  <w:style w:type="table" w:styleId="TableGrid">
    <w:name w:val="Table Grid"/>
    <w:basedOn w:val="TableNormal"/>
    <w:uiPriority w:val="39"/>
    <w:rsid w:val="005C6D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2E1D9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FA00E5"/>
    <w:rPr>
      <w:rFonts w:asciiTheme="majorHAnsi" w:eastAsiaTheme="majorEastAsia" w:hAnsiTheme="majorHAnsi" w:cstheme="majorBidi"/>
      <w:b/>
      <w:color w:val="2F5496" w:themeColor="accent1" w:themeShade="BF"/>
      <w:sz w:val="32"/>
      <w:szCs w:val="32"/>
    </w:rPr>
  </w:style>
  <w:style w:type="paragraph" w:styleId="TOCHeading">
    <w:name w:val="TOC Heading"/>
    <w:basedOn w:val="Heading1"/>
    <w:next w:val="Normal"/>
    <w:uiPriority w:val="39"/>
    <w:unhideWhenUsed/>
    <w:qFormat/>
    <w:rsid w:val="0014774D"/>
    <w:pPr>
      <w:outlineLvl w:val="9"/>
    </w:pPr>
    <w:rPr>
      <w:lang w:val="en-US" w:bidi="ar-SA"/>
    </w:rPr>
  </w:style>
  <w:style w:type="paragraph" w:styleId="TOC1">
    <w:name w:val="toc 1"/>
    <w:basedOn w:val="Normal"/>
    <w:next w:val="Normal"/>
    <w:autoRedefine/>
    <w:uiPriority w:val="39"/>
    <w:unhideWhenUsed/>
    <w:rsid w:val="00452C06"/>
    <w:pPr>
      <w:spacing w:after="100"/>
    </w:pPr>
  </w:style>
  <w:style w:type="character" w:styleId="Hyperlink">
    <w:name w:val="Hyperlink"/>
    <w:basedOn w:val="DefaultParagraphFont"/>
    <w:uiPriority w:val="99"/>
    <w:unhideWhenUsed/>
    <w:rsid w:val="00452C06"/>
    <w:rPr>
      <w:color w:val="0563C1" w:themeColor="hyperlink"/>
      <w:u w:val="single"/>
    </w:rPr>
  </w:style>
  <w:style w:type="character" w:customStyle="1" w:styleId="Heading2Char">
    <w:name w:val="Heading 2 Char"/>
    <w:basedOn w:val="DefaultParagraphFont"/>
    <w:link w:val="Heading2"/>
    <w:uiPriority w:val="9"/>
    <w:rsid w:val="00FA00E5"/>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FA00E5"/>
    <w:rPr>
      <w:rFonts w:asciiTheme="majorHAnsi" w:eastAsiaTheme="majorEastAsia" w:hAnsiTheme="majorHAnsi" w:cstheme="majorBidi"/>
      <w:i/>
      <w:color w:val="1F3763" w:themeColor="accent1" w:themeShade="7F"/>
      <w:sz w:val="24"/>
      <w:szCs w:val="24"/>
    </w:rPr>
  </w:style>
  <w:style w:type="character" w:customStyle="1" w:styleId="Heading4Char">
    <w:name w:val="Heading 4 Char"/>
    <w:basedOn w:val="DefaultParagraphFont"/>
    <w:link w:val="Heading4"/>
    <w:uiPriority w:val="9"/>
    <w:rsid w:val="00734B7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A00E5"/>
    <w:rPr>
      <w:rFonts w:asciiTheme="majorHAnsi" w:eastAsiaTheme="majorEastAsia" w:hAnsiTheme="majorHAnsi" w:cstheme="majorBidi"/>
      <w:i/>
      <w:color w:val="2F5496" w:themeColor="accent1" w:themeShade="BF"/>
    </w:rPr>
  </w:style>
  <w:style w:type="character" w:customStyle="1" w:styleId="Heading6Char">
    <w:name w:val="Heading 6 Char"/>
    <w:basedOn w:val="DefaultParagraphFont"/>
    <w:link w:val="Heading6"/>
    <w:uiPriority w:val="9"/>
    <w:semiHidden/>
    <w:rsid w:val="00734B7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34B7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34B7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34B73"/>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65783A"/>
    <w:pPr>
      <w:spacing w:after="100"/>
      <w:ind w:left="220"/>
    </w:pPr>
  </w:style>
  <w:style w:type="paragraph" w:styleId="TOC3">
    <w:name w:val="toc 3"/>
    <w:basedOn w:val="Normal"/>
    <w:next w:val="Normal"/>
    <w:autoRedefine/>
    <w:uiPriority w:val="39"/>
    <w:unhideWhenUsed/>
    <w:rsid w:val="0065783A"/>
    <w:pPr>
      <w:spacing w:after="100"/>
      <w:ind w:left="440"/>
    </w:pPr>
  </w:style>
  <w:style w:type="paragraph" w:customStyle="1" w:styleId="font-claude-response-body">
    <w:name w:val="font-claude-response-body"/>
    <w:basedOn w:val="Normal"/>
    <w:rsid w:val="008408AF"/>
    <w:pPr>
      <w:spacing w:before="100" w:beforeAutospacing="1" w:after="100" w:afterAutospacing="1" w:line="240" w:lineRule="auto"/>
    </w:pPr>
    <w:rPr>
      <w:rFonts w:ascii="Times New Roman" w:eastAsia="Times New Roman" w:hAnsi="Times New Roman" w:cs="Times New Roman"/>
      <w:sz w:val="24"/>
      <w:szCs w:val="24"/>
      <w:lang w:val="en-GR"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ros.grivakos\OneDrive%20-%20Nidec\Desktop\Nidec%20Automation,%20Roboteq_Word_%20document_template_lat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0AC95F-2DB6-6E48-B074-A357A10921F5}">
  <we:reference id="wa200010453" version="1.0.0.1" store="en-US" storeType="OMEX"/>
  <we:alternateReferences>
    <we:reference id="WA200010453" version="1.0.0.1" store="" storeType="OMEX"/>
  </we:alternateReferences>
  <we:properties>
    <we:property name="claude.fileId" value="&quot;d5d20759-b3fd-4bf0-b3d7-695e1966d41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8CD480-5051-4718-B4A0-3E81F64288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C:\Users\petros.grivakos\OneDrive - Nidec\Desktop\Nidec Automation, Roboteq_Word_ document_template_latest.dotx</Template>
  <TotalTime>72</TotalTime>
  <Pages>5</Pages>
  <Words>675</Words>
  <Characters>3849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Grivakos, Petros [ACIM/MC/MAR]</dc:creator>
  <cp:keywords/>
  <dc:description/>
  <cp:lastModifiedBy>Vasilis Gkionis</cp:lastModifiedBy>
  <cp:revision>8</cp:revision>
  <dcterms:created xsi:type="dcterms:W3CDTF">2026-08-03T05:55:00Z</dcterms:created>
  <dcterms:modified xsi:type="dcterms:W3CDTF">2026-08-05T07:34:00Z</dcterms:modified>
</cp:coreProperties>
</file>