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E91931" w14:textId="77777777" w:rsidR="0054421B" w:rsidRDefault="0054421B">
      <w:r>
        <w:br/>
      </w:r>
    </w:p>
    <w:p w14:paraId="74785AF1" w14:textId="77777777" w:rsidR="00903A6D" w:rsidRDefault="00903A6D"/>
    <w:p w14:paraId="4845D034" w14:textId="77777777" w:rsidR="00903A6D" w:rsidRDefault="00903A6D"/>
    <w:p w14:paraId="39513016" w14:textId="77777777" w:rsidR="00903A6D" w:rsidRDefault="00903A6D"/>
    <w:p w14:paraId="7AAE839F" w14:textId="77777777" w:rsidR="0035576C" w:rsidRDefault="0035576C"/>
    <w:p w14:paraId="13FC5D7B" w14:textId="77777777" w:rsidR="0035576C" w:rsidRDefault="0035576C"/>
    <w:p w14:paraId="539AEEC1" w14:textId="77777777" w:rsidR="0035576C" w:rsidRDefault="0035576C"/>
    <w:p w14:paraId="79C64F5B" w14:textId="77777777" w:rsidR="0035576C" w:rsidRDefault="0035576C"/>
    <w:p w14:paraId="47DF4FD1" w14:textId="31A10309" w:rsidR="00903A6D" w:rsidRPr="00006E76" w:rsidRDefault="00BB3FFE" w:rsidP="0035576C">
      <w:pPr>
        <w:jc w:val="center"/>
        <w:rPr>
          <w:b/>
          <w:bCs/>
          <w:sz w:val="44"/>
          <w:szCs w:val="44"/>
        </w:rPr>
      </w:pPr>
      <w:r>
        <w:rPr>
          <w:b/>
          <w:bCs/>
          <w:sz w:val="44"/>
          <w:szCs w:val="44"/>
        </w:rPr>
        <w:t>Calorimetry Device</w:t>
      </w:r>
    </w:p>
    <w:p w14:paraId="5D05E535" w14:textId="687D080E" w:rsidR="0035576C" w:rsidRPr="00006E76" w:rsidRDefault="00BB3FFE" w:rsidP="0035576C">
      <w:pPr>
        <w:jc w:val="center"/>
        <w:rPr>
          <w:b/>
          <w:bCs/>
          <w:sz w:val="52"/>
          <w:szCs w:val="52"/>
        </w:rPr>
      </w:pPr>
      <w:r>
        <w:rPr>
          <w:b/>
          <w:bCs/>
          <w:sz w:val="52"/>
          <w:szCs w:val="52"/>
        </w:rPr>
        <w:t>Initial Study</w:t>
      </w:r>
    </w:p>
    <w:p w14:paraId="46370BC1" w14:textId="77777777" w:rsidR="0035576C" w:rsidRDefault="0035576C" w:rsidP="0035576C">
      <w:pPr>
        <w:jc w:val="center"/>
        <w:rPr>
          <w:sz w:val="52"/>
          <w:szCs w:val="52"/>
        </w:rPr>
      </w:pPr>
    </w:p>
    <w:p w14:paraId="48CABB5C" w14:textId="77777777" w:rsidR="0035576C" w:rsidRDefault="0035576C" w:rsidP="0035576C">
      <w:pPr>
        <w:jc w:val="center"/>
        <w:rPr>
          <w:sz w:val="52"/>
          <w:szCs w:val="52"/>
        </w:rPr>
      </w:pPr>
    </w:p>
    <w:p w14:paraId="2482A6DE" w14:textId="77777777" w:rsidR="0035576C" w:rsidRDefault="0035576C" w:rsidP="0035576C">
      <w:pPr>
        <w:jc w:val="center"/>
        <w:rPr>
          <w:sz w:val="52"/>
          <w:szCs w:val="52"/>
        </w:rPr>
      </w:pPr>
    </w:p>
    <w:p w14:paraId="43486272" w14:textId="77777777" w:rsidR="0035576C" w:rsidRDefault="0035576C" w:rsidP="0035576C">
      <w:pPr>
        <w:jc w:val="center"/>
        <w:rPr>
          <w:sz w:val="52"/>
          <w:szCs w:val="52"/>
        </w:rPr>
      </w:pPr>
    </w:p>
    <w:p w14:paraId="4AF59A69" w14:textId="77777777" w:rsidR="0035576C" w:rsidRDefault="0035576C" w:rsidP="0035576C">
      <w:pPr>
        <w:jc w:val="center"/>
      </w:pPr>
    </w:p>
    <w:p w14:paraId="4B3196AB" w14:textId="77777777" w:rsidR="0035576C" w:rsidRDefault="0035576C" w:rsidP="0035576C">
      <w:pPr>
        <w:jc w:val="center"/>
      </w:pPr>
    </w:p>
    <w:p w14:paraId="486E06DF" w14:textId="77777777" w:rsidR="0035576C" w:rsidRDefault="0035576C" w:rsidP="0035576C">
      <w:pPr>
        <w:jc w:val="center"/>
      </w:pPr>
    </w:p>
    <w:p w14:paraId="400A704E" w14:textId="77777777" w:rsidR="0035576C" w:rsidRDefault="0035576C" w:rsidP="0035576C">
      <w:pPr>
        <w:jc w:val="center"/>
      </w:pPr>
    </w:p>
    <w:p w14:paraId="6B832B43" w14:textId="77777777" w:rsidR="0035576C" w:rsidRDefault="0035576C" w:rsidP="0035576C">
      <w:pPr>
        <w:jc w:val="center"/>
      </w:pPr>
    </w:p>
    <w:p w14:paraId="221F9BC2" w14:textId="77777777" w:rsidR="0035576C" w:rsidRDefault="0035576C" w:rsidP="0035576C">
      <w:pPr>
        <w:jc w:val="center"/>
      </w:pPr>
    </w:p>
    <w:tbl>
      <w:tblPr>
        <w:tblStyle w:val="TableGrid"/>
        <w:tblW w:w="0" w:type="auto"/>
        <w:tblLook w:val="04A0" w:firstRow="1" w:lastRow="0" w:firstColumn="1" w:lastColumn="0" w:noHBand="0" w:noVBand="1"/>
      </w:tblPr>
      <w:tblGrid>
        <w:gridCol w:w="3005"/>
        <w:gridCol w:w="3005"/>
        <w:gridCol w:w="3006"/>
      </w:tblGrid>
      <w:tr w:rsidR="0035576C" w14:paraId="77F62A8F" w14:textId="77777777" w:rsidTr="0035576C">
        <w:tc>
          <w:tcPr>
            <w:tcW w:w="3005" w:type="dxa"/>
          </w:tcPr>
          <w:p w14:paraId="31A7230A" w14:textId="77777777" w:rsidR="0035576C" w:rsidRDefault="0035576C" w:rsidP="0035576C">
            <w:pPr>
              <w:jc w:val="center"/>
            </w:pPr>
            <w:r>
              <w:t>Author</w:t>
            </w:r>
          </w:p>
        </w:tc>
        <w:tc>
          <w:tcPr>
            <w:tcW w:w="3005" w:type="dxa"/>
          </w:tcPr>
          <w:p w14:paraId="73F80DFF" w14:textId="77777777" w:rsidR="0035576C" w:rsidRDefault="0035576C" w:rsidP="0035576C">
            <w:pPr>
              <w:jc w:val="center"/>
            </w:pPr>
            <w:r>
              <w:t>Checked</w:t>
            </w:r>
          </w:p>
        </w:tc>
        <w:tc>
          <w:tcPr>
            <w:tcW w:w="3006" w:type="dxa"/>
          </w:tcPr>
          <w:p w14:paraId="0E3DE7E6" w14:textId="77777777" w:rsidR="0035576C" w:rsidRDefault="0035576C" w:rsidP="0035576C">
            <w:pPr>
              <w:jc w:val="center"/>
            </w:pPr>
            <w:r>
              <w:t>Approved</w:t>
            </w:r>
          </w:p>
        </w:tc>
      </w:tr>
      <w:tr w:rsidR="0035576C" w14:paraId="30400656" w14:textId="77777777" w:rsidTr="0035576C">
        <w:tc>
          <w:tcPr>
            <w:tcW w:w="3005" w:type="dxa"/>
          </w:tcPr>
          <w:p w14:paraId="39CB9F25" w14:textId="30CB6117" w:rsidR="0035576C" w:rsidRDefault="00BB3FFE" w:rsidP="0035576C">
            <w:pPr>
              <w:jc w:val="center"/>
            </w:pPr>
            <w:r>
              <w:t>Vasileios Gkionis</w:t>
            </w:r>
          </w:p>
        </w:tc>
        <w:tc>
          <w:tcPr>
            <w:tcW w:w="3005" w:type="dxa"/>
          </w:tcPr>
          <w:p w14:paraId="53A51732" w14:textId="77777777" w:rsidR="0035576C" w:rsidRDefault="0035576C" w:rsidP="0035576C">
            <w:pPr>
              <w:jc w:val="center"/>
            </w:pPr>
            <w:r>
              <w:t>Name Surname</w:t>
            </w:r>
          </w:p>
        </w:tc>
        <w:tc>
          <w:tcPr>
            <w:tcW w:w="3006" w:type="dxa"/>
          </w:tcPr>
          <w:p w14:paraId="7F77C150" w14:textId="77777777" w:rsidR="0035576C" w:rsidRDefault="0035576C" w:rsidP="0035576C">
            <w:pPr>
              <w:jc w:val="center"/>
            </w:pPr>
            <w:r>
              <w:t>Name Surname</w:t>
            </w:r>
          </w:p>
        </w:tc>
      </w:tr>
      <w:tr w:rsidR="0035576C" w14:paraId="39E7A444" w14:textId="77777777" w:rsidTr="0035576C">
        <w:tc>
          <w:tcPr>
            <w:tcW w:w="3005" w:type="dxa"/>
          </w:tcPr>
          <w:p w14:paraId="233FD6DA" w14:textId="53988E87" w:rsidR="0035576C" w:rsidRDefault="00BB3FFE" w:rsidP="0035576C">
            <w:pPr>
              <w:jc w:val="center"/>
            </w:pPr>
            <w:r>
              <w:t>August 3 2026</w:t>
            </w:r>
          </w:p>
        </w:tc>
        <w:tc>
          <w:tcPr>
            <w:tcW w:w="3005" w:type="dxa"/>
          </w:tcPr>
          <w:p w14:paraId="63223938" w14:textId="77777777" w:rsidR="0035576C" w:rsidRDefault="0035576C" w:rsidP="0035576C">
            <w:pPr>
              <w:jc w:val="center"/>
            </w:pPr>
            <w:r>
              <w:t>Date</w:t>
            </w:r>
          </w:p>
        </w:tc>
        <w:tc>
          <w:tcPr>
            <w:tcW w:w="3006" w:type="dxa"/>
          </w:tcPr>
          <w:p w14:paraId="32F9F2E2" w14:textId="77777777" w:rsidR="0035576C" w:rsidRDefault="0035576C" w:rsidP="0035576C">
            <w:pPr>
              <w:jc w:val="center"/>
            </w:pPr>
            <w:r>
              <w:t>Date</w:t>
            </w:r>
          </w:p>
        </w:tc>
      </w:tr>
    </w:tbl>
    <w:p w14:paraId="06958838" w14:textId="77777777" w:rsidR="0054421B" w:rsidRDefault="0054421B" w:rsidP="0035576C">
      <w:pPr>
        <w:jc w:val="center"/>
      </w:pPr>
      <w:r>
        <w:br w:type="page"/>
      </w:r>
    </w:p>
    <w:p w14:paraId="319772B5" w14:textId="77777777" w:rsidR="00000E44" w:rsidRDefault="00000E44"/>
    <w:p w14:paraId="1A186398" w14:textId="77777777" w:rsidR="0035576C" w:rsidRPr="00006E76" w:rsidRDefault="0035576C">
      <w:pPr>
        <w:rPr>
          <w:sz w:val="32"/>
          <w:szCs w:val="32"/>
        </w:rPr>
      </w:pPr>
      <w:r w:rsidRPr="00006E76">
        <w:rPr>
          <w:sz w:val="32"/>
          <w:szCs w:val="32"/>
        </w:rPr>
        <w:t>Revision History</w:t>
      </w:r>
    </w:p>
    <w:tbl>
      <w:tblPr>
        <w:tblStyle w:val="TableGrid"/>
        <w:tblW w:w="9067" w:type="dxa"/>
        <w:tblLook w:val="04A0" w:firstRow="1" w:lastRow="0" w:firstColumn="1" w:lastColumn="0" w:noHBand="0" w:noVBand="1"/>
      </w:tblPr>
      <w:tblGrid>
        <w:gridCol w:w="988"/>
        <w:gridCol w:w="1417"/>
        <w:gridCol w:w="1701"/>
        <w:gridCol w:w="4961"/>
      </w:tblGrid>
      <w:tr w:rsidR="00CA7220" w14:paraId="3863C8B9" w14:textId="77777777" w:rsidTr="00CA7220">
        <w:tc>
          <w:tcPr>
            <w:tcW w:w="988" w:type="dxa"/>
          </w:tcPr>
          <w:p w14:paraId="34B18FE4" w14:textId="77777777" w:rsidR="00CA7220" w:rsidRDefault="00CA7220">
            <w:proofErr w:type="spellStart"/>
            <w:r>
              <w:t>Iss</w:t>
            </w:r>
            <w:proofErr w:type="spellEnd"/>
            <w:r>
              <w:t>. Rev.</w:t>
            </w:r>
          </w:p>
        </w:tc>
        <w:tc>
          <w:tcPr>
            <w:tcW w:w="1417" w:type="dxa"/>
          </w:tcPr>
          <w:p w14:paraId="1AE9F738" w14:textId="77777777" w:rsidR="00CA7220" w:rsidRDefault="00CA7220">
            <w:r>
              <w:t>Date</w:t>
            </w:r>
          </w:p>
        </w:tc>
        <w:tc>
          <w:tcPr>
            <w:tcW w:w="1701" w:type="dxa"/>
          </w:tcPr>
          <w:p w14:paraId="1CBDED92" w14:textId="77777777" w:rsidR="00CA7220" w:rsidRDefault="00CA7220">
            <w:r>
              <w:t>Author</w:t>
            </w:r>
          </w:p>
        </w:tc>
        <w:tc>
          <w:tcPr>
            <w:tcW w:w="4961" w:type="dxa"/>
          </w:tcPr>
          <w:p w14:paraId="3D4FC5CB" w14:textId="77777777" w:rsidR="00CA7220" w:rsidRDefault="00CA7220">
            <w:r>
              <w:t>Comments/Change log</w:t>
            </w:r>
          </w:p>
        </w:tc>
      </w:tr>
      <w:tr w:rsidR="00CA7220" w14:paraId="016D6C56" w14:textId="77777777" w:rsidTr="00CA7220">
        <w:tc>
          <w:tcPr>
            <w:tcW w:w="988" w:type="dxa"/>
          </w:tcPr>
          <w:p w14:paraId="67184216" w14:textId="77777777" w:rsidR="00CA7220" w:rsidRDefault="00CA7220">
            <w:r>
              <w:t>1.0</w:t>
            </w:r>
          </w:p>
        </w:tc>
        <w:tc>
          <w:tcPr>
            <w:tcW w:w="1417" w:type="dxa"/>
          </w:tcPr>
          <w:p w14:paraId="28AC40E0" w14:textId="59F97C60" w:rsidR="00CA7220" w:rsidRDefault="00BB3FFE">
            <w:r>
              <w:t xml:space="preserve">03–08–2026 </w:t>
            </w:r>
          </w:p>
        </w:tc>
        <w:tc>
          <w:tcPr>
            <w:tcW w:w="1701" w:type="dxa"/>
          </w:tcPr>
          <w:p w14:paraId="7341A704" w14:textId="4D1813DF" w:rsidR="00CA7220" w:rsidRDefault="00BB3FFE">
            <w:r>
              <w:t>G. Vasileios</w:t>
            </w:r>
          </w:p>
        </w:tc>
        <w:tc>
          <w:tcPr>
            <w:tcW w:w="4961" w:type="dxa"/>
          </w:tcPr>
          <w:p w14:paraId="38B135E5" w14:textId="77777777" w:rsidR="00CA7220" w:rsidRDefault="00CA7220">
            <w:r>
              <w:t>Initial release</w:t>
            </w:r>
          </w:p>
        </w:tc>
      </w:tr>
      <w:tr w:rsidR="00CA7220" w14:paraId="0A1D2D50" w14:textId="77777777" w:rsidTr="00CA7220">
        <w:tc>
          <w:tcPr>
            <w:tcW w:w="988" w:type="dxa"/>
          </w:tcPr>
          <w:p>
            <w:r/>
            <w:r>
              <w:rPr>
                <w:sz w:val="18"/>
              </w:rPr>
              <w:t>1.1</w:t>
            </w:r>
          </w:p>
        </w:tc>
        <w:tc>
          <w:tcPr>
            <w:tcW w:w="1417" w:type="dxa"/>
          </w:tcPr>
          <w:p>
            <w:r/>
            <w:r>
              <w:rPr>
                <w:sz w:val="18"/>
              </w:rPr>
              <w:t>30–08–2026</w:t>
            </w:r>
          </w:p>
        </w:tc>
        <w:tc>
          <w:tcPr>
            <w:tcW w:w="1701" w:type="dxa"/>
          </w:tcPr>
          <w:p>
            <w:r/>
            <w:r>
              <w:rPr>
                <w:sz w:val="18"/>
              </w:rPr>
              <w:t>G. Vasileios</w:t>
            </w:r>
          </w:p>
        </w:tc>
        <w:tc>
          <w:tcPr>
            <w:tcW w:w="4961" w:type="dxa"/>
          </w:tcPr>
          <w:p>
            <w:r/>
            <w:r>
              <w:rPr>
                <w:sz w:val="18"/>
              </w:rPr>
              <w:t>Sections 2–7 completed: reference documents, calorimetry theory, topology trade study and selection, design decisions, thermal model, state-space model and guard control design, Python simulation and results. Sections 8–9 (hardware, firmware) still to be written.</w:t>
            </w:r>
          </w:p>
        </w:tc>
      </w:tr>
      <w:tr w:rsidR="00CA7220" w14:paraId="25FBEF61" w14:textId="77777777" w:rsidTr="00CA7220">
        <w:tc>
          <w:tcPr>
            <w:tcW w:w="988" w:type="dxa"/>
          </w:tcPr>
          <w:p w14:paraId="1C6004AC" w14:textId="77777777" w:rsidR="00CA7220" w:rsidRDefault="00CA7220"/>
        </w:tc>
        <w:tc>
          <w:tcPr>
            <w:tcW w:w="1417" w:type="dxa"/>
          </w:tcPr>
          <w:p w14:paraId="2A9FED36" w14:textId="77777777" w:rsidR="00CA7220" w:rsidRDefault="00CA7220"/>
        </w:tc>
        <w:tc>
          <w:tcPr>
            <w:tcW w:w="1701" w:type="dxa"/>
          </w:tcPr>
          <w:p w14:paraId="545C0955" w14:textId="77777777" w:rsidR="00CA7220" w:rsidRDefault="00CA7220"/>
        </w:tc>
        <w:tc>
          <w:tcPr>
            <w:tcW w:w="4961" w:type="dxa"/>
          </w:tcPr>
          <w:p w14:paraId="69DEDE1D" w14:textId="77777777" w:rsidR="00CA7220" w:rsidRDefault="00CA7220"/>
        </w:tc>
      </w:tr>
      <w:tr w:rsidR="00CA7220" w14:paraId="3E4C0228" w14:textId="77777777" w:rsidTr="00CA7220">
        <w:tc>
          <w:tcPr>
            <w:tcW w:w="988" w:type="dxa"/>
          </w:tcPr>
          <w:p w14:paraId="4D1B24D8" w14:textId="77777777" w:rsidR="00CA7220" w:rsidRDefault="00CA7220"/>
        </w:tc>
        <w:tc>
          <w:tcPr>
            <w:tcW w:w="1417" w:type="dxa"/>
          </w:tcPr>
          <w:p w14:paraId="25614CAF" w14:textId="77777777" w:rsidR="00CA7220" w:rsidRDefault="00CA7220"/>
        </w:tc>
        <w:tc>
          <w:tcPr>
            <w:tcW w:w="1701" w:type="dxa"/>
          </w:tcPr>
          <w:p w14:paraId="20C7A3BA" w14:textId="77777777" w:rsidR="00CA7220" w:rsidRDefault="00CA7220"/>
        </w:tc>
        <w:tc>
          <w:tcPr>
            <w:tcW w:w="4961" w:type="dxa"/>
          </w:tcPr>
          <w:p w14:paraId="25E0DB5B" w14:textId="77777777" w:rsidR="00CA7220" w:rsidRDefault="00CA7220"/>
        </w:tc>
      </w:tr>
      <w:tr w:rsidR="00CA7220" w14:paraId="1AE5E71A" w14:textId="77777777" w:rsidTr="00CA7220">
        <w:tc>
          <w:tcPr>
            <w:tcW w:w="988" w:type="dxa"/>
          </w:tcPr>
          <w:p w14:paraId="04FB990B" w14:textId="77777777" w:rsidR="00CA7220" w:rsidRDefault="00CA7220"/>
        </w:tc>
        <w:tc>
          <w:tcPr>
            <w:tcW w:w="1417" w:type="dxa"/>
          </w:tcPr>
          <w:p w14:paraId="432AECAC" w14:textId="77777777" w:rsidR="00CA7220" w:rsidRDefault="00CA7220"/>
        </w:tc>
        <w:tc>
          <w:tcPr>
            <w:tcW w:w="1701" w:type="dxa"/>
          </w:tcPr>
          <w:p w14:paraId="60C66CBB" w14:textId="77777777" w:rsidR="00CA7220" w:rsidRDefault="00CA7220"/>
        </w:tc>
        <w:tc>
          <w:tcPr>
            <w:tcW w:w="4961" w:type="dxa"/>
          </w:tcPr>
          <w:p w14:paraId="37463181" w14:textId="77777777" w:rsidR="00CA7220" w:rsidRDefault="00CA7220"/>
        </w:tc>
      </w:tr>
      <w:tr w:rsidR="00CA7220" w14:paraId="2D55877D" w14:textId="77777777" w:rsidTr="00CA7220">
        <w:tc>
          <w:tcPr>
            <w:tcW w:w="988" w:type="dxa"/>
          </w:tcPr>
          <w:p w14:paraId="00DF7DA2" w14:textId="77777777" w:rsidR="00CA7220" w:rsidRDefault="00CA7220"/>
        </w:tc>
        <w:tc>
          <w:tcPr>
            <w:tcW w:w="1417" w:type="dxa"/>
          </w:tcPr>
          <w:p w14:paraId="18E35146" w14:textId="77777777" w:rsidR="00CA7220" w:rsidRDefault="00CA7220"/>
        </w:tc>
        <w:tc>
          <w:tcPr>
            <w:tcW w:w="1701" w:type="dxa"/>
          </w:tcPr>
          <w:p w14:paraId="63B19E5B" w14:textId="77777777" w:rsidR="00CA7220" w:rsidRDefault="00CA7220"/>
        </w:tc>
        <w:tc>
          <w:tcPr>
            <w:tcW w:w="4961" w:type="dxa"/>
          </w:tcPr>
          <w:p w14:paraId="3014E9AE" w14:textId="77777777" w:rsidR="00CA7220" w:rsidRDefault="00CA7220"/>
        </w:tc>
      </w:tr>
    </w:tbl>
    <w:p w14:paraId="453B80A1" w14:textId="77777777" w:rsidR="0035576C" w:rsidRDefault="0035576C"/>
    <w:p w14:paraId="16C27F80" w14:textId="77777777" w:rsidR="004C073D" w:rsidRDefault="004C073D">
      <w:r>
        <w:br w:type="page"/>
      </w:r>
    </w:p>
    <w:sdt>
      <w:sdtPr>
        <w:id w:val="341061412"/>
        <w:docPartObj>
          <w:docPartGallery w:val="Table of Contents"/>
          <w:docPartUnique/>
        </w:docPartObj>
      </w:sdtPr>
      <w:sdtEndPr>
        <w:rPr>
          <w:b/>
          <w:bCs/>
          <w:noProof/>
        </w:rPr>
      </w:sdtEndPr>
      <w:sdtContent>
        <w:p w14:paraId="3EA21144" w14:textId="77777777" w:rsidR="0014774D" w:rsidRPr="00734B73" w:rsidRDefault="0014774D" w:rsidP="00734B73">
          <w:pPr>
            <w:rPr>
              <w:rFonts w:asciiTheme="majorHAnsi" w:hAnsiTheme="majorHAnsi" w:cstheme="majorHAnsi"/>
              <w:sz w:val="32"/>
              <w:szCs w:val="32"/>
            </w:rPr>
          </w:pPr>
          <w:r w:rsidRPr="00734B73">
            <w:rPr>
              <w:rFonts w:asciiTheme="majorHAnsi" w:hAnsiTheme="majorHAnsi" w:cstheme="majorHAnsi"/>
              <w:sz w:val="32"/>
              <w:szCs w:val="32"/>
            </w:rPr>
            <w:t>Table of Contents</w:t>
          </w:r>
        </w:p>
        <w:p w14:paraId="6A7D2748" w14:textId="77777777" w:rsidR="001E056F" w:rsidRDefault="0014774D">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98518437" w:history="1">
            <w:r w:rsidR="001E056F" w:rsidRPr="00AC71F1">
              <w:rPr>
                <w:rStyle w:val="Hyperlink"/>
                <w:noProof/>
              </w:rPr>
              <w:t>1</w:t>
            </w:r>
            <w:r w:rsidR="001E056F">
              <w:rPr>
                <w:rFonts w:eastAsiaTheme="minorEastAsia"/>
                <w:noProof/>
                <w:lang w:eastAsia="en-GB"/>
              </w:rPr>
              <w:tab/>
            </w:r>
            <w:r w:rsidR="001E056F" w:rsidRPr="00AC71F1">
              <w:rPr>
                <w:rStyle w:val="Hyperlink"/>
                <w:noProof/>
              </w:rPr>
              <w:t>Introduction</w:t>
            </w:r>
            <w:r w:rsidR="001E056F">
              <w:rPr>
                <w:noProof/>
                <w:webHidden/>
              </w:rPr>
              <w:tab/>
            </w:r>
            <w:r w:rsidR="001E056F">
              <w:rPr>
                <w:noProof/>
                <w:webHidden/>
              </w:rPr>
              <w:fldChar w:fldCharType="begin"/>
            </w:r>
            <w:r w:rsidR="001E056F">
              <w:rPr>
                <w:noProof/>
                <w:webHidden/>
              </w:rPr>
              <w:instrText xml:space="preserve"> PAGEREF _Toc98518437 \h </w:instrText>
            </w:r>
            <w:r w:rsidR="001E056F">
              <w:rPr>
                <w:noProof/>
                <w:webHidden/>
              </w:rPr>
            </w:r>
            <w:r w:rsidR="001E056F">
              <w:rPr>
                <w:noProof/>
                <w:webHidden/>
              </w:rPr>
              <w:fldChar w:fldCharType="separate"/>
            </w:r>
            <w:r w:rsidR="001E056F">
              <w:rPr>
                <w:noProof/>
                <w:webHidden/>
              </w:rPr>
              <w:t>4</w:t>
            </w:r>
            <w:r w:rsidR="001E056F">
              <w:rPr>
                <w:noProof/>
                <w:webHidden/>
              </w:rPr>
              <w:fldChar w:fldCharType="end"/>
            </w:r>
          </w:hyperlink>
        </w:p>
        <w:p w14:paraId="5E58DD3B" w14:textId="77777777" w:rsidR="001E056F" w:rsidRDefault="001E056F">
          <w:pPr>
            <w:pStyle w:val="TOC1"/>
            <w:tabs>
              <w:tab w:val="left" w:pos="440"/>
              <w:tab w:val="right" w:leader="dot" w:pos="9016"/>
            </w:tabs>
            <w:rPr>
              <w:rFonts w:eastAsiaTheme="minorEastAsia"/>
              <w:noProof/>
              <w:lang w:eastAsia="en-GB"/>
            </w:rPr>
          </w:pPr>
          <w:hyperlink w:anchor="_Toc98518438" w:history="1">
            <w:r w:rsidRPr="00AC71F1">
              <w:rPr>
                <w:rStyle w:val="Hyperlink"/>
                <w:noProof/>
              </w:rPr>
              <w:t>2</w:t>
            </w:r>
            <w:r>
              <w:rPr>
                <w:rFonts w:eastAsiaTheme="minorEastAsia"/>
                <w:noProof/>
                <w:lang w:eastAsia="en-GB"/>
              </w:rPr>
              <w:tab/>
            </w:r>
            <w:r w:rsidRPr="00AC71F1">
              <w:rPr>
                <w:rStyle w:val="Hyperlink"/>
                <w:noProof/>
              </w:rPr>
              <w:t>Applicable And Reference Documents</w:t>
            </w:r>
            <w:r>
              <w:rPr>
                <w:noProof/>
                <w:webHidden/>
              </w:rPr>
              <w:tab/>
            </w:r>
            <w:r>
              <w:rPr>
                <w:noProof/>
                <w:webHidden/>
              </w:rPr>
              <w:fldChar w:fldCharType="begin"/>
            </w:r>
            <w:r>
              <w:rPr>
                <w:noProof/>
                <w:webHidden/>
              </w:rPr>
              <w:instrText xml:space="preserve"> PAGEREF _Toc98518438 \h </w:instrText>
            </w:r>
            <w:r>
              <w:rPr>
                <w:noProof/>
                <w:webHidden/>
              </w:rPr>
            </w:r>
            <w:r>
              <w:rPr>
                <w:noProof/>
                <w:webHidden/>
              </w:rPr>
              <w:fldChar w:fldCharType="separate"/>
            </w:r>
            <w:r>
              <w:rPr>
                <w:noProof/>
                <w:webHidden/>
              </w:rPr>
              <w:t>4</w:t>
            </w:r>
            <w:r>
              <w:rPr>
                <w:noProof/>
                <w:webHidden/>
              </w:rPr>
              <w:fldChar w:fldCharType="end"/>
            </w:r>
          </w:hyperlink>
        </w:p>
        <w:p w14:paraId="122C05BD" w14:textId="77777777" w:rsidR="001E056F" w:rsidRDefault="001E056F">
          <w:pPr>
            <w:pStyle w:val="TOC2"/>
            <w:tabs>
              <w:tab w:val="left" w:pos="880"/>
              <w:tab w:val="right" w:leader="dot" w:pos="9016"/>
            </w:tabs>
            <w:rPr>
              <w:rFonts w:eastAsiaTheme="minorEastAsia"/>
              <w:noProof/>
              <w:lang w:eastAsia="en-GB"/>
            </w:rPr>
          </w:pPr>
          <w:hyperlink w:anchor="_Toc98518439" w:history="1">
            <w:r w:rsidRPr="00AC71F1">
              <w:rPr>
                <w:rStyle w:val="Hyperlink"/>
                <w:noProof/>
              </w:rPr>
              <w:t>2.1</w:t>
            </w:r>
            <w:r>
              <w:rPr>
                <w:rFonts w:eastAsiaTheme="minorEastAsia"/>
                <w:noProof/>
                <w:lang w:eastAsia="en-GB"/>
              </w:rPr>
              <w:tab/>
            </w:r>
            <w:r w:rsidRPr="00AC71F1">
              <w:rPr>
                <w:rStyle w:val="Hyperlink"/>
                <w:noProof/>
              </w:rPr>
              <w:t>Applicable documents</w:t>
            </w:r>
            <w:r>
              <w:rPr>
                <w:noProof/>
                <w:webHidden/>
              </w:rPr>
              <w:tab/>
            </w:r>
            <w:r>
              <w:rPr>
                <w:noProof/>
                <w:webHidden/>
              </w:rPr>
              <w:fldChar w:fldCharType="begin"/>
            </w:r>
            <w:r>
              <w:rPr>
                <w:noProof/>
                <w:webHidden/>
              </w:rPr>
              <w:instrText xml:space="preserve"> PAGEREF _Toc98518439 \h </w:instrText>
            </w:r>
            <w:r>
              <w:rPr>
                <w:noProof/>
                <w:webHidden/>
              </w:rPr>
            </w:r>
            <w:r>
              <w:rPr>
                <w:noProof/>
                <w:webHidden/>
              </w:rPr>
              <w:fldChar w:fldCharType="separate"/>
            </w:r>
            <w:r>
              <w:rPr>
                <w:noProof/>
                <w:webHidden/>
              </w:rPr>
              <w:t>4</w:t>
            </w:r>
            <w:r>
              <w:rPr>
                <w:noProof/>
                <w:webHidden/>
              </w:rPr>
              <w:fldChar w:fldCharType="end"/>
            </w:r>
          </w:hyperlink>
        </w:p>
        <w:p w14:paraId="3DE4ED51" w14:textId="77777777" w:rsidR="001E056F" w:rsidRDefault="001E056F">
          <w:pPr>
            <w:pStyle w:val="TOC2"/>
            <w:tabs>
              <w:tab w:val="left" w:pos="880"/>
              <w:tab w:val="right" w:leader="dot" w:pos="9016"/>
            </w:tabs>
            <w:rPr>
              <w:rFonts w:eastAsiaTheme="minorEastAsia"/>
              <w:noProof/>
              <w:lang w:eastAsia="en-GB"/>
            </w:rPr>
          </w:pPr>
          <w:hyperlink w:anchor="_Toc98518440" w:history="1">
            <w:r w:rsidRPr="00AC71F1">
              <w:rPr>
                <w:rStyle w:val="Hyperlink"/>
                <w:noProof/>
              </w:rPr>
              <w:t>2.2</w:t>
            </w:r>
            <w:r>
              <w:rPr>
                <w:rFonts w:eastAsiaTheme="minorEastAsia"/>
                <w:noProof/>
                <w:lang w:eastAsia="en-GB"/>
              </w:rPr>
              <w:tab/>
            </w:r>
            <w:r w:rsidRPr="00AC71F1">
              <w:rPr>
                <w:rStyle w:val="Hyperlink"/>
                <w:noProof/>
              </w:rPr>
              <w:t>Reference Documents</w:t>
            </w:r>
            <w:r>
              <w:rPr>
                <w:noProof/>
                <w:webHidden/>
              </w:rPr>
              <w:tab/>
            </w:r>
            <w:r>
              <w:rPr>
                <w:noProof/>
                <w:webHidden/>
              </w:rPr>
              <w:fldChar w:fldCharType="begin"/>
            </w:r>
            <w:r>
              <w:rPr>
                <w:noProof/>
                <w:webHidden/>
              </w:rPr>
              <w:instrText xml:space="preserve"> PAGEREF _Toc98518440 \h </w:instrText>
            </w:r>
            <w:r>
              <w:rPr>
                <w:noProof/>
                <w:webHidden/>
              </w:rPr>
            </w:r>
            <w:r>
              <w:rPr>
                <w:noProof/>
                <w:webHidden/>
              </w:rPr>
              <w:fldChar w:fldCharType="separate"/>
            </w:r>
            <w:r>
              <w:rPr>
                <w:noProof/>
                <w:webHidden/>
              </w:rPr>
              <w:t>4</w:t>
            </w:r>
            <w:r>
              <w:rPr>
                <w:noProof/>
                <w:webHidden/>
              </w:rPr>
              <w:fldChar w:fldCharType="end"/>
            </w:r>
          </w:hyperlink>
        </w:p>
        <w:p w14:paraId="1271051C" w14:textId="77777777" w:rsidR="001E056F" w:rsidRDefault="001E056F">
          <w:pPr>
            <w:pStyle w:val="TOC1"/>
            <w:tabs>
              <w:tab w:val="left" w:pos="440"/>
              <w:tab w:val="right" w:leader="dot" w:pos="9016"/>
            </w:tabs>
            <w:rPr>
              <w:rFonts w:eastAsiaTheme="minorEastAsia"/>
              <w:noProof/>
              <w:lang w:eastAsia="en-GB"/>
            </w:rPr>
          </w:pPr>
          <w:hyperlink w:anchor="_Toc98518441" w:history="1">
            <w:r w:rsidRPr="00AC71F1">
              <w:rPr>
                <w:rStyle w:val="Hyperlink"/>
                <w:noProof/>
              </w:rPr>
              <w:t>3</w:t>
            </w:r>
            <w:r>
              <w:rPr>
                <w:rFonts w:eastAsiaTheme="minorEastAsia"/>
                <w:noProof/>
                <w:lang w:eastAsia="en-GB"/>
              </w:rPr>
              <w:tab/>
            </w:r>
            <w:r w:rsidRPr="00AC71F1">
              <w:rPr>
                <w:rStyle w:val="Hyperlink"/>
                <w:noProof/>
              </w:rPr>
              <w:t>Abbreviations And Acronyms</w:t>
            </w:r>
            <w:r>
              <w:rPr>
                <w:noProof/>
                <w:webHidden/>
              </w:rPr>
              <w:tab/>
            </w:r>
            <w:r>
              <w:rPr>
                <w:noProof/>
                <w:webHidden/>
              </w:rPr>
              <w:fldChar w:fldCharType="begin"/>
            </w:r>
            <w:r>
              <w:rPr>
                <w:noProof/>
                <w:webHidden/>
              </w:rPr>
              <w:instrText xml:space="preserve"> PAGEREF _Toc98518441 \h </w:instrText>
            </w:r>
            <w:r>
              <w:rPr>
                <w:noProof/>
                <w:webHidden/>
              </w:rPr>
            </w:r>
            <w:r>
              <w:rPr>
                <w:noProof/>
                <w:webHidden/>
              </w:rPr>
              <w:fldChar w:fldCharType="separate"/>
            </w:r>
            <w:r>
              <w:rPr>
                <w:noProof/>
                <w:webHidden/>
              </w:rPr>
              <w:t>4</w:t>
            </w:r>
            <w:r>
              <w:rPr>
                <w:noProof/>
                <w:webHidden/>
              </w:rPr>
              <w:fldChar w:fldCharType="end"/>
            </w:r>
          </w:hyperlink>
        </w:p>
        <w:p w14:paraId="14DDBDFE" w14:textId="77777777" w:rsidR="001E056F" w:rsidRDefault="001E056F">
          <w:pPr>
            <w:pStyle w:val="TOC1"/>
            <w:tabs>
              <w:tab w:val="left" w:pos="440"/>
              <w:tab w:val="right" w:leader="dot" w:pos="9016"/>
            </w:tabs>
            <w:rPr>
              <w:rFonts w:eastAsiaTheme="minorEastAsia"/>
              <w:noProof/>
              <w:lang w:eastAsia="en-GB"/>
            </w:rPr>
          </w:pPr>
          <w:hyperlink w:anchor="_Toc98518442" w:history="1">
            <w:r w:rsidRPr="00AC71F1">
              <w:rPr>
                <w:rStyle w:val="Hyperlink"/>
                <w:noProof/>
              </w:rPr>
              <w:t>4</w:t>
            </w:r>
            <w:r>
              <w:rPr>
                <w:rFonts w:eastAsiaTheme="minorEastAsia"/>
                <w:noProof/>
                <w:lang w:eastAsia="en-GB"/>
              </w:rPr>
              <w:tab/>
            </w:r>
            <w:r w:rsidRPr="00AC71F1">
              <w:rPr>
                <w:rStyle w:val="Hyperlink"/>
                <w:noProof/>
              </w:rPr>
              <w:t>Topic</w:t>
            </w:r>
            <w:r>
              <w:rPr>
                <w:noProof/>
                <w:webHidden/>
              </w:rPr>
              <w:tab/>
            </w:r>
            <w:r>
              <w:rPr>
                <w:noProof/>
                <w:webHidden/>
              </w:rPr>
              <w:fldChar w:fldCharType="begin"/>
            </w:r>
            <w:r>
              <w:rPr>
                <w:noProof/>
                <w:webHidden/>
              </w:rPr>
              <w:instrText xml:space="preserve"> PAGEREF _Toc98518442 \h </w:instrText>
            </w:r>
            <w:r>
              <w:rPr>
                <w:noProof/>
                <w:webHidden/>
              </w:rPr>
            </w:r>
            <w:r>
              <w:rPr>
                <w:noProof/>
                <w:webHidden/>
              </w:rPr>
              <w:fldChar w:fldCharType="separate"/>
            </w:r>
            <w:r>
              <w:rPr>
                <w:noProof/>
                <w:webHidden/>
              </w:rPr>
              <w:t>4</w:t>
            </w:r>
            <w:r>
              <w:rPr>
                <w:noProof/>
                <w:webHidden/>
              </w:rPr>
              <w:fldChar w:fldCharType="end"/>
            </w:r>
          </w:hyperlink>
        </w:p>
        <w:p w14:paraId="19CE834E" w14:textId="77777777" w:rsidR="001E056F" w:rsidRDefault="001E056F">
          <w:pPr>
            <w:pStyle w:val="TOC2"/>
            <w:tabs>
              <w:tab w:val="left" w:pos="880"/>
              <w:tab w:val="right" w:leader="dot" w:pos="9016"/>
            </w:tabs>
            <w:rPr>
              <w:rFonts w:eastAsiaTheme="minorEastAsia"/>
              <w:noProof/>
              <w:lang w:eastAsia="en-GB"/>
            </w:rPr>
          </w:pPr>
          <w:hyperlink w:anchor="_Toc98518443" w:history="1">
            <w:r w:rsidRPr="00AC71F1">
              <w:rPr>
                <w:rStyle w:val="Hyperlink"/>
                <w:noProof/>
              </w:rPr>
              <w:t>4.1</w:t>
            </w:r>
            <w:r>
              <w:rPr>
                <w:rFonts w:eastAsiaTheme="minorEastAsia"/>
                <w:noProof/>
                <w:lang w:eastAsia="en-GB"/>
              </w:rPr>
              <w:tab/>
            </w:r>
            <w:r w:rsidRPr="00AC71F1">
              <w:rPr>
                <w:rStyle w:val="Hyperlink"/>
                <w:noProof/>
              </w:rPr>
              <w:t>Subtopic</w:t>
            </w:r>
            <w:r>
              <w:rPr>
                <w:noProof/>
                <w:webHidden/>
              </w:rPr>
              <w:tab/>
            </w:r>
            <w:r>
              <w:rPr>
                <w:noProof/>
                <w:webHidden/>
              </w:rPr>
              <w:fldChar w:fldCharType="begin"/>
            </w:r>
            <w:r>
              <w:rPr>
                <w:noProof/>
                <w:webHidden/>
              </w:rPr>
              <w:instrText xml:space="preserve"> PAGEREF _Toc98518443 \h </w:instrText>
            </w:r>
            <w:r>
              <w:rPr>
                <w:noProof/>
                <w:webHidden/>
              </w:rPr>
            </w:r>
            <w:r>
              <w:rPr>
                <w:noProof/>
                <w:webHidden/>
              </w:rPr>
              <w:fldChar w:fldCharType="separate"/>
            </w:r>
            <w:r>
              <w:rPr>
                <w:noProof/>
                <w:webHidden/>
              </w:rPr>
              <w:t>4</w:t>
            </w:r>
            <w:r>
              <w:rPr>
                <w:noProof/>
                <w:webHidden/>
              </w:rPr>
              <w:fldChar w:fldCharType="end"/>
            </w:r>
          </w:hyperlink>
        </w:p>
        <w:p w14:paraId="22900C7F" w14:textId="77777777" w:rsidR="001E056F" w:rsidRDefault="001E056F">
          <w:pPr>
            <w:pStyle w:val="TOC3"/>
            <w:tabs>
              <w:tab w:val="left" w:pos="1320"/>
              <w:tab w:val="right" w:leader="dot" w:pos="9016"/>
            </w:tabs>
            <w:rPr>
              <w:rFonts w:eastAsiaTheme="minorEastAsia"/>
              <w:noProof/>
              <w:lang w:eastAsia="en-GB"/>
            </w:rPr>
          </w:pPr>
          <w:hyperlink w:anchor="_Toc98518444" w:history="1">
            <w:r w:rsidRPr="00AC71F1">
              <w:rPr>
                <w:rStyle w:val="Hyperlink"/>
                <w:noProof/>
              </w:rPr>
              <w:t>4.1.1</w:t>
            </w:r>
            <w:r>
              <w:rPr>
                <w:rFonts w:eastAsiaTheme="minorEastAsia"/>
                <w:noProof/>
                <w:lang w:eastAsia="en-GB"/>
              </w:rPr>
              <w:tab/>
            </w:r>
            <w:r w:rsidRPr="00AC71F1">
              <w:rPr>
                <w:rStyle w:val="Hyperlink"/>
                <w:noProof/>
              </w:rPr>
              <w:t>Subtopic</w:t>
            </w:r>
            <w:r>
              <w:rPr>
                <w:noProof/>
                <w:webHidden/>
              </w:rPr>
              <w:tab/>
            </w:r>
            <w:r>
              <w:rPr>
                <w:noProof/>
                <w:webHidden/>
              </w:rPr>
              <w:fldChar w:fldCharType="begin"/>
            </w:r>
            <w:r>
              <w:rPr>
                <w:noProof/>
                <w:webHidden/>
              </w:rPr>
              <w:instrText xml:space="preserve"> PAGEREF _Toc98518444 \h </w:instrText>
            </w:r>
            <w:r>
              <w:rPr>
                <w:noProof/>
                <w:webHidden/>
              </w:rPr>
            </w:r>
            <w:r>
              <w:rPr>
                <w:noProof/>
                <w:webHidden/>
              </w:rPr>
              <w:fldChar w:fldCharType="separate"/>
            </w:r>
            <w:r>
              <w:rPr>
                <w:noProof/>
                <w:webHidden/>
              </w:rPr>
              <w:t>4</w:t>
            </w:r>
            <w:r>
              <w:rPr>
                <w:noProof/>
                <w:webHidden/>
              </w:rPr>
              <w:fldChar w:fldCharType="end"/>
            </w:r>
          </w:hyperlink>
        </w:p>
        <w:p w14:paraId="0B3C30B8" w14:textId="77777777" w:rsidR="0014774D" w:rsidRDefault="0014774D">
          <w:r>
            <w:rPr>
              <w:b/>
              <w:bCs/>
              <w:noProof/>
            </w:rPr>
            <w:fldChar w:fldCharType="end"/>
          </w:r>
        </w:p>
      </w:sdtContent>
    </w:sdt>
    <w:p w14:paraId="1F25A863" w14:textId="77777777" w:rsidR="004C073D" w:rsidRDefault="004C073D">
      <w:r>
        <w:br w:type="page"/>
      </w:r>
    </w:p>
    <w:p w14:paraId="02B99185" w14:textId="77777777" w:rsidR="0014774D" w:rsidRDefault="0014774D" w:rsidP="00734B73">
      <w:pPr>
        <w:pStyle w:val="Heading1"/>
      </w:pPr>
      <w:bookmarkStart w:id="0" w:name="_Toc98518437"/>
      <w:r w:rsidRPr="00734B73">
        <w:lastRenderedPageBreak/>
        <w:t>Introduction</w:t>
      </w:r>
      <w:bookmarkEnd w:id="0"/>
    </w:p>
    <w:p w14:paraId="53752D9B" w14:textId="77777777" w:rsidR="008408AF" w:rsidRDefault="008408AF" w:rsidP="007F0932">
      <w:pPr>
        <w:pStyle w:val="font-claude-response-body"/>
        <w:jc w:val="both"/>
      </w:pPr>
      <w:bookmarkStart w:id="1" w:name="_Toc98518438"/>
      <w:r>
        <w:t>The purpose of this document is to report the full system-level study for the design, evaluation, and assembly of a calorimeter developed to directly measure the power loss of Roboteq's ultra-low-voltage (ULV) motor drives, specifically the F-series footprint (140 × 140 × 25 mm, conduction-plate cooled), rated at 1.5 kW.</w:t>
      </w:r>
    </w:p>
    <w:p w14:paraId="5163758A" w14:textId="77777777" w:rsidR="008408AF" w:rsidRDefault="008408AF" w:rsidP="007F0932">
      <w:pPr>
        <w:pStyle w:val="font-claude-response-body"/>
        <w:jc w:val="both"/>
      </w:pPr>
      <w:r>
        <w:t>At the efficiency levels these drives achieve, typically 90% to above 99%, the dissipated power can be as low as 15 W against a 1.5 kW throughput, rising to at most 200 W at the low end of that efficiency range. Measuring this loss as the difference between electrical input and output power is unreliable at this scale, since the quantity being measured is small relative to the uncertainty of the instrumentation used to measure the much larger quantities it is subtracted from. Calorimetry avoids this limitation by measuring the dissipated heat directly, rather than inferring it from two closely matched electrical measurements.</w:t>
      </w:r>
    </w:p>
    <w:p w14:paraId="6FA10DFD" w14:textId="77777777" w:rsidR="008408AF" w:rsidRDefault="008408AF" w:rsidP="007F0932">
      <w:pPr>
        <w:pStyle w:val="font-claude-response-body"/>
        <w:jc w:val="both"/>
      </w:pPr>
      <w:r>
        <w:t>This document presents the trade study conducted across candidate calorimeter topologies, evaluated on accuracy, thermal response, build complexity, and cost, with particular attention to maintaining accuracy across the full 15–200 W loss envelope rather than at a single operating point. It then develops the thermal and control model of the selected configuration, a double-jacket chamber (DJC) with an actively servoed guard that nulls the temperature gradient across the inner wall, establishing the basis for meeting the ±1 W accuracy target and the hardware and instrumentation choices that follow from it.</w:t>
      </w:r>
    </w:p>
    <w:p w14:paraId="207D957E" w14:textId="77777777" w:rsidR="0014774D" w:rsidRDefault="0014774D" w:rsidP="00734B73">
      <w:pPr>
        <w:pStyle w:val="Heading1"/>
      </w:pPr>
      <w:r>
        <w:t>Applicable And Reference Documents</w:t>
      </w:r>
      <w:bookmarkEnd w:id="1"/>
    </w:p>
    <w:p w14:paraId="0CDCC204" w14:textId="77777777" w:rsidR="00734B73" w:rsidRDefault="003671C2" w:rsidP="003671C2">
      <w:pPr>
        <w:pStyle w:val="Heading2"/>
      </w:pPr>
      <w:bookmarkStart w:id="2" w:name="_Toc98518439"/>
      <w:r>
        <w:t>Applicable documents</w:t>
      </w:r>
      <w:bookmarkEnd w:id="2"/>
    </w:p>
    <w:tbl>
      <w:tblPr>
        <w:tblStyle w:val="TableGrid"/>
        <w:tblW w:w="0" w:type="auto"/>
        <w:tblLook w:val="04A0" w:firstRow="1" w:lastRow="0" w:firstColumn="1" w:lastColumn="0" w:noHBand="0" w:noVBand="1"/>
      </w:tblPr>
      <w:tblGrid>
        <w:gridCol w:w="2405"/>
        <w:gridCol w:w="6611"/>
      </w:tblGrid>
      <w:tr w:rsidR="003671C2" w14:paraId="416BFAAF" w14:textId="77777777" w:rsidTr="003671C2">
        <w:trPr>
          <w:tblHeader w:val="true"/>
        </w:trPr>
        <w:tc>
          <w:tcPr>
            <w:tcW w:w="1290" w:type="dxa"/>
          </w:tcPr>
          <w:p w14:paraId="0C0BD29F" w14:textId="77777777" w:rsidR="003671C2" w:rsidRDefault="003671C2" w:rsidP="003671C2">
            <w:pPr>
              <w:spacing w:after="20" w:before="20"/>
            </w:pPr>
            <w:r>
              <w:t>Document ID</w:t>
            </w:r>
          </w:p>
        </w:tc>
        <w:tc>
          <w:tcPr>
            <w:tcW w:w="7739" w:type="dxa"/>
          </w:tcPr>
          <w:p w14:paraId="3C9BD5F5" w14:textId="77777777" w:rsidR="003671C2" w:rsidRDefault="003671C2" w:rsidP="003671C2">
            <w:pPr>
              <w:spacing w:after="20" w:before="20"/>
            </w:pPr>
            <w:r>
              <w:t>Document Title</w:t>
            </w:r>
          </w:p>
        </w:tc>
      </w:tr>
      <w:tr>
        <w:tc>
          <w:tcPr>
            <w:tcW w:type="dxa" w:w="1290"/>
          </w:tcPr>
          <w:p>
            <w:pPr>
              <w:spacing w:after="20" w:before="20"/>
            </w:pPr>
            <w:r/>
            <w:r>
              <w:rPr>
                <w:sz w:val="18"/>
              </w:rPr>
              <w:t>AD-01</w:t>
            </w:r>
          </w:p>
        </w:tc>
        <w:tc>
          <w:tcPr>
            <w:tcW w:type="dxa" w:w="7739"/>
          </w:tcPr>
          <w:p>
            <w:pPr>
              <w:spacing w:after="20" w:before="20"/>
            </w:pPr>
            <w:r/>
            <w:r>
              <w:rPr>
                <w:sz w:val="18"/>
              </w:rPr>
              <w:t>IEC 60034-2-1 — Rotating electrical machines: standard methods for determining losses and efficiency from tests</w:t>
            </w:r>
          </w:p>
        </w:tc>
      </w:tr>
      <w:tr>
        <w:tc>
          <w:tcPr>
            <w:tcW w:type="dxa" w:w="1290"/>
          </w:tcPr>
          <w:p>
            <w:pPr>
              <w:spacing w:after="20" w:before="20"/>
            </w:pPr>
            <w:r/>
            <w:r>
              <w:rPr>
                <w:sz w:val="18"/>
              </w:rPr>
              <w:t>AD-02</w:t>
            </w:r>
          </w:p>
        </w:tc>
        <w:tc>
          <w:tcPr>
            <w:tcW w:type="dxa" w:w="7739"/>
          </w:tcPr>
          <w:p>
            <w:pPr>
              <w:spacing w:after="20" w:before="20"/>
            </w:pPr>
            <w:r/>
            <w:r>
              <w:rPr>
                <w:sz w:val="18"/>
              </w:rPr>
              <w:t>IEC 61800-9-2 — Adjustable speed electrical power drive systems: ecodesign, energy efficiency indicators for power drive systems and motor starters</w:t>
            </w:r>
          </w:p>
        </w:tc>
      </w:tr>
      <w:tr>
        <w:tc>
          <w:tcPr>
            <w:tcW w:type="dxa" w:w="1290"/>
          </w:tcPr>
          <w:p>
            <w:pPr>
              <w:spacing w:after="20" w:before="20"/>
            </w:pPr>
            <w:r/>
            <w:r>
              <w:rPr>
                <w:sz w:val="18"/>
              </w:rPr>
              <w:t>AD-03</w:t>
            </w:r>
          </w:p>
        </w:tc>
        <w:tc>
          <w:tcPr>
            <w:tcW w:type="dxa" w:w="7739"/>
          </w:tcPr>
          <w:p>
            <w:pPr>
              <w:spacing w:after="20" w:before="20"/>
            </w:pPr>
            <w:r/>
            <w:r>
              <w:rPr>
                <w:sz w:val="18"/>
              </w:rPr>
              <w:t>Nidec Automation / Roboteq — Ultra-Low-Voltage Drive Catalog, 17 Sep 2025 (F-series DUT class: 140 × 140 × 25 mm, 2 × 60 A / 1 × 120 A)</w:t>
            </w:r>
          </w:p>
        </w:tc>
      </w:tr>
    </w:tbl>
    <w:p w14:paraId="6CE5ED95" w14:textId="77777777" w:rsidR="003671C2" w:rsidRDefault="003671C2" w:rsidP="003671C2"/>
    <w:p w14:paraId="4BD85102" w14:textId="77777777" w:rsidR="003671C2" w:rsidRPr="00734B73" w:rsidRDefault="003671C2" w:rsidP="003671C2">
      <w:pPr>
        <w:pStyle w:val="Heading2"/>
      </w:pPr>
      <w:bookmarkStart w:id="3" w:name="_Toc98518440"/>
      <w:r w:rsidRPr="003671C2">
        <w:t>Reference Documents</w:t>
      </w:r>
      <w:bookmarkEnd w:id="3"/>
    </w:p>
    <w:tbl>
      <w:tblPr>
        <w:tblStyle w:val="TableGrid"/>
        <w:tblW w:w="0" w:type="auto"/>
        <w:tblLook w:val="04A0" w:firstRow="1" w:lastRow="0" w:firstColumn="1" w:lastColumn="0" w:noHBand="0" w:noVBand="1"/>
      </w:tblPr>
      <w:tblGrid>
        <w:gridCol w:w="2405"/>
        <w:gridCol w:w="6611"/>
      </w:tblGrid>
      <w:tr w:rsidR="003671C2" w14:paraId="0F78C382" w14:textId="77777777" w:rsidTr="0059102A">
        <w:trPr>
          <w:tblHeader w:val="true"/>
        </w:trPr>
        <w:tc>
          <w:tcPr>
            <w:tcW w:w="1290" w:type="dxa"/>
          </w:tcPr>
          <w:p w14:paraId="44A89883" w14:textId="77777777" w:rsidR="003671C2" w:rsidRDefault="003671C2" w:rsidP="0059102A">
            <w:pPr>
              <w:spacing w:after="20" w:before="20"/>
            </w:pPr>
            <w:r>
              <w:t>Document ID</w:t>
            </w:r>
          </w:p>
        </w:tc>
        <w:tc>
          <w:tcPr>
            <w:tcW w:w="7739" w:type="dxa"/>
          </w:tcPr>
          <w:p w14:paraId="12EFAAD1" w14:textId="77777777" w:rsidR="003671C2" w:rsidRDefault="003671C2" w:rsidP="0059102A">
            <w:pPr>
              <w:spacing w:after="20" w:before="20"/>
            </w:pPr>
            <w:r>
              <w:t>Document Title</w:t>
            </w:r>
          </w:p>
        </w:tc>
      </w:tr>
      <w:tr>
        <w:tc>
          <w:tcPr>
            <w:tcW w:type="dxa" w:w="1290"/>
          </w:tcPr>
          <w:p>
            <w:pPr>
              <w:spacing w:after="20" w:before="20"/>
            </w:pPr>
            <w:r/>
            <w:r>
              <w:rPr>
                <w:sz w:val="18"/>
              </w:rPr>
              <w:t>RD-01</w:t>
            </w:r>
          </w:p>
        </w:tc>
        <w:tc>
          <w:tcPr>
            <w:tcW w:type="dxa" w:w="7739"/>
          </w:tcPr>
          <w:p>
            <w:pPr>
              <w:spacing w:after="20" w:before="20"/>
            </w:pPr>
            <w:r/>
            <w:r>
              <w:rPr>
                <w:sz w:val="18"/>
              </w:rPr>
              <w:t>Christen, D., Badstübner, U., Biela, J., Kolar, J. W., “Calorimetric Power Loss Measurement for Highly Efficient Converters”, IPEC 2010, ETH Zürich Power Electronic Systems Laboratory. Built air-gap double-jacket calorimeter, ±0.4 W / 1 %. Primary architecture reference.</w:t>
            </w:r>
          </w:p>
        </w:tc>
      </w:tr>
      <w:tr>
        <w:tc>
          <w:tcPr>
            <w:tcW w:type="dxa" w:w="1290"/>
          </w:tcPr>
          <w:p>
            <w:pPr>
              <w:spacing w:after="20" w:before="20"/>
            </w:pPr>
            <w:r/>
            <w:r>
              <w:rPr>
                <w:sz w:val="18"/>
              </w:rPr>
              <w:t>RD-02</w:t>
            </w:r>
          </w:p>
        </w:tc>
        <w:tc>
          <w:tcPr>
            <w:tcW w:type="dxa" w:w="7739"/>
          </w:tcPr>
          <w:p>
            <w:pPr>
              <w:spacing w:after="20" w:before="20"/>
            </w:pPr>
            <w:r/>
            <w:r>
              <w:rPr>
                <w:sz w:val="18"/>
              </w:rPr>
              <w:t>Simpson, N., Hopkins, A. N., “An Accurate and Flexible Calorimeter Topology for Power Electronic System Loss Measurement”, IEMDC 2017, University of Bristol. Surface-heated closed calorimeter, &lt; 1 % over 20–100 W. Guard-actuator and commissioning reference.</w:t>
            </w:r>
          </w:p>
        </w:tc>
      </w:tr>
      <w:tr>
        <w:tc>
          <w:tcPr>
            <w:tcW w:type="dxa" w:w="1290"/>
          </w:tcPr>
          <w:p>
            <w:pPr>
              <w:spacing w:after="20" w:before="20"/>
            </w:pPr>
            <w:r/>
            <w:r>
              <w:rPr>
                <w:sz w:val="18"/>
              </w:rPr>
              <w:t>RD-03</w:t>
            </w:r>
          </w:p>
        </w:tc>
        <w:tc>
          <w:tcPr>
            <w:tcW w:type="dxa" w:w="7739"/>
          </w:tcPr>
          <w:p>
            <w:pPr>
              <w:spacing w:after="20" w:before="20"/>
            </w:pPr>
            <w:r/>
            <w:r>
              <w:rPr>
                <w:sz w:val="18"/>
              </w:rPr>
              <w:t>Nair, D. G., “Calorimetric Power Loss Measurement of a Small Power Converter”, MSc thesis, Aalto University, 2013. Source of the double-jacket schematic and of the guard criterion |T</w:t>
            </w:r>
            <w:r>
              <w:rPr>
                <w:sz w:val="18"/>
                <w:vertAlign w:val="subscript"/>
              </w:rPr>
              <w:t>i</w:t>
            </w:r>
            <w:r>
              <w:rPr>
                <w:sz w:val="18"/>
              </w:rPr>
              <w:t xml:space="preserve"> − T</w:t>
            </w:r>
            <w:r>
              <w:rPr>
                <w:sz w:val="18"/>
                <w:vertAlign w:val="subscript"/>
              </w:rPr>
              <w:t>e</w:t>
            </w:r>
            <w:r>
              <w:rPr>
                <w:sz w:val="18"/>
              </w:rPr>
              <w:t>| &lt; P</w:t>
            </w:r>
            <w:r>
              <w:rPr>
                <w:sz w:val="18"/>
                <w:vertAlign w:val="subscript"/>
              </w:rPr>
              <w:t>acc</w:t>
            </w:r>
            <w:r>
              <w:rPr>
                <w:sz w:val="18"/>
              </w:rPr>
              <w:t>·R</w:t>
            </w:r>
            <w:r>
              <w:rPr>
                <w:sz w:val="18"/>
                <w:vertAlign w:val="subscript"/>
              </w:rPr>
              <w:t>th(in)</w:t>
            </w:r>
            <w:r>
              <w:rPr>
                <w:sz w:val="18"/>
              </w:rPr>
              <w:t xml:space="preserve"> (§3.4.2). Also the unguarded counter-example.</w:t>
            </w:r>
          </w:p>
        </w:tc>
      </w:tr>
      <w:tr>
        <w:tc>
          <w:tcPr>
            <w:tcW w:type="dxa" w:w="1290"/>
          </w:tcPr>
          <w:p>
            <w:pPr>
              <w:spacing w:after="20" w:before="20"/>
            </w:pPr>
            <w:r/>
            <w:r>
              <w:rPr>
                <w:sz w:val="18"/>
              </w:rPr>
              <w:t>RD-04</w:t>
            </w:r>
          </w:p>
        </w:tc>
        <w:tc>
          <w:tcPr>
            <w:tcW w:type="dxa" w:w="7739"/>
          </w:tcPr>
          <w:p>
            <w:pPr>
              <w:spacing w:after="20" w:before="20"/>
            </w:pPr>
            <w:r/>
            <w:r>
              <w:rPr>
                <w:sz w:val="18"/>
              </w:rPr>
              <w:t>Kosonen, A., et al., “Calorimetric concept for measurement of power losses up to 2 kW in electric drives”, IET Electric Power Applications, 2013. Modularity across DUT ratings.</w:t>
            </w:r>
          </w:p>
        </w:tc>
      </w:tr>
      <w:tr>
        <w:tc>
          <w:tcPr>
            <w:tcW w:type="dxa" w:w="1290"/>
          </w:tcPr>
          <w:p>
            <w:pPr>
              <w:spacing w:after="20" w:before="20"/>
            </w:pPr>
            <w:r/>
            <w:r>
              <w:rPr>
                <w:sz w:val="18"/>
              </w:rPr>
              <w:t>RD-05</w:t>
            </w:r>
          </w:p>
        </w:tc>
        <w:tc>
          <w:tcPr>
            <w:tcW w:type="dxa" w:w="7739"/>
          </w:tcPr>
          <w:p>
            <w:pPr>
              <w:spacing w:after="20" w:before="20"/>
            </w:pPr>
            <w:r/>
            <w:r>
              <w:rPr>
                <w:sz w:val="18"/>
              </w:rPr>
              <w:t>Malliband, P. D., Carter, B., Gordon, M., Warne, D. F., “Accurate measurement of induction motor losses using balance calorimeter”, Proc. IEE, vol. 138, no. 5, 1991.</w:t>
            </w:r>
          </w:p>
        </w:tc>
      </w:tr>
      <w:tr>
        <w:tc>
          <w:tcPr>
            <w:tcW w:type="dxa" w:w="1290"/>
          </w:tcPr>
          <w:p>
            <w:pPr>
              <w:spacing w:after="20" w:before="20"/>
            </w:pPr>
            <w:r/>
            <w:r>
              <w:rPr>
                <w:sz w:val="18"/>
              </w:rPr>
              <w:t>RD-06</w:t>
            </w:r>
          </w:p>
        </w:tc>
        <w:tc>
          <w:tcPr>
            <w:tcW w:type="dxa" w:w="7739"/>
          </w:tcPr>
          <w:p>
            <w:pPr>
              <w:spacing w:after="20" w:before="20"/>
            </w:pPr>
            <w:r/>
            <w:r>
              <w:rPr>
                <w:sz w:val="18"/>
              </w:rPr>
              <w:t>Malliband, P. D., et al., “Design of a double-jacketed, closed type calorimeter for direct measurement of motor losses”, 7th Int. Conf. on Power Electronics and Variable Speed Drives, no. 456, 1998. Original DJC proposal.</w:t>
            </w:r>
          </w:p>
        </w:tc>
      </w:tr>
      <w:tr>
        <w:tc>
          <w:tcPr>
            <w:tcW w:type="dxa" w:w="1290"/>
          </w:tcPr>
          <w:p>
            <w:pPr>
              <w:spacing w:after="20" w:before="20"/>
            </w:pPr>
            <w:r/>
            <w:r>
              <w:rPr>
                <w:sz w:val="18"/>
              </w:rPr>
              <w:t>RD-07</w:t>
            </w:r>
          </w:p>
        </w:tc>
        <w:tc>
          <w:tcPr>
            <w:tcW w:type="dxa" w:w="7739"/>
          </w:tcPr>
          <w:p>
            <w:pPr>
              <w:spacing w:after="20" w:before="20"/>
            </w:pPr>
            <w:r/>
            <w:r>
              <w:rPr>
                <w:sz w:val="18"/>
              </w:rPr>
              <w:t>Blaabjerg, F., Pedersen, J. K., Ritchie, E., “Calorimetric measuring systems for characterizing high frequency power losses in power electronic components and systems”, IEEE IAS Conf., vol. 2, pp. 1369–1376, 2002. First proposal of active air-gap temperature control.</w:t>
            </w:r>
          </w:p>
        </w:tc>
      </w:tr>
      <w:tr>
        <w:tc>
          <w:tcPr>
            <w:tcW w:type="dxa" w:w="1290"/>
          </w:tcPr>
          <w:p>
            <w:pPr>
              <w:spacing w:after="20" w:before="20"/>
            </w:pPr>
            <w:r/>
            <w:r>
              <w:rPr>
                <w:sz w:val="18"/>
              </w:rPr>
              <w:t>RD-08</w:t>
            </w:r>
          </w:p>
        </w:tc>
        <w:tc>
          <w:tcPr>
            <w:tcW w:type="dxa" w:w="7739"/>
          </w:tcPr>
          <w:p>
            <w:pPr>
              <w:spacing w:after="20" w:before="20"/>
            </w:pPr>
            <w:r/>
            <w:r>
              <w:rPr>
                <w:sz w:val="18"/>
              </w:rPr>
              <w:t>Xiao, C., Chen, G., Odendaal, W. G. H., “Overview of Power Loss Measurement Techniques in Power Electronic Systems”, IEEE Trans. Industry Applications, pp. 657–664, 2007.</w:t>
            </w:r>
          </w:p>
        </w:tc>
      </w:tr>
      <w:tr>
        <w:tc>
          <w:tcPr>
            <w:tcW w:type="dxa" w:w="1290"/>
          </w:tcPr>
          <w:p>
            <w:pPr>
              <w:spacing w:after="20" w:before="20"/>
            </w:pPr>
            <w:r/>
            <w:r>
              <w:rPr>
                <w:sz w:val="18"/>
              </w:rPr>
              <w:t>RD-09</w:t>
            </w:r>
          </w:p>
        </w:tc>
        <w:tc>
          <w:tcPr>
            <w:tcW w:type="dxa" w:w="7739"/>
          </w:tcPr>
          <w:p>
            <w:pPr>
              <w:spacing w:after="20" w:before="20"/>
            </w:pPr>
            <w:r/>
            <w:r>
              <w:rPr>
                <w:sz w:val="18"/>
              </w:rPr>
              <w:t>Jalilian, A., Gosbell, V. J., Perera, B. S. P., Cooper, P., “Double chamber calorimeter (DCC): a new approach to measure induction motor harmonic losses”, IEEE Trans. Energy Conversion, vol. 14, no. 3, 1999. The series calorimeter — distinct from the DJC.</w:t>
            </w:r>
          </w:p>
        </w:tc>
      </w:tr>
      <w:tr>
        <w:tc>
          <w:tcPr>
            <w:tcW w:type="dxa" w:w="1290"/>
          </w:tcPr>
          <w:p>
            <w:pPr>
              <w:spacing w:after="20" w:before="20"/>
            </w:pPr>
            <w:r/>
            <w:r>
              <w:rPr>
                <w:sz w:val="18"/>
              </w:rPr>
              <w:t>RD-10</w:t>
            </w:r>
          </w:p>
        </w:tc>
        <w:tc>
          <w:tcPr>
            <w:tcW w:type="dxa" w:w="7739"/>
          </w:tcPr>
          <w:p>
            <w:pPr>
              <w:spacing w:after="20" w:before="20"/>
            </w:pPr>
            <w:r/>
            <w:r>
              <w:rPr>
                <w:sz w:val="18"/>
              </w:rPr>
              <w:t>“Overview of calorimetric systems used in loss determination of electric motors and drives”, IEEE, 2017. Source of the four-way open / closed / balanced / series classification.</w:t>
            </w:r>
          </w:p>
        </w:tc>
      </w:tr>
      <w:tr>
        <w:tc>
          <w:tcPr>
            <w:tcW w:type="dxa" w:w="1290"/>
          </w:tcPr>
          <w:p>
            <w:pPr>
              <w:spacing w:after="20" w:before="20"/>
            </w:pPr>
            <w:r/>
            <w:r>
              <w:rPr>
                <w:sz w:val="18"/>
              </w:rPr>
              <w:t>RD-11</w:t>
            </w:r>
          </w:p>
        </w:tc>
        <w:tc>
          <w:tcPr>
            <w:tcW w:type="dxa" w:w="7739"/>
          </w:tcPr>
          <w:p>
            <w:pPr>
              <w:spacing w:after="20" w:before="20"/>
            </w:pPr>
            <w:r/>
            <w:r>
              <w:rPr>
                <w:sz w:val="18"/>
              </w:rPr>
              <w:t xml:space="preserve">Internal working notes, Obsidian vault </w:t>
            </w:r>
            <w:r>
              <w:rPr>
                <w:rFonts w:ascii="Consolas" w:hAnsi="Consolas"/>
                <w:sz w:val="18"/>
              </w:rPr>
              <w:t>Roboteq Internship/Calorimetry/</w:t>
            </w:r>
            <w:r>
              <w:rPr>
                <w:sz w:val="18"/>
              </w:rPr>
              <w:t xml:space="preserve"> — Study, thermo modeling, Parameter Calculation, Biot check, System Modeling Final, BOM manual, Zephyr map.</w:t>
            </w:r>
          </w:p>
        </w:tc>
      </w:tr>
      <w:tr>
        <w:tc>
          <w:tcPr>
            <w:tcW w:type="dxa" w:w="1290"/>
          </w:tcPr>
          <w:p>
            <w:pPr>
              <w:spacing w:after="20" w:before="20"/>
            </w:pPr>
            <w:r/>
            <w:r>
              <w:rPr>
                <w:sz w:val="18"/>
              </w:rPr>
              <w:t>RD-12</w:t>
            </w:r>
          </w:p>
        </w:tc>
        <w:tc>
          <w:tcPr>
            <w:tcW w:type="dxa" w:w="7739"/>
          </w:tcPr>
          <w:p>
            <w:pPr>
              <w:spacing w:after="20" w:before="20"/>
            </w:pPr>
            <w:r/>
            <w:r>
              <w:rPr>
                <w:sz w:val="18"/>
              </w:rPr>
              <w:t xml:space="preserve">Simulation source, </w:t>
            </w:r>
            <w:r>
              <w:rPr>
                <w:rFonts w:ascii="Consolas" w:hAnsi="Consolas"/>
                <w:sz w:val="18"/>
              </w:rPr>
              <w:t>~/roboteq/python/</w:t>
            </w:r>
            <w:r>
              <w:rPr>
                <w:sz w:val="18"/>
              </w:rPr>
              <w:t xml:space="preserve"> — </w:t>
            </w:r>
            <w:r>
              <w:rPr>
                <w:rFonts w:ascii="Consolas" w:hAnsi="Consolas"/>
                <w:sz w:val="18"/>
              </w:rPr>
              <w:t>calorimetry-ss.py</w:t>
            </w:r>
            <w:r>
              <w:rPr>
                <w:sz w:val="18"/>
              </w:rPr>
              <w:t xml:space="preserve"> (plant), </w:t>
            </w:r>
            <w:r>
              <w:rPr>
                <w:rFonts w:ascii="Consolas" w:hAnsi="Consolas"/>
                <w:sz w:val="18"/>
              </w:rPr>
              <w:t>calorimetry_sim.py</w:t>
            </w:r>
            <w:r>
              <w:rPr>
                <w:sz w:val="18"/>
              </w:rPr>
              <w:t xml:space="preserve"> (closed loop, probes, plots), </w:t>
            </w:r>
            <w:r>
              <w:rPr>
                <w:rFonts w:ascii="Consolas" w:hAnsi="Consolas"/>
                <w:sz w:val="18"/>
              </w:rPr>
              <w:t>params.yaml</w:t>
            </w:r>
            <w:r>
              <w:rPr>
                <w:sz w:val="18"/>
              </w:rPr>
              <w:t>.</w:t>
            </w:r>
          </w:p>
        </w:tc>
      </w:tr>
    </w:tbl>
    <w:p w14:paraId="49DDCB9A" w14:textId="77777777" w:rsidR="0014774D" w:rsidRDefault="0014774D"/>
    <w:p w14:paraId="5CD89C3A" w14:textId="77777777" w:rsidR="0014774D" w:rsidRDefault="0014774D" w:rsidP="00734B73">
      <w:pPr>
        <w:pStyle w:val="Heading1"/>
      </w:pPr>
      <w:bookmarkStart w:id="4" w:name="_Toc98518441"/>
      <w:r w:rsidRPr="00734B73">
        <w:t>Abbreviations</w:t>
      </w:r>
      <w:r>
        <w:t xml:space="preserve"> And Acronyms</w:t>
      </w:r>
      <w:bookmarkEnd w:id="4"/>
      <w:r>
        <w:t xml:space="preserve"> </w:t>
      </w:r>
    </w:p>
    <w:tbl>
      <w:tblPr>
        <w:tblStyle w:val="TableGrid"/>
        <w:tblW w:w="0" w:type="auto"/>
        <w:tblLook w:val="04A0" w:firstRow="1" w:lastRow="0" w:firstColumn="1" w:lastColumn="0" w:noHBand="0" w:noVBand="1"/>
      </w:tblPr>
      <w:tblGrid>
        <w:gridCol w:w="1271"/>
        <w:gridCol w:w="7745"/>
      </w:tblGrid>
      <w:tr>
        <w:tc>
          <w:tcPr>
            <w:tcW w:type="dxa" w:w="1806"/>
          </w:tcPr>
          <w:p>
            <w:pPr>
              <w:spacing w:after="20" w:before="20"/>
            </w:pPr>
            <w:r/>
            <w:r>
              <w:rPr>
                <w:b/>
                <w:sz w:val="18"/>
              </w:rPr>
              <w:t>ADC</w:t>
            </w:r>
          </w:p>
        </w:tc>
        <w:tc>
          <w:tcPr>
            <w:tcW w:type="dxa" w:w="7223"/>
          </w:tcPr>
          <w:p>
            <w:pPr>
              <w:spacing w:after="20" w:before="20"/>
            </w:pPr>
            <w:r/>
            <w:r>
              <w:rPr>
                <w:sz w:val="18"/>
              </w:rPr>
              <w:t>Analog-to-Digital Converter</w:t>
            </w:r>
          </w:p>
        </w:tc>
      </w:tr>
      <w:tr>
        <w:tc>
          <w:tcPr>
            <w:tcW w:type="dxa" w:w="1806"/>
          </w:tcPr>
          <w:p>
            <w:pPr>
              <w:spacing w:after="20" w:before="20"/>
            </w:pPr>
            <w:r/>
            <w:r>
              <w:rPr>
                <w:b/>
                <w:sz w:val="18"/>
              </w:rPr>
              <w:t>AW</w:t>
            </w:r>
          </w:p>
        </w:tc>
        <w:tc>
          <w:tcPr>
            <w:tcW w:type="dxa" w:w="7223"/>
          </w:tcPr>
          <w:p>
            <w:pPr>
              <w:spacing w:after="20" w:before="20"/>
            </w:pPr>
            <w:r/>
            <w:r>
              <w:rPr>
                <w:sz w:val="18"/>
              </w:rPr>
              <w:t>Anti-Windup</w:t>
            </w:r>
          </w:p>
        </w:tc>
      </w:tr>
      <w:tr>
        <w:tc>
          <w:tcPr>
            <w:tcW w:type="dxa" w:w="1806"/>
          </w:tcPr>
          <w:p>
            <w:pPr>
              <w:spacing w:after="20" w:before="20"/>
            </w:pPr>
            <w:r/>
            <w:r>
              <w:rPr>
                <w:b/>
                <w:sz w:val="18"/>
              </w:rPr>
              <w:t>B1</w:t>
            </w:r>
          </w:p>
        </w:tc>
        <w:tc>
          <w:tcPr>
            <w:tcW w:type="dxa" w:w="7223"/>
          </w:tcPr>
          <w:p>
            <w:pPr>
              <w:spacing w:after="20" w:before="20"/>
            </w:pPr>
            <w:r/>
            <w:r>
              <w:rPr>
                <w:sz w:val="18"/>
              </w:rPr>
              <w:t>Measurement boundary — the surface enclosing the inner chamber contents</w:t>
            </w:r>
          </w:p>
        </w:tc>
      </w:tr>
      <w:tr>
        <w:tc>
          <w:tcPr>
            <w:tcW w:type="dxa" w:w="1806"/>
          </w:tcPr>
          <w:p>
            <w:pPr>
              <w:spacing w:after="20" w:before="20"/>
            </w:pPr>
            <w:r/>
            <w:r>
              <w:rPr>
                <w:b/>
                <w:sz w:val="18"/>
              </w:rPr>
              <w:t>BOM</w:t>
            </w:r>
          </w:p>
        </w:tc>
        <w:tc>
          <w:tcPr>
            <w:tcW w:type="dxa" w:w="7223"/>
          </w:tcPr>
          <w:p>
            <w:pPr>
              <w:spacing w:after="20" w:before="20"/>
            </w:pPr>
            <w:r/>
            <w:r>
              <w:rPr>
                <w:sz w:val="18"/>
              </w:rPr>
              <w:t>Bill of Materials</w:t>
            </w:r>
          </w:p>
        </w:tc>
      </w:tr>
      <w:tr>
        <w:tc>
          <w:tcPr>
            <w:tcW w:type="dxa" w:w="1806"/>
          </w:tcPr>
          <w:p>
            <w:pPr>
              <w:spacing w:after="20" w:before="20"/>
            </w:pPr>
            <w:r/>
            <w:r>
              <w:rPr>
                <w:b/>
                <w:sz w:val="18"/>
              </w:rPr>
              <w:t>DAQ</w:t>
            </w:r>
          </w:p>
        </w:tc>
        <w:tc>
          <w:tcPr>
            <w:tcW w:type="dxa" w:w="7223"/>
          </w:tcPr>
          <w:p>
            <w:pPr>
              <w:spacing w:after="20" w:before="20"/>
            </w:pPr>
            <w:r/>
            <w:r>
              <w:rPr>
                <w:sz w:val="18"/>
              </w:rPr>
              <w:t>Data Acquisition</w:t>
            </w:r>
          </w:p>
        </w:tc>
      </w:tr>
      <w:tr>
        <w:tc>
          <w:tcPr>
            <w:tcW w:type="dxa" w:w="1806"/>
          </w:tcPr>
          <w:p>
            <w:pPr>
              <w:spacing w:after="20" w:before="20"/>
            </w:pPr>
            <w:r/>
            <w:r>
              <w:rPr>
                <w:b/>
                <w:sz w:val="18"/>
              </w:rPr>
              <w:t>DC</w:t>
            </w:r>
          </w:p>
        </w:tc>
        <w:tc>
          <w:tcPr>
            <w:tcW w:type="dxa" w:w="7223"/>
          </w:tcPr>
          <w:p>
            <w:pPr>
              <w:spacing w:after="20" w:before="20"/>
            </w:pPr>
            <w:r/>
            <w:r>
              <w:rPr>
                <w:sz w:val="18"/>
              </w:rPr>
              <w:t>Direct Current — here also the zero-frequency gain of a transfer function</w:t>
            </w:r>
          </w:p>
        </w:tc>
      </w:tr>
      <w:tr>
        <w:tc>
          <w:tcPr>
            <w:tcW w:type="dxa" w:w="1806"/>
          </w:tcPr>
          <w:p>
            <w:pPr>
              <w:spacing w:after="20" w:before="20"/>
            </w:pPr>
            <w:r/>
            <w:r>
              <w:rPr>
                <w:b/>
                <w:sz w:val="18"/>
              </w:rPr>
              <w:t>DJC</w:t>
            </w:r>
          </w:p>
        </w:tc>
        <w:tc>
          <w:tcPr>
            <w:tcW w:type="dxa" w:w="7223"/>
          </w:tcPr>
          <w:p>
            <w:pPr>
              <w:spacing w:after="20" w:before="20"/>
            </w:pPr>
            <w:r/>
            <w:r>
              <w:rPr>
                <w:sz w:val="18"/>
              </w:rPr>
              <w:t>Double-Jacket Chamber</w:t>
            </w:r>
          </w:p>
        </w:tc>
      </w:tr>
      <w:tr>
        <w:tc>
          <w:tcPr>
            <w:tcW w:type="dxa" w:w="1806"/>
          </w:tcPr>
          <w:p>
            <w:pPr>
              <w:spacing w:after="20" w:before="20"/>
            </w:pPr>
            <w:r/>
            <w:r>
              <w:rPr>
                <w:b/>
                <w:sz w:val="18"/>
              </w:rPr>
              <w:t>DUT</w:t>
            </w:r>
          </w:p>
        </w:tc>
        <w:tc>
          <w:tcPr>
            <w:tcW w:type="dxa" w:w="7223"/>
          </w:tcPr>
          <w:p>
            <w:pPr>
              <w:spacing w:after="20" w:before="20"/>
            </w:pPr>
            <w:r/>
            <w:r>
              <w:rPr>
                <w:sz w:val="18"/>
              </w:rPr>
              <w:t>Device Under Test</w:t>
            </w:r>
          </w:p>
        </w:tc>
      </w:tr>
      <w:tr>
        <w:tc>
          <w:tcPr>
            <w:tcW w:type="dxa" w:w="1806"/>
          </w:tcPr>
          <w:p>
            <w:pPr>
              <w:spacing w:after="20" w:before="20"/>
            </w:pPr>
            <w:r/>
            <w:r>
              <w:rPr>
                <w:b/>
                <w:sz w:val="18"/>
              </w:rPr>
              <w:t>EPP</w:t>
            </w:r>
          </w:p>
        </w:tc>
        <w:tc>
          <w:tcPr>
            <w:tcW w:type="dxa" w:w="7223"/>
          </w:tcPr>
          <w:p>
            <w:pPr>
              <w:spacing w:after="20" w:before="20"/>
            </w:pPr>
            <w:r/>
            <w:r>
              <w:rPr>
                <w:sz w:val="18"/>
              </w:rPr>
              <w:t>Expanded Polypropylene</w:t>
            </w:r>
          </w:p>
        </w:tc>
      </w:tr>
      <w:tr>
        <w:tc>
          <w:tcPr>
            <w:tcW w:type="dxa" w:w="1806"/>
          </w:tcPr>
          <w:p>
            <w:pPr>
              <w:spacing w:after="20" w:before="20"/>
            </w:pPr>
            <w:r/>
            <w:r>
              <w:rPr>
                <w:b/>
                <w:sz w:val="18"/>
              </w:rPr>
              <w:t>ESD</w:t>
            </w:r>
          </w:p>
        </w:tc>
        <w:tc>
          <w:tcPr>
            <w:tcW w:type="dxa" w:w="7223"/>
          </w:tcPr>
          <w:p>
            <w:pPr>
              <w:spacing w:after="20" w:before="20"/>
            </w:pPr>
            <w:r/>
            <w:r>
              <w:rPr>
                <w:sz w:val="18"/>
              </w:rPr>
              <w:t>Electrostatic Discharge</w:t>
            </w:r>
          </w:p>
        </w:tc>
      </w:tr>
      <w:tr>
        <w:tc>
          <w:tcPr>
            <w:tcW w:type="dxa" w:w="1806"/>
          </w:tcPr>
          <w:p>
            <w:pPr>
              <w:spacing w:after="20" w:before="20"/>
            </w:pPr>
            <w:r/>
            <w:r>
              <w:rPr>
                <w:b/>
                <w:sz w:val="18"/>
              </w:rPr>
              <w:t>FF</w:t>
            </w:r>
          </w:p>
        </w:tc>
        <w:tc>
          <w:tcPr>
            <w:tcW w:type="dxa" w:w="7223"/>
          </w:tcPr>
          <w:p>
            <w:pPr>
              <w:spacing w:after="20" w:before="20"/>
            </w:pPr>
            <w:r/>
            <w:r>
              <w:rPr>
                <w:sz w:val="18"/>
              </w:rPr>
              <w:t>Feedforward</w:t>
            </w:r>
          </w:p>
        </w:tc>
      </w:tr>
      <w:tr>
        <w:tc>
          <w:tcPr>
            <w:tcW w:type="dxa" w:w="1806"/>
          </w:tcPr>
          <w:p>
            <w:pPr>
              <w:spacing w:after="20" w:before="20"/>
            </w:pPr>
            <w:r/>
            <w:r>
              <w:rPr>
                <w:b/>
                <w:sz w:val="18"/>
              </w:rPr>
              <w:t>HX</w:t>
            </w:r>
          </w:p>
        </w:tc>
        <w:tc>
          <w:tcPr>
            <w:tcW w:type="dxa" w:w="7223"/>
          </w:tcPr>
          <w:p>
            <w:pPr>
              <w:spacing w:after="20" w:before="20"/>
            </w:pPr>
            <w:r/>
            <w:r>
              <w:rPr>
                <w:sz w:val="18"/>
              </w:rPr>
              <w:t>Heat Exchanger</w:t>
            </w:r>
          </w:p>
        </w:tc>
      </w:tr>
      <w:tr>
        <w:tc>
          <w:tcPr>
            <w:tcW w:type="dxa" w:w="1806"/>
          </w:tcPr>
          <w:p>
            <w:pPr>
              <w:spacing w:after="20" w:before="20"/>
            </w:pPr>
            <w:r/>
            <w:r>
              <w:rPr>
                <w:b/>
                <w:sz w:val="18"/>
              </w:rPr>
              <w:t>I²C</w:t>
            </w:r>
          </w:p>
        </w:tc>
        <w:tc>
          <w:tcPr>
            <w:tcW w:type="dxa" w:w="7223"/>
          </w:tcPr>
          <w:p>
            <w:pPr>
              <w:spacing w:after="20" w:before="20"/>
            </w:pPr>
            <w:r/>
            <w:r>
              <w:rPr>
                <w:sz w:val="18"/>
              </w:rPr>
              <w:t>Inter-Integrated Circuit (two-wire serial bus)</w:t>
            </w:r>
          </w:p>
        </w:tc>
      </w:tr>
      <w:tr>
        <w:tc>
          <w:tcPr>
            <w:tcW w:type="dxa" w:w="1806"/>
          </w:tcPr>
          <w:p>
            <w:pPr>
              <w:spacing w:after="20" w:before="20"/>
            </w:pPr>
            <w:r/>
            <w:r>
              <w:rPr>
                <w:b/>
                <w:sz w:val="18"/>
              </w:rPr>
              <w:t>IMC</w:t>
            </w:r>
          </w:p>
        </w:tc>
        <w:tc>
          <w:tcPr>
            <w:tcW w:type="dxa" w:w="7223"/>
          </w:tcPr>
          <w:p>
            <w:pPr>
              <w:spacing w:after="20" w:before="20"/>
            </w:pPr>
            <w:r/>
            <w:r>
              <w:rPr>
                <w:sz w:val="18"/>
              </w:rPr>
              <w:t>Internal Model Control — the λ-tuning rule used for the guard PI</w:t>
            </w:r>
          </w:p>
        </w:tc>
      </w:tr>
      <w:tr>
        <w:tc>
          <w:tcPr>
            <w:tcW w:type="dxa" w:w="1806"/>
          </w:tcPr>
          <w:p>
            <w:pPr>
              <w:spacing w:after="20" w:before="20"/>
            </w:pPr>
            <w:r/>
            <w:r>
              <w:rPr>
                <w:b/>
                <w:sz w:val="18"/>
              </w:rPr>
              <w:t>LTI</w:t>
            </w:r>
          </w:p>
        </w:tc>
        <w:tc>
          <w:tcPr>
            <w:tcW w:type="dxa" w:w="7223"/>
          </w:tcPr>
          <w:p>
            <w:pPr>
              <w:spacing w:after="20" w:before="20"/>
            </w:pPr>
            <w:r/>
            <w:r>
              <w:rPr>
                <w:sz w:val="18"/>
              </w:rPr>
              <w:t>Linear Time-Invariant</w:t>
            </w:r>
          </w:p>
        </w:tc>
      </w:tr>
      <w:tr>
        <w:tc>
          <w:tcPr>
            <w:tcW w:type="dxa" w:w="1806"/>
          </w:tcPr>
          <w:p>
            <w:pPr>
              <w:spacing w:after="20" w:before="20"/>
            </w:pPr>
            <w:r/>
            <w:r>
              <w:rPr>
                <w:b/>
                <w:sz w:val="18"/>
              </w:rPr>
              <w:t>MCU</w:t>
            </w:r>
          </w:p>
        </w:tc>
        <w:tc>
          <w:tcPr>
            <w:tcW w:type="dxa" w:w="7223"/>
          </w:tcPr>
          <w:p>
            <w:pPr>
              <w:spacing w:after="20" w:before="20"/>
            </w:pPr>
            <w:r/>
            <w:r>
              <w:rPr>
                <w:sz w:val="18"/>
              </w:rPr>
              <w:t>Microcontroller Unit</w:t>
            </w:r>
          </w:p>
        </w:tc>
      </w:tr>
      <w:tr>
        <w:tc>
          <w:tcPr>
            <w:tcW w:type="dxa" w:w="1806"/>
          </w:tcPr>
          <w:p>
            <w:pPr>
              <w:spacing w:after="20" w:before="20"/>
            </w:pPr>
            <w:r/>
            <w:r>
              <w:rPr>
                <w:b/>
                <w:sz w:val="18"/>
              </w:rPr>
              <w:t>NA</w:t>
            </w:r>
          </w:p>
        </w:tc>
        <w:tc>
          <w:tcPr>
            <w:tcW w:type="dxa" w:w="7223"/>
          </w:tcPr>
          <w:p>
            <w:pPr>
              <w:spacing w:after="20" w:before="20"/>
            </w:pPr>
            <w:r/>
            <w:r>
              <w:rPr>
                <w:sz w:val="18"/>
              </w:rPr>
              <w:t>Not Applicable</w:t>
            </w:r>
          </w:p>
        </w:tc>
      </w:tr>
      <w:tr>
        <w:tc>
          <w:tcPr>
            <w:tcW w:type="dxa" w:w="1806"/>
          </w:tcPr>
          <w:p>
            <w:pPr>
              <w:spacing w:after="20" w:before="20"/>
            </w:pPr>
            <w:r/>
            <w:r>
              <w:rPr>
                <w:b/>
                <w:sz w:val="18"/>
              </w:rPr>
              <w:t>PI / PID</w:t>
            </w:r>
          </w:p>
        </w:tc>
        <w:tc>
          <w:tcPr>
            <w:tcW w:type="dxa" w:w="7223"/>
          </w:tcPr>
          <w:p>
            <w:pPr>
              <w:spacing w:after="20" w:before="20"/>
            </w:pPr>
            <w:r/>
            <w:r>
              <w:rPr>
                <w:sz w:val="18"/>
              </w:rPr>
              <w:t>Proportional-Integral / Proportional-Integral-Derivative controller</w:t>
            </w:r>
          </w:p>
        </w:tc>
      </w:tr>
      <w:tr>
        <w:tc>
          <w:tcPr>
            <w:tcW w:type="dxa" w:w="1806"/>
          </w:tcPr>
          <w:p>
            <w:pPr>
              <w:spacing w:after="20" w:before="20"/>
            </w:pPr>
            <w:r/>
            <w:r>
              <w:rPr>
                <w:b/>
                <w:sz w:val="18"/>
              </w:rPr>
              <w:t>PWM</w:t>
            </w:r>
          </w:p>
        </w:tc>
        <w:tc>
          <w:tcPr>
            <w:tcW w:type="dxa" w:w="7223"/>
          </w:tcPr>
          <w:p>
            <w:pPr>
              <w:spacing w:after="20" w:before="20"/>
            </w:pPr>
            <w:r/>
            <w:r>
              <w:rPr>
                <w:sz w:val="18"/>
              </w:rPr>
              <w:t>Pulse Width Modulation</w:t>
            </w:r>
          </w:p>
        </w:tc>
      </w:tr>
      <w:tr>
        <w:tc>
          <w:tcPr>
            <w:tcW w:type="dxa" w:w="1806"/>
          </w:tcPr>
          <w:p>
            <w:pPr>
              <w:spacing w:after="20" w:before="20"/>
            </w:pPr>
            <w:r/>
            <w:r>
              <w:rPr>
                <w:b/>
                <w:sz w:val="18"/>
              </w:rPr>
              <w:t>RK4</w:t>
            </w:r>
          </w:p>
        </w:tc>
        <w:tc>
          <w:tcPr>
            <w:tcW w:type="dxa" w:w="7223"/>
          </w:tcPr>
          <w:p>
            <w:pPr>
              <w:spacing w:after="20" w:before="20"/>
            </w:pPr>
            <w:r/>
            <w:r>
              <w:rPr>
                <w:sz w:val="18"/>
              </w:rPr>
              <w:t>Fourth-order Runge-Kutta fixed-step integrator</w:t>
            </w:r>
          </w:p>
        </w:tc>
      </w:tr>
      <w:tr>
        <w:tc>
          <w:tcPr>
            <w:tcW w:type="dxa" w:w="1806"/>
          </w:tcPr>
          <w:p>
            <w:pPr>
              <w:spacing w:after="20" w:before="20"/>
            </w:pPr>
            <w:r/>
            <w:r>
              <w:rPr>
                <w:b/>
                <w:sz w:val="18"/>
              </w:rPr>
              <w:t>RSS</w:t>
            </w:r>
          </w:p>
        </w:tc>
        <w:tc>
          <w:tcPr>
            <w:tcW w:type="dxa" w:w="7223"/>
          </w:tcPr>
          <w:p>
            <w:pPr>
              <w:spacing w:after="20" w:before="20"/>
            </w:pPr>
            <w:r/>
            <w:r>
              <w:rPr>
                <w:sz w:val="18"/>
              </w:rPr>
              <w:t>Root Sum of Squares</w:t>
            </w:r>
          </w:p>
        </w:tc>
      </w:tr>
      <w:tr>
        <w:tc>
          <w:tcPr>
            <w:tcW w:type="dxa" w:w="1806"/>
          </w:tcPr>
          <w:p>
            <w:pPr>
              <w:spacing w:after="20" w:before="20"/>
            </w:pPr>
            <w:r/>
            <w:r>
              <w:rPr>
                <w:b/>
                <w:sz w:val="18"/>
              </w:rPr>
              <w:t>RTD</w:t>
            </w:r>
          </w:p>
        </w:tc>
        <w:tc>
          <w:tcPr>
            <w:tcW w:type="dxa" w:w="7223"/>
          </w:tcPr>
          <w:p>
            <w:pPr>
              <w:spacing w:after="20" w:before="20"/>
            </w:pPr>
            <w:r/>
            <w:r>
              <w:rPr>
                <w:sz w:val="18"/>
              </w:rPr>
              <w:t>Resistance Temperature Detector (Pt100 / Pt1000)</w:t>
            </w:r>
          </w:p>
        </w:tc>
      </w:tr>
      <w:tr>
        <w:tc>
          <w:tcPr>
            <w:tcW w:type="dxa" w:w="1806"/>
          </w:tcPr>
          <w:p>
            <w:pPr>
              <w:spacing w:after="20" w:before="20"/>
            </w:pPr>
            <w:r/>
            <w:r>
              <w:rPr>
                <w:b/>
                <w:sz w:val="18"/>
              </w:rPr>
              <w:t>SISO</w:t>
            </w:r>
          </w:p>
        </w:tc>
        <w:tc>
          <w:tcPr>
            <w:tcW w:type="dxa" w:w="7223"/>
          </w:tcPr>
          <w:p>
            <w:pPr>
              <w:spacing w:after="20" w:before="20"/>
            </w:pPr>
            <w:r/>
            <w:r>
              <w:rPr>
                <w:sz w:val="18"/>
              </w:rPr>
              <w:t>Single-Input Single-Output</w:t>
            </w:r>
          </w:p>
        </w:tc>
      </w:tr>
      <w:tr>
        <w:tc>
          <w:tcPr>
            <w:tcW w:type="dxa" w:w="1806"/>
          </w:tcPr>
          <w:p>
            <w:pPr>
              <w:spacing w:after="20" w:before="20"/>
            </w:pPr>
            <w:r/>
            <w:r>
              <w:rPr>
                <w:b/>
                <w:sz w:val="18"/>
              </w:rPr>
              <w:t>TIM</w:t>
            </w:r>
          </w:p>
        </w:tc>
        <w:tc>
          <w:tcPr>
            <w:tcW w:type="dxa" w:w="7223"/>
          </w:tcPr>
          <w:p>
            <w:pPr>
              <w:spacing w:after="20" w:before="20"/>
            </w:pPr>
            <w:r/>
            <w:r>
              <w:rPr>
                <w:sz w:val="18"/>
              </w:rPr>
              <w:t>Thermal Interface Material</w:t>
            </w:r>
          </w:p>
        </w:tc>
      </w:tr>
      <w:tr>
        <w:tc>
          <w:tcPr>
            <w:tcW w:type="dxa" w:w="1806"/>
          </w:tcPr>
          <w:p>
            <w:pPr>
              <w:spacing w:after="20" w:before="20"/>
            </w:pPr>
            <w:r/>
            <w:r>
              <w:rPr>
                <w:b/>
                <w:sz w:val="18"/>
              </w:rPr>
              <w:t>ULV</w:t>
            </w:r>
          </w:p>
        </w:tc>
        <w:tc>
          <w:tcPr>
            <w:tcW w:type="dxa" w:w="7223"/>
          </w:tcPr>
          <w:p>
            <w:pPr>
              <w:spacing w:after="20" w:before="20"/>
            </w:pPr>
            <w:r/>
            <w:r>
              <w:rPr>
                <w:sz w:val="18"/>
              </w:rPr>
              <w:t>Ultra-Low Voltage (≤ 60 V — the Roboteq / Nidec Automation drive class)</w:t>
            </w:r>
          </w:p>
        </w:tc>
      </w:tr>
      <w:tr>
        <w:tc>
          <w:tcPr>
            <w:tcW w:type="dxa" w:w="1806"/>
          </w:tcPr>
          <w:p>
            <w:pPr>
              <w:spacing w:after="20" w:before="20"/>
            </w:pPr>
            <w:r/>
            <w:r>
              <w:rPr>
                <w:b/>
                <w:sz w:val="18"/>
              </w:rPr>
              <w:t>XPS</w:t>
            </w:r>
          </w:p>
        </w:tc>
        <w:tc>
          <w:tcPr>
            <w:tcW w:type="dxa" w:w="7223"/>
          </w:tcPr>
          <w:p>
            <w:pPr>
              <w:spacing w:after="20" w:before="20"/>
            </w:pPr>
            <w:r/>
            <w:r>
              <w:rPr>
                <w:sz w:val="18"/>
              </w:rPr>
              <w:t>Extruded Polystyrene (rigid foam insulation)</w:t>
            </w:r>
          </w:p>
        </w:tc>
      </w:tr>
      <w:tr>
        <w:tc>
          <w:tcPr>
            <w:tcW w:type="dxa" w:w="1806"/>
          </w:tcPr>
          <w:p>
            <w:pPr>
              <w:spacing w:after="20" w:before="20"/>
            </w:pPr>
            <w:r/>
            <w:r>
              <w:rPr>
                <w:b/>
                <w:sz w:val="18"/>
              </w:rPr>
              <w:t>ZOH</w:t>
            </w:r>
          </w:p>
        </w:tc>
        <w:tc>
          <w:tcPr>
            <w:tcW w:type="dxa" w:w="7223"/>
          </w:tcPr>
          <w:p>
            <w:pPr>
              <w:spacing w:after="20" w:before="20"/>
            </w:pPr>
            <w:r/>
            <w:r>
              <w:rPr>
                <w:sz w:val="18"/>
              </w:rPr>
              <w:t>Zero-Order Hold</w:t>
            </w:r>
          </w:p>
        </w:tc>
      </w:tr>
    </w:tbl>
    <w:p w14:paraId="582F00CB" w14:textId="77777777" w:rsidR="0014774D" w:rsidRDefault="0014774D"/>
    <w:p w14:paraId="1E3E56F9" w14:textId="1EDAA046" w:rsidR="0014774D" w:rsidRDefault="00CC74BA" w:rsidP="0065783A">
      <w:pPr>
        <w:pStyle w:val="Heading1"/>
      </w:pPr>
      <w:r>
        <w:t xml:space="preserve">Calorimetry Theory and System </w:t>
      </w:r>
      <w:proofErr w:type="spellStart"/>
      <w:r>
        <w:t>Modeling</w:t>
      </w:r>
      <w:proofErr w:type="spellEnd"/>
    </w:p>
    <w:p w14:paraId="5EBFEBED" w14:textId="77777777" w:rsidR="0013759C" w:rsidRDefault="0013759C" w:rsidP="0013759C"/>
    <w:p w14:paraId="18903D62" w14:textId="77777777" w:rsidR="0013759C" w:rsidRPr="0013759C" w:rsidRDefault="0013759C" w:rsidP="0013759C"/>
    <w:p w14:paraId="589B3F29" w14:textId="77162BAE" w:rsidR="0065783A" w:rsidRDefault="00D83345" w:rsidP="0065783A">
      <w:pPr>
        <w:pStyle w:val="Heading2"/>
      </w:pPr>
      <w:r>
        <w:t>Calorimeter</w:t>
      </w:r>
    </w:p>
    <w:p w14:paraId="3824DFCF" w14:textId="77777777" w:rsidR="00D83345" w:rsidRDefault="00D83345" w:rsidP="00D83345"/>
    <w:p w14:paraId="28922F21" w14:textId="3F6A1AAB" w:rsidR="00D83345" w:rsidRPr="00C53DC0" w:rsidRDefault="00CC74BA" w:rsidP="00D83345">
      <w:pPr>
        <w:jc w:val="both"/>
        <w:rPr>
          <w:lang w:val="en-US"/>
        </w:rPr>
      </w:pPr>
      <w:r>
        <w:lastRenderedPageBreak/>
        <w:t>A calorimeter is a thermally isolated chamber in which a coolant loop provides, ideally, the only path for heat exchange between the chamber’s contents and the ambient room. The device under test (DUT) is placed inside the chamber and operated at its rated power. The power the DUT dissipates as loss heats the chamber and is carried away by the coolant loop. Because this heat has no other way out, it can be measured directly from the coolant’s flow rate and temperature rise.  This is what makes calorimetry well suited to high-precision loss measurement: it is agnostic to the source of the heat. A calorimeter cannot distinguish whether the dissipated power originated as conduction loss, switching loss, hysteresis loss, or a chemical reaction, it registers only the total heat crossing the boundary. The total loss of a DUT, whether a power converter, a motor, or any other heat-producing device, is therefore obtained directly from the heat it dissipates inside the chamber, rather than from a breakdown of individual loss mechanisms. This is why calorimetry is the primary method for characterizing the losses of power converters: these devices combine high power throughput with high efficiency, so the loss to be measured is a small quantity riding on a much larger one, a regime in which other measurement approaches lose precision.</w:t>
      </w:r>
      <w:r w:rsidR="00D83345">
        <w:t xml:space="preserve"> </w:t>
      </w:r>
    </w:p>
    <w:p w14:paraId="43937635" w14:textId="77777777" w:rsidR="00BC6582" w:rsidRPr="00C53DC0" w:rsidRDefault="00BC6582" w:rsidP="00D83345">
      <w:pPr>
        <w:jc w:val="both"/>
        <w:rPr>
          <w:lang w:val="en-US"/>
        </w:rPr>
      </w:pPr>
    </w:p>
    <w:p>
      <w:pPr>
        <w:pStyle w:val="Heading2"/>
      </w:pPr>
      <w:r>
        <w:t>Why calorimetry, and not an electrical measurement</w:t>
      </w:r>
    </w:p>
    <w:p>
      <w:pPr>
        <w:spacing w:after="120"/>
      </w:pPr>
      <w:r>
        <w:t>The direct way to find a converter's loss is to measure input and output power electrically and subtract. That method degrades exactly where this project needs it most, because the measurand is the small difference of two large, nearly equal numbers.</w:t>
      </w:r>
    </w:p>
    <w:p>
      <w:pPr>
        <w:spacing w:after="120"/>
      </w:pPr>
      <w:r>
        <w:t>For the F-series DUT at 1.5 kW, the loss to be resolved is between 15 W (η = 99 %) and 200 W (η ≈ 88 %). Resolving the 15 W point to ±1 W by subtraction requires each of the two 1.5 kW measurements to be accurate to better than ±0.7 W, i.e. ±0.05 % of reading. Real bench instrumentation does not do this: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257"/>
            <w:shd w:val="clear" w:color="auto" w:fill="DEEAF6"/>
          </w:tcPr>
          <w:p>
            <w:pPr>
              <w:spacing w:after="20" w:before="20"/>
            </w:pPr>
            <w:r/>
            <w:r>
              <w:rPr>
                <w:b/>
                <w:sz w:val="18"/>
              </w:rPr>
              <w:t>Power-analyser class</w:t>
            </w:r>
          </w:p>
        </w:tc>
        <w:tc>
          <w:tcPr>
            <w:tcW w:type="dxa" w:w="2257"/>
            <w:shd w:val="clear" w:color="auto" w:fill="DEEAF6"/>
          </w:tcPr>
          <w:p>
            <w:pPr>
              <w:spacing w:after="20" w:before="20"/>
            </w:pPr>
            <w:r/>
            <w:r>
              <w:rPr>
                <w:b/>
                <w:sz w:val="18"/>
              </w:rPr>
              <w:t>Uncertainty per channel at 1.5 kW</w:t>
            </w:r>
          </w:p>
        </w:tc>
        <w:tc>
          <w:tcPr>
            <w:tcW w:type="dxa" w:w="2483"/>
            <w:shd w:val="clear" w:color="auto" w:fill="DEEAF6"/>
          </w:tcPr>
          <w:p>
            <w:pPr>
              <w:spacing w:after="20" w:before="20"/>
            </w:pPr>
            <w:r/>
            <w:r>
              <w:rPr>
                <w:b/>
                <w:sz w:val="18"/>
              </w:rPr>
              <w:t>Uncertainty on P</w:t>
            </w:r>
            <w:r>
              <w:rPr>
                <w:b/>
                <w:sz w:val="18"/>
                <w:vertAlign w:val="subscript"/>
              </w:rPr>
              <w:t>in</w:t>
            </w:r>
            <w:r>
              <w:rPr>
                <w:b/>
                <w:sz w:val="18"/>
              </w:rPr>
              <w:t xml:space="preserve"> − P</w:t>
            </w:r>
            <w:r>
              <w:rPr>
                <w:b/>
                <w:sz w:val="18"/>
                <w:vertAlign w:val="subscript"/>
              </w:rPr>
              <w:t>out</w:t>
            </w:r>
            <w:r>
              <w:rPr>
                <w:b/>
                <w:sz w:val="18"/>
              </w:rPr>
              <w:t xml:space="preserve"> (RSS)</w:t>
            </w:r>
          </w:p>
        </w:tc>
        <w:tc>
          <w:tcPr>
            <w:tcW w:type="dxa" w:w="2031"/>
            <w:shd w:val="clear" w:color="auto" w:fill="DEEAF6"/>
          </w:tcPr>
          <w:p>
            <w:pPr>
              <w:spacing w:after="20" w:before="20"/>
            </w:pPr>
            <w:r/>
            <w:r>
              <w:rPr>
                <w:b/>
                <w:sz w:val="18"/>
              </w:rPr>
              <w:t>As a fraction of a 15 W loss</w:t>
            </w:r>
          </w:p>
        </w:tc>
      </w:tr>
      <w:tr>
        <w:tc>
          <w:tcPr>
            <w:tcW w:type="dxa" w:w="2257"/>
          </w:tcPr>
          <w:p>
            <w:pPr>
              <w:spacing w:after="20" w:before="20"/>
            </w:pPr>
            <w:r/>
            <w:r>
              <w:rPr>
                <w:sz w:val="18"/>
              </w:rPr>
              <w:t>±0.05 % of reading</w:t>
            </w:r>
          </w:p>
        </w:tc>
        <w:tc>
          <w:tcPr>
            <w:tcW w:type="dxa" w:w="2257"/>
          </w:tcPr>
          <w:p>
            <w:pPr>
              <w:spacing w:after="20" w:before="20"/>
            </w:pPr>
            <w:r/>
            <w:r>
              <w:rPr>
                <w:sz w:val="18"/>
              </w:rPr>
              <w:t>0.75 W</w:t>
            </w:r>
          </w:p>
        </w:tc>
        <w:tc>
          <w:tcPr>
            <w:tcW w:type="dxa" w:w="2483"/>
          </w:tcPr>
          <w:p>
            <w:pPr>
              <w:spacing w:after="20" w:before="20"/>
            </w:pPr>
            <w:r/>
            <w:r>
              <w:rPr>
                <w:sz w:val="18"/>
              </w:rPr>
              <w:t>1.06 W</w:t>
            </w:r>
          </w:p>
        </w:tc>
        <w:tc>
          <w:tcPr>
            <w:tcW w:type="dxa" w:w="2031"/>
          </w:tcPr>
          <w:p>
            <w:pPr>
              <w:spacing w:after="20" w:before="20"/>
            </w:pPr>
            <w:r/>
            <w:r>
              <w:rPr>
                <w:sz w:val="18"/>
              </w:rPr>
              <w:t>7.1 %</w:t>
            </w:r>
          </w:p>
        </w:tc>
      </w:tr>
      <w:tr>
        <w:tc>
          <w:tcPr>
            <w:tcW w:type="dxa" w:w="2257"/>
          </w:tcPr>
          <w:p>
            <w:pPr>
              <w:spacing w:after="20" w:before="20"/>
            </w:pPr>
            <w:r/>
            <w:r>
              <w:rPr>
                <w:sz w:val="18"/>
              </w:rPr>
              <w:t>±0.1 %</w:t>
            </w:r>
          </w:p>
        </w:tc>
        <w:tc>
          <w:tcPr>
            <w:tcW w:type="dxa" w:w="2257"/>
          </w:tcPr>
          <w:p>
            <w:pPr>
              <w:spacing w:after="20" w:before="20"/>
            </w:pPr>
            <w:r/>
            <w:r>
              <w:rPr>
                <w:sz w:val="18"/>
              </w:rPr>
              <w:t>1.5 W</w:t>
            </w:r>
          </w:p>
        </w:tc>
        <w:tc>
          <w:tcPr>
            <w:tcW w:type="dxa" w:w="2483"/>
          </w:tcPr>
          <w:p>
            <w:pPr>
              <w:spacing w:after="20" w:before="20"/>
            </w:pPr>
            <w:r/>
            <w:r>
              <w:rPr>
                <w:sz w:val="18"/>
              </w:rPr>
              <w:t>2.12 W</w:t>
            </w:r>
          </w:p>
        </w:tc>
        <w:tc>
          <w:tcPr>
            <w:tcW w:type="dxa" w:w="2031"/>
          </w:tcPr>
          <w:p>
            <w:pPr>
              <w:spacing w:after="20" w:before="20"/>
            </w:pPr>
            <w:r/>
            <w:r>
              <w:rPr>
                <w:sz w:val="18"/>
              </w:rPr>
              <w:t>14.1 %</w:t>
            </w:r>
          </w:p>
        </w:tc>
      </w:tr>
      <w:tr>
        <w:tc>
          <w:tcPr>
            <w:tcW w:type="dxa" w:w="2257"/>
          </w:tcPr>
          <w:p>
            <w:pPr>
              <w:spacing w:after="20" w:before="20"/>
            </w:pPr>
            <w:r/>
            <w:r>
              <w:rPr>
                <w:sz w:val="18"/>
              </w:rPr>
              <w:t>±0.2 %</w:t>
            </w:r>
          </w:p>
        </w:tc>
        <w:tc>
          <w:tcPr>
            <w:tcW w:type="dxa" w:w="2257"/>
          </w:tcPr>
          <w:p>
            <w:pPr>
              <w:spacing w:after="20" w:before="20"/>
            </w:pPr>
            <w:r/>
            <w:r>
              <w:rPr>
                <w:sz w:val="18"/>
              </w:rPr>
              <w:t>3.0 W</w:t>
            </w:r>
          </w:p>
        </w:tc>
        <w:tc>
          <w:tcPr>
            <w:tcW w:type="dxa" w:w="2483"/>
          </w:tcPr>
          <w:p>
            <w:pPr>
              <w:spacing w:after="20" w:before="20"/>
            </w:pPr>
            <w:r/>
            <w:r>
              <w:rPr>
                <w:sz w:val="18"/>
              </w:rPr>
              <w:t>4.24 W</w:t>
            </w:r>
          </w:p>
        </w:tc>
        <w:tc>
          <w:tcPr>
            <w:tcW w:type="dxa" w:w="2031"/>
          </w:tcPr>
          <w:p>
            <w:pPr>
              <w:spacing w:after="20" w:before="20"/>
            </w:pPr>
            <w:r/>
            <w:r>
              <w:rPr>
                <w:sz w:val="18"/>
              </w:rPr>
              <w:t>28.3 %</w:t>
            </w:r>
          </w:p>
        </w:tc>
      </w:tr>
      <w:tr>
        <w:tc>
          <w:tcPr>
            <w:tcW w:type="dxa" w:w="2257"/>
          </w:tcPr>
          <w:p>
            <w:pPr>
              <w:spacing w:after="20" w:before="20"/>
            </w:pPr>
            <w:r/>
            <w:r>
              <w:rPr>
                <w:sz w:val="18"/>
              </w:rPr>
              <w:t>±0.5 %</w:t>
            </w:r>
          </w:p>
        </w:tc>
        <w:tc>
          <w:tcPr>
            <w:tcW w:type="dxa" w:w="2257"/>
          </w:tcPr>
          <w:p>
            <w:pPr>
              <w:spacing w:after="20" w:before="20"/>
            </w:pPr>
            <w:r/>
            <w:r>
              <w:rPr>
                <w:sz w:val="18"/>
              </w:rPr>
              <w:t>7.5 W</w:t>
            </w:r>
          </w:p>
        </w:tc>
        <w:tc>
          <w:tcPr>
            <w:tcW w:type="dxa" w:w="2483"/>
          </w:tcPr>
          <w:p>
            <w:pPr>
              <w:spacing w:after="20" w:before="20"/>
            </w:pPr>
            <w:r/>
            <w:r>
              <w:rPr>
                <w:sz w:val="18"/>
              </w:rPr>
              <w:t>10.6 W</w:t>
            </w:r>
          </w:p>
        </w:tc>
        <w:tc>
          <w:tcPr>
            <w:tcW w:type="dxa" w:w="2031"/>
          </w:tcPr>
          <w:p>
            <w:pPr>
              <w:spacing w:after="20" w:before="20"/>
            </w:pPr>
            <w:r/>
            <w:r>
              <w:rPr>
                <w:sz w:val="18"/>
              </w:rPr>
              <w:t>70.7 %</w:t>
            </w:r>
          </w:p>
        </w:tc>
      </w:tr>
    </w:tbl>
    <w:p>
      <w:pPr>
        <w:spacing w:before="60" w:after="200"/>
        <w:jc w:val="left"/>
      </w:pPr>
      <w:r>
        <w:rPr>
          <w:i/>
          <w:sz w:val="18"/>
        </w:rPr>
        <w:t>Table 1. Why subtraction fails at the high-efficiency end. The uncertainty is fixed by the throughput, not by the loss, so it does not shrink as the DUT gets better. The same instrument that reads a 200 W loss to 2 % reads a 15 W loss to 14 % or worse.</w:t>
      </w:r>
    </w:p>
    <w:p>
      <w:pPr>
        <w:spacing w:after="120"/>
      </w:pPr>
      <w:r>
        <w:t xml:space="preserve">Calorimetry does not have this structure. It measures the dissipated heat itself, so its uncertainty is set by the flow meter, the temperature-pair match and the guard residual — all of which are roughly </w:t>
      </w:r>
      <w:r>
        <w:rPr>
          <w:b/>
        </w:rPr>
        <w:t>constant in watts</w:t>
      </w:r>
      <w:r>
        <w:t xml:space="preserve"> across the range, and none of which depend on the DUT's throughput, waveform, switching frequency, power factor or EMI. A calorimeter that is good to ±1 W is good to ±1 W at 15 W and at 200 W alike.</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806"/>
            <w:shd w:val="clear" w:color="auto" w:fill="DEEAF6"/>
          </w:tcPr>
          <w:p>
            <w:pPr>
              <w:spacing w:after="20" w:before="20"/>
            </w:pPr>
            <w:r/>
            <w:r>
              <w:rPr>
                <w:b/>
                <w:sz w:val="18"/>
              </w:rPr>
              <w:t>Aspect</w:t>
            </w:r>
          </w:p>
        </w:tc>
        <w:tc>
          <w:tcPr>
            <w:tcW w:type="dxa" w:w="3612"/>
            <w:shd w:val="clear" w:color="auto" w:fill="DEEAF6"/>
          </w:tcPr>
          <w:p>
            <w:pPr>
              <w:spacing w:after="20" w:before="20"/>
            </w:pPr>
            <w:r/>
            <w:r>
              <w:rPr>
                <w:b/>
                <w:sz w:val="18"/>
              </w:rPr>
              <w:t>Electrical (input − output)</w:t>
            </w:r>
          </w:p>
        </w:tc>
        <w:tc>
          <w:tcPr>
            <w:tcW w:type="dxa" w:w="3612"/>
            <w:shd w:val="clear" w:color="auto" w:fill="DEEAF6"/>
          </w:tcPr>
          <w:p>
            <w:pPr>
              <w:spacing w:after="20" w:before="20"/>
            </w:pPr>
            <w:r/>
            <w:r>
              <w:rPr>
                <w:b/>
                <w:sz w:val="18"/>
              </w:rPr>
              <w:t>Calorimetric</w:t>
            </w:r>
          </w:p>
        </w:tc>
      </w:tr>
      <w:tr>
        <w:tc>
          <w:tcPr>
            <w:tcW w:type="dxa" w:w="1806"/>
          </w:tcPr>
          <w:p>
            <w:pPr>
              <w:spacing w:after="20" w:before="20"/>
            </w:pPr>
            <w:r/>
            <w:r>
              <w:rPr>
                <w:sz w:val="18"/>
              </w:rPr>
              <w:t>What is measured</w:t>
            </w:r>
          </w:p>
        </w:tc>
        <w:tc>
          <w:tcPr>
            <w:tcW w:type="dxa" w:w="3612"/>
          </w:tcPr>
          <w:p>
            <w:pPr>
              <w:spacing w:after="20" w:before="20"/>
            </w:pPr>
            <w:r/>
            <w:r>
              <w:rPr>
                <w:sz w:val="18"/>
              </w:rPr>
              <w:t>Two large electrical powers, then their difference</w:t>
            </w:r>
          </w:p>
        </w:tc>
        <w:tc>
          <w:tcPr>
            <w:tcW w:type="dxa" w:w="3612"/>
          </w:tcPr>
          <w:p>
            <w:pPr>
              <w:spacing w:after="20" w:before="20"/>
            </w:pPr>
            <w:r/>
            <w:r>
              <w:rPr>
                <w:sz w:val="18"/>
              </w:rPr>
              <w:t>The heat leaving the DUT, directly</w:t>
            </w:r>
          </w:p>
        </w:tc>
      </w:tr>
      <w:tr>
        <w:tc>
          <w:tcPr>
            <w:tcW w:type="dxa" w:w="1806"/>
          </w:tcPr>
          <w:p>
            <w:pPr>
              <w:spacing w:after="20" w:before="20"/>
            </w:pPr>
            <w:r/>
            <w:r>
              <w:rPr>
                <w:sz w:val="18"/>
              </w:rPr>
              <w:t>Dominant error</w:t>
            </w:r>
          </w:p>
        </w:tc>
        <w:tc>
          <w:tcPr>
            <w:tcW w:type="dxa" w:w="3612"/>
          </w:tcPr>
          <w:p>
            <w:pPr>
              <w:spacing w:after="20" w:before="20"/>
            </w:pPr>
            <w:r/>
            <w:r>
              <w:rPr>
                <w:sz w:val="18"/>
              </w:rPr>
              <w:t>Difference of two similar large numbers — error grows as a fraction of the loss as efficiency rises</w:t>
            </w:r>
          </w:p>
        </w:tc>
        <w:tc>
          <w:tcPr>
            <w:tcW w:type="dxa" w:w="3612"/>
          </w:tcPr>
          <w:p>
            <w:pPr>
              <w:spacing w:after="20" w:before="20"/>
            </w:pPr>
            <w:r/>
            <w:r>
              <w:rPr>
                <w:sz w:val="18"/>
              </w:rPr>
              <w:t>Absolute — stays roughly constant in watts</w:t>
            </w:r>
          </w:p>
        </w:tc>
      </w:tr>
      <w:tr>
        <w:tc>
          <w:tcPr>
            <w:tcW w:type="dxa" w:w="1806"/>
          </w:tcPr>
          <w:p>
            <w:pPr>
              <w:spacing w:after="20" w:before="20"/>
            </w:pPr>
            <w:r/>
            <w:r>
              <w:rPr>
                <w:sz w:val="18"/>
              </w:rPr>
              <w:t>Sensitive to</w:t>
            </w:r>
          </w:p>
        </w:tc>
        <w:tc>
          <w:tcPr>
            <w:tcW w:type="dxa" w:w="3612"/>
          </w:tcPr>
          <w:p>
            <w:pPr>
              <w:spacing w:after="20" w:before="20"/>
            </w:pPr>
            <w:r/>
            <w:r>
              <w:rPr>
                <w:sz w:val="18"/>
              </w:rPr>
              <w:t>Waveform distortion, phase/timing error, sensor bandwidth, EMI</w:t>
            </w:r>
          </w:p>
        </w:tc>
        <w:tc>
          <w:tcPr>
            <w:tcW w:type="dxa" w:w="3612"/>
          </w:tcPr>
          <w:p>
            <w:pPr>
              <w:spacing w:after="20" w:before="20"/>
            </w:pPr>
            <w:r/>
            <w:r>
              <w:rPr>
                <w:sz w:val="18"/>
              </w:rPr>
              <w:t>Ambient stability, wall leakage, calibration drift</w:t>
            </w:r>
          </w:p>
        </w:tc>
      </w:tr>
      <w:tr>
        <w:tc>
          <w:tcPr>
            <w:tcW w:type="dxa" w:w="1806"/>
          </w:tcPr>
          <w:p>
            <w:pPr>
              <w:spacing w:after="20" w:before="20"/>
            </w:pPr>
            <w:r/>
            <w:r>
              <w:rPr>
                <w:sz w:val="18"/>
              </w:rPr>
              <w:t>Electrical connection to DUT</w:t>
            </w:r>
          </w:p>
        </w:tc>
        <w:tc>
          <w:tcPr>
            <w:tcW w:type="dxa" w:w="3612"/>
          </w:tcPr>
          <w:p>
            <w:pPr>
              <w:spacing w:after="20" w:before="20"/>
            </w:pPr>
            <w:r/>
            <w:r>
              <w:rPr>
                <w:sz w:val="18"/>
              </w:rPr>
              <w:t>Required</w:t>
            </w:r>
          </w:p>
        </w:tc>
        <w:tc>
          <w:tcPr>
            <w:tcW w:type="dxa" w:w="3612"/>
          </w:tcPr>
          <w:p>
            <w:pPr>
              <w:spacing w:after="20" w:before="20"/>
            </w:pPr>
            <w:r/>
            <w:r>
              <w:rPr>
                <w:sz w:val="18"/>
              </w:rPr>
              <w:t>None — fully decoupled</w:t>
            </w:r>
          </w:p>
        </w:tc>
      </w:tr>
      <w:tr>
        <w:tc>
          <w:tcPr>
            <w:tcW w:type="dxa" w:w="1806"/>
          </w:tcPr>
          <w:p>
            <w:pPr>
              <w:spacing w:after="20" w:before="20"/>
            </w:pPr>
            <w:r/>
            <w:r>
              <w:rPr>
                <w:sz w:val="18"/>
              </w:rPr>
              <w:t>Speed</w:t>
            </w:r>
          </w:p>
        </w:tc>
        <w:tc>
          <w:tcPr>
            <w:tcW w:type="dxa" w:w="3612"/>
          </w:tcPr>
          <w:p>
            <w:pPr>
              <w:spacing w:after="20" w:before="20"/>
            </w:pPr>
            <w:r/>
            <w:r>
              <w:rPr>
                <w:sz w:val="18"/>
              </w:rPr>
              <w:t>Seconds</w:t>
            </w:r>
          </w:p>
        </w:tc>
        <w:tc>
          <w:tcPr>
            <w:tcW w:type="dxa" w:w="3612"/>
          </w:tcPr>
          <w:p>
            <w:pPr>
              <w:spacing w:after="20" w:before="20"/>
            </w:pPr>
            <w:r/>
            <w:r>
              <w:rPr>
                <w:sz w:val="18"/>
              </w:rPr>
              <w:t>Minutes to hours per point (thermal settling)</w:t>
            </w:r>
          </w:p>
        </w:tc>
      </w:tr>
      <w:tr>
        <w:tc>
          <w:tcPr>
            <w:tcW w:type="dxa" w:w="1806"/>
          </w:tcPr>
          <w:p>
            <w:pPr>
              <w:spacing w:after="20" w:before="20"/>
            </w:pPr>
            <w:r/>
            <w:r>
              <w:rPr>
                <w:sz w:val="18"/>
              </w:rPr>
              <w:t>Best suited to</w:t>
            </w:r>
          </w:p>
        </w:tc>
        <w:tc>
          <w:tcPr>
            <w:tcW w:type="dxa" w:w="3612"/>
          </w:tcPr>
          <w:p>
            <w:pPr>
              <w:spacing w:after="20" w:before="20"/>
            </w:pPr>
            <w:r/>
            <w:r>
              <w:rPr>
                <w:sz w:val="18"/>
              </w:rPr>
              <w:t>Low to moderate efficiency, transient measurement</w:t>
            </w:r>
          </w:p>
        </w:tc>
        <w:tc>
          <w:tcPr>
            <w:tcW w:type="dxa" w:w="3612"/>
          </w:tcPr>
          <w:p>
            <w:pPr>
              <w:spacing w:after="20" w:before="20"/>
            </w:pPr>
            <w:r/>
            <w:r>
              <w:rPr>
                <w:sz w:val="18"/>
              </w:rPr>
              <w:t>Verifying loss on high-efficiency devices (η &gt; ~95 %)</w:t>
            </w:r>
          </w:p>
        </w:tc>
      </w:tr>
    </w:tbl>
    <w:p>
      <w:pPr>
        <w:spacing w:before="60" w:after="200"/>
        <w:jc w:val="left"/>
      </w:pPr>
      <w:r>
        <w:rPr>
          <w:i/>
          <w:sz w:val="18"/>
        </w:rPr>
        <w:t>Table 2. The two methods compared. Calorimetry is slower and needs more hardware; it buys accuracy that does not degrade with the DUT's efficiency.</w:t>
      </w:r>
    </w:p>
    <w:p>
      <w:pPr>
        <w:spacing w:after="120"/>
      </w:pPr>
      <w:r>
        <w:t xml:space="preserve">Published, well-built calorimeters report about </w:t>
      </w:r>
      <w:r>
        <w:rPr>
          <w:b/>
        </w:rPr>
        <w:t>±0.4 W absolute, or 0.2–1 % of full scale</w:t>
      </w:r>
      <w:r>
        <w:t xml:space="preserve"> (RD-01, RD-02), essentially flat across the power range. The accuracy target adopted for this rig is </w:t>
      </w:r>
      <w:r>
        <w:rPr>
          <w:b/>
        </w:rPr>
        <w:t>P</w:t>
      </w:r>
      <w:r>
        <w:rPr>
          <w:b/>
          <w:vertAlign w:val="subscript"/>
        </w:rPr>
        <w:t>acc</w:t>
      </w:r>
      <w:r>
        <w:rPr>
          <w:b/>
        </w:rPr>
        <w:t xml:space="preserve"> = ±1 W</w:t>
      </w:r>
      <w:r>
        <w:t>, chosen as a realistic first-build figure with margin against the literature best. At 1.5 kW throughput, ±1 W resolves 0.07 efficiency points — enough to separate 97.0 % from 97.5 % (a 7.5 W step) without ambiguity.</w:t>
      </w:r>
    </w:p>
    <w:p>
      <w:pPr>
        <w:pStyle w:val="Heading2"/>
      </w:pPr>
      <w:r>
        <w:t>Calorimeter families</w:t>
      </w:r>
    </w:p>
    <w:p>
      <w:pPr>
        <w:spacing w:after="120"/>
      </w:pPr>
      <w:r>
        <w:t>Calorimeters built for power-loss measurement are classified into four chamber types (RD-10). Each can be run air- or liquid-cooled.</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685"/>
            <w:shd w:val="clear" w:color="auto" w:fill="DEEAF6"/>
          </w:tcPr>
          <w:p>
            <w:pPr>
              <w:spacing w:after="20" w:before="20"/>
            </w:pPr>
            <w:r/>
            <w:r>
              <w:rPr>
                <w:b/>
                <w:sz w:val="18"/>
              </w:rPr>
              <w:t>Type</w:t>
            </w:r>
          </w:p>
        </w:tc>
        <w:tc>
          <w:tcPr>
            <w:tcW w:type="dxa" w:w="3973"/>
            <w:shd w:val="clear" w:color="auto" w:fill="DEEAF6"/>
          </w:tcPr>
          <w:p>
            <w:pPr>
              <w:spacing w:after="20" w:before="20"/>
            </w:pPr>
            <w:r/>
            <w:r>
              <w:rPr>
                <w:b/>
                <w:sz w:val="18"/>
              </w:rPr>
              <w:t>How it works</w:t>
            </w:r>
          </w:p>
        </w:tc>
        <w:tc>
          <w:tcPr>
            <w:tcW w:type="dxa" w:w="3371"/>
            <w:shd w:val="clear" w:color="auto" w:fill="DEEAF6"/>
          </w:tcPr>
          <w:p>
            <w:pPr>
              <w:spacing w:after="20" w:before="20"/>
            </w:pPr>
            <w:r/>
            <w:r>
              <w:rPr>
                <w:b/>
                <w:sz w:val="18"/>
              </w:rPr>
              <w:t>Trade-off</w:t>
            </w:r>
          </w:p>
        </w:tc>
      </w:tr>
      <w:tr>
        <w:tc>
          <w:tcPr>
            <w:tcW w:type="dxa" w:w="1685"/>
          </w:tcPr>
          <w:p>
            <w:pPr>
              <w:spacing w:after="20" w:before="20"/>
            </w:pPr>
            <w:r/>
            <w:r>
              <w:rPr>
                <w:sz w:val="18"/>
              </w:rPr>
              <w:t>Open</w:t>
            </w:r>
          </w:p>
        </w:tc>
        <w:tc>
          <w:tcPr>
            <w:tcW w:type="dxa" w:w="3973"/>
          </w:tcPr>
          <w:p>
            <w:pPr>
              <w:spacing w:after="20" w:before="20"/>
            </w:pPr>
            <w:r/>
            <w:r>
              <w:rPr>
                <w:sz w:val="18"/>
              </w:rPr>
              <w:t>Single pass of coolant drawn from ambient through the chamber; loss from inlet/outlet ΔT and flow</w:t>
            </w:r>
          </w:p>
        </w:tc>
        <w:tc>
          <w:tcPr>
            <w:tcW w:type="dxa" w:w="3371"/>
          </w:tcPr>
          <w:p>
            <w:pPr>
              <w:spacing w:after="20" w:before="20"/>
            </w:pPr>
            <w:r/>
            <w:r>
              <w:rPr>
                <w:sz w:val="18"/>
              </w:rPr>
              <w:t>Simplest build; accuracy is at the mercy of ambient temperature and flow fluctuations</w:t>
            </w:r>
          </w:p>
        </w:tc>
      </w:tr>
      <w:tr>
        <w:tc>
          <w:tcPr>
            <w:tcW w:type="dxa" w:w="1685"/>
          </w:tcPr>
          <w:p>
            <w:pPr>
              <w:spacing w:after="20" w:before="20"/>
            </w:pPr>
            <w:r/>
            <w:r>
              <w:rPr>
                <w:sz w:val="18"/>
              </w:rPr>
              <w:t>Closed</w:t>
            </w:r>
          </w:p>
        </w:tc>
        <w:tc>
          <w:tcPr>
            <w:tcW w:type="dxa" w:w="3973"/>
          </w:tcPr>
          <w:p>
            <w:pPr>
              <w:spacing w:after="20" w:before="20"/>
            </w:pPr>
            <w:r/>
            <w:r>
              <w:rPr>
                <w:sz w:val="18"/>
              </w:rPr>
              <w:t>DUT sealed in an insulated enclosure with a closed coolant loop that dumps to an external exchanger</w:t>
            </w:r>
          </w:p>
        </w:tc>
        <w:tc>
          <w:tcPr>
            <w:tcW w:type="dxa" w:w="3371"/>
          </w:tcPr>
          <w:p>
            <w:pPr>
              <w:spacing w:after="20" w:before="20"/>
            </w:pPr>
            <w:r/>
            <w:r>
              <w:rPr>
                <w:sz w:val="18"/>
              </w:rPr>
              <w:t>Much better ambient isolation; usually built with a guarded (double-jacket) wall to stop the residual leak</w:t>
            </w:r>
          </w:p>
        </w:tc>
      </w:tr>
      <w:tr>
        <w:tc>
          <w:tcPr>
            <w:tcW w:type="dxa" w:w="1685"/>
          </w:tcPr>
          <w:p>
            <w:pPr>
              <w:spacing w:after="20" w:before="20"/>
            </w:pPr>
            <w:r/>
            <w:r>
              <w:rPr>
                <w:sz w:val="18"/>
              </w:rPr>
              <w:t>Balanced (substitution)</w:t>
            </w:r>
          </w:p>
        </w:tc>
        <w:tc>
          <w:tcPr>
            <w:tcW w:type="dxa" w:w="3973"/>
          </w:tcPr>
          <w:p>
            <w:pPr>
              <w:spacing w:after="20" w:before="20"/>
            </w:pPr>
            <w:r/>
            <w:r>
              <w:rPr>
                <w:sz w:val="18"/>
              </w:rPr>
              <w:t xml:space="preserve">A trim heater holds the chamber at a fixed balance point; loss = the </w:t>
            </w:r>
            <w:r>
              <w:rPr>
                <w:b/>
                <w:sz w:val="18"/>
              </w:rPr>
              <w:t>reduction</w:t>
            </w:r>
            <w:r>
              <w:rPr>
                <w:sz w:val="18"/>
              </w:rPr>
              <w:t xml:space="preserve"> in trim-heater power relative to a DUT-off baseline</w:t>
            </w:r>
          </w:p>
        </w:tc>
        <w:tc>
          <w:tcPr>
            <w:tcW w:type="dxa" w:w="3371"/>
          </w:tcPr>
          <w:p>
            <w:pPr>
              <w:spacing w:after="20" w:before="20"/>
            </w:pPr>
            <w:r/>
            <w:r>
              <w:rPr>
                <w:sz w:val="18"/>
              </w:rPr>
              <w:t>Very accurate and needs no flow measurement, but requires a control loop and a baseline calibration run</w:t>
            </w:r>
          </w:p>
        </w:tc>
      </w:tr>
      <w:tr>
        <w:tc>
          <w:tcPr>
            <w:tcW w:type="dxa" w:w="1685"/>
          </w:tcPr>
          <w:p>
            <w:pPr>
              <w:spacing w:after="20" w:before="20"/>
            </w:pPr>
            <w:r/>
            <w:r>
              <w:rPr>
                <w:sz w:val="18"/>
              </w:rPr>
              <w:t>Series</w:t>
            </w:r>
          </w:p>
        </w:tc>
        <w:tc>
          <w:tcPr>
            <w:tcW w:type="dxa" w:w="3973"/>
          </w:tcPr>
          <w:p>
            <w:pPr>
              <w:spacing w:after="20" w:before="20"/>
            </w:pPr>
            <w:r/>
            <w:r>
              <w:rPr>
                <w:sz w:val="18"/>
              </w:rPr>
              <w:t>Two chambers share one coolant loop — one holds a reference heater of known power, the other the DUT — so the rig self-calibrates continuously</w:t>
            </w:r>
          </w:p>
        </w:tc>
        <w:tc>
          <w:tcPr>
            <w:tcW w:type="dxa" w:w="3371"/>
          </w:tcPr>
          <w:p>
            <w:pPr>
              <w:spacing w:after="20" w:before="20"/>
            </w:pPr>
            <w:r/>
            <w:r>
              <w:rPr>
                <w:sz w:val="18"/>
              </w:rPr>
              <w:t>Best drift immunity, at the cost of a second full chamber</w:t>
            </w:r>
          </w:p>
        </w:tc>
      </w:tr>
    </w:tbl>
    <w:p>
      <w:pPr>
        <w:spacing w:before="60" w:after="200"/>
        <w:jc w:val="left"/>
      </w:pPr>
      <w:r>
        <w:rPr>
          <w:i/>
          <w:sz w:val="18"/>
        </w:rPr>
        <w:t xml:space="preserve">Table 3. The four chamber families. This project builds a </w:t>
      </w:r>
      <w:r>
        <w:rPr>
          <w:b/>
          <w:i/>
          <w:sz w:val="18"/>
        </w:rPr>
        <w:t>closed, guarded, liquid-cooled</w:t>
      </w:r>
      <w:r>
        <w:rPr>
          <w:i/>
          <w:sz w:val="18"/>
        </w:rPr>
        <w:t xml:space="preserve"> chamber with a flow readout, and keeps substitution as the calibration method rather than as the readout.</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Two readout philosophies, kept separate</w:t>
            </w:r>
          </w:p>
          <w:p>
            <w:pPr>
              <w:spacing w:after="40"/>
            </w:pPr>
            <w:r>
              <w:rPr>
                <w:sz w:val="19"/>
              </w:rPr>
              <w:t xml:space="preserve">A guarded chamber can report the loss in two different ways, and the project notes use both words. </w:t>
            </w:r>
            <w:r>
              <w:rPr>
                <w:b/>
                <w:sz w:val="19"/>
              </w:rPr>
              <w:t>Flow readout</w:t>
            </w:r>
            <w:r>
              <w:rPr>
                <w:sz w:val="19"/>
              </w:rPr>
              <w:t xml:space="preserve"> (this build): the loss is ṁ·c</w:t>
            </w:r>
            <w:r>
              <w:rPr>
                <w:sz w:val="19"/>
                <w:vertAlign w:val="subscript"/>
              </w:rPr>
              <w:t>p</w:t>
            </w:r>
            <w:r>
              <w:rPr>
                <w:sz w:val="19"/>
              </w:rPr>
              <w:t>·ΔT</w:t>
            </w:r>
            <w:r>
              <w:rPr>
                <w:sz w:val="19"/>
                <w:vertAlign w:val="subscript"/>
              </w:rPr>
              <w:t>w</w:t>
            </w:r>
            <w:r>
              <w:rPr>
                <w:sz w:val="19"/>
              </w:rPr>
              <w:t xml:space="preserve"> through the water loop, and the guard exists only to null the wall so that reading is complete. </w:t>
            </w:r>
            <w:r>
              <w:rPr>
                <w:b/>
                <w:sz w:val="19"/>
              </w:rPr>
              <w:t>Substitution readout</w:t>
            </w:r>
            <w:r>
              <w:rPr>
                <w:sz w:val="19"/>
              </w:rPr>
              <w:t>: the loss is a difference of trim-heater powers, and no flow measurement is needed. This rig uses the flow readout for the measurement and the substitution principle only for commissioning — the inner-chamber resistor injects a known electrical power that the flow readout must reproduce.</w:t>
            </w:r>
          </w:p>
        </w:tc>
      </w:tr>
    </w:tbl>
    <w:p>
      <w:pPr>
        <w:spacing w:after="80"/>
      </w:pPr>
    </w:p>
    <w:p>
      <w:pPr>
        <w:pStyle w:val="Heading2"/>
      </w:pPr>
      <w:r>
        <w:t>Reference builds</w:t>
      </w:r>
    </w:p>
    <w:p>
      <w:pPr>
        <w:spacing w:after="120"/>
      </w:pPr>
      <w:r>
        <w:t>Four published builds set the design envelope and supplied the specific techniques that were copied. Three are used as positive references; the fourth is the counter-example that justifies the guard.</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1354"/>
            <w:shd w:val="clear" w:color="auto" w:fill="DEEAF6"/>
          </w:tcPr>
          <w:p>
            <w:pPr>
              <w:spacing w:after="20" w:before="20"/>
            </w:pPr>
            <w:r/>
            <w:r>
              <w:rPr>
                <w:b/>
                <w:sz w:val="17"/>
              </w:rPr>
              <w:t>Source</w:t>
            </w:r>
          </w:p>
        </w:tc>
        <w:tc>
          <w:tcPr>
            <w:tcW w:type="dxa" w:w="1806"/>
            <w:shd w:val="clear" w:color="auto" w:fill="DEEAF6"/>
          </w:tcPr>
          <w:p>
            <w:pPr>
              <w:spacing w:after="20" w:before="20"/>
            </w:pPr>
            <w:r/>
            <w:r>
              <w:rPr>
                <w:b/>
                <w:sz w:val="17"/>
              </w:rPr>
              <w:t>Topology</w:t>
            </w:r>
          </w:p>
        </w:tc>
        <w:tc>
          <w:tcPr>
            <w:tcW w:type="dxa" w:w="1535"/>
            <w:shd w:val="clear" w:color="auto" w:fill="DEEAF6"/>
          </w:tcPr>
          <w:p>
            <w:pPr>
              <w:spacing w:after="20" w:before="20"/>
            </w:pPr>
            <w:r/>
            <w:r>
              <w:rPr>
                <w:b/>
                <w:sz w:val="17"/>
              </w:rPr>
              <w:t>DUT / loss range</w:t>
            </w:r>
          </w:p>
        </w:tc>
        <w:tc>
          <w:tcPr>
            <w:tcW w:type="dxa" w:w="1445"/>
            <w:shd w:val="clear" w:color="auto" w:fill="DEEAF6"/>
          </w:tcPr>
          <w:p>
            <w:pPr>
              <w:spacing w:after="20" w:before="20"/>
            </w:pPr>
            <w:r/>
            <w:r>
              <w:rPr>
                <w:b/>
                <w:sz w:val="17"/>
              </w:rPr>
              <w:t>Reported accuracy</w:t>
            </w:r>
          </w:p>
        </w:tc>
        <w:tc>
          <w:tcPr>
            <w:tcW w:type="dxa" w:w="2889"/>
            <w:shd w:val="clear" w:color="auto" w:fill="DEEAF6"/>
          </w:tcPr>
          <w:p>
            <w:pPr>
              <w:spacing w:after="20" w:before="20"/>
            </w:pPr>
            <w:r/>
            <w:r>
              <w:rPr>
                <w:b/>
                <w:sz w:val="17"/>
              </w:rPr>
              <w:t>What was taken from it</w:t>
            </w:r>
          </w:p>
        </w:tc>
      </w:tr>
      <w:tr>
        <w:tc>
          <w:tcPr>
            <w:tcW w:type="dxa" w:w="1354"/>
          </w:tcPr>
          <w:p>
            <w:pPr>
              <w:spacing w:after="20" w:before="20"/>
            </w:pPr>
            <w:r/>
            <w:r>
              <w:rPr>
                <w:b/>
                <w:sz w:val="17"/>
              </w:rPr>
              <w:t>ETH Zürich, IPEC 2010</w:t>
            </w:r>
            <w:r>
              <w:rPr>
                <w:sz w:val="17"/>
              </w:rPr>
              <w:t xml:space="preserve"> (RD-01)</w:t>
            </w:r>
          </w:p>
        </w:tc>
        <w:tc>
          <w:tcPr>
            <w:tcW w:type="dxa" w:w="1806"/>
          </w:tcPr>
          <w:p>
            <w:pPr>
              <w:spacing w:after="20" w:before="20"/>
            </w:pPr>
            <w:r/>
            <w:r>
              <w:rPr>
                <w:sz w:val="17"/>
              </w:rPr>
              <w:t>Air-gap double-jacket, actively servoed gap</w:t>
            </w:r>
          </w:p>
        </w:tc>
        <w:tc>
          <w:tcPr>
            <w:tcW w:type="dxa" w:w="1535"/>
          </w:tcPr>
          <w:p>
            <w:pPr>
              <w:spacing w:after="20" w:before="20"/>
            </w:pPr>
            <w:r/>
            <w:r>
              <w:rPr>
                <w:sz w:val="17"/>
              </w:rPr>
              <w:t>5 kW DC-DC at 99.1 % η; also a 1.6 kW PFC at 15 W loss</w:t>
            </w:r>
          </w:p>
        </w:tc>
        <w:tc>
          <w:tcPr>
            <w:tcW w:type="dxa" w:w="1445"/>
          </w:tcPr>
          <w:p>
            <w:pPr>
              <w:spacing w:after="20" w:before="20"/>
            </w:pPr>
            <w:r/>
            <w:r>
              <w:rPr>
                <w:sz w:val="17"/>
              </w:rPr>
              <w:t>±0.4 W or 1 %, roughly flat over 10–100 W</w:t>
            </w:r>
          </w:p>
        </w:tc>
        <w:tc>
          <w:tcPr>
            <w:tcW w:type="dxa" w:w="2889"/>
          </w:tcPr>
          <w:p>
            <w:pPr>
              <w:spacing w:after="20" w:before="20"/>
            </w:pPr>
            <w:r/>
            <w:r>
              <w:rPr>
                <w:sz w:val="17"/>
              </w:rPr>
              <w:t>The architecture itself: nested shells, servoed air gap, closed water loop with its own radiator and fans, in-chamber preheat to shorten settling, digital I²C wall sensors</w:t>
            </w:r>
          </w:p>
        </w:tc>
      </w:tr>
      <w:tr>
        <w:tc>
          <w:tcPr>
            <w:tcW w:type="dxa" w:w="1354"/>
          </w:tcPr>
          <w:p>
            <w:pPr>
              <w:spacing w:after="20" w:before="20"/>
            </w:pPr>
            <w:r/>
            <w:r>
              <w:rPr>
                <w:b/>
                <w:sz w:val="17"/>
              </w:rPr>
              <w:t>Bristol, IEMDC 2017</w:t>
            </w:r>
            <w:r>
              <w:rPr>
                <w:sz w:val="17"/>
              </w:rPr>
              <w:t xml:space="preserve"> (RD-02)</w:t>
            </w:r>
          </w:p>
        </w:tc>
        <w:tc>
          <w:tcPr>
            <w:tcW w:type="dxa" w:w="1806"/>
          </w:tcPr>
          <w:p>
            <w:pPr>
              <w:spacing w:after="20" w:before="20"/>
            </w:pPr>
            <w:r/>
            <w:r>
              <w:rPr>
                <w:sz w:val="17"/>
              </w:rPr>
              <w:t>Closed single box with a PI-controlled copper-tape surface heater — the guard collapsed onto the wall</w:t>
            </w:r>
          </w:p>
        </w:tc>
        <w:tc>
          <w:tcPr>
            <w:tcW w:type="dxa" w:w="1535"/>
          </w:tcPr>
          <w:p>
            <w:pPr>
              <w:spacing w:after="20" w:before="20"/>
            </w:pPr>
            <w:r/>
            <w:r>
              <w:rPr>
                <w:sz w:val="17"/>
              </w:rPr>
              <w:t>20–100 W (predicted ceiling ≈ 250 W)</w:t>
            </w:r>
          </w:p>
        </w:tc>
        <w:tc>
          <w:tcPr>
            <w:tcW w:type="dxa" w:w="1445"/>
          </w:tcPr>
          <w:p>
            <w:pPr>
              <w:spacing w:after="20" w:before="20"/>
            </w:pPr>
            <w:r/>
            <w:r>
              <w:rPr>
                <w:sz w:val="17"/>
              </w:rPr>
              <w:t>&lt; 1 % at all 12 load points; &lt; 0.4 W absolute</w:t>
            </w:r>
          </w:p>
        </w:tc>
        <w:tc>
          <w:tcPr>
            <w:tcW w:type="dxa" w:w="2889"/>
          </w:tcPr>
          <w:p>
            <w:pPr>
              <w:spacing w:after="20" w:before="20"/>
            </w:pPr>
            <w:r/>
            <w:r>
              <w:rPr>
                <w:sz w:val="17"/>
              </w:rPr>
              <w:t>The guard as one software PI loop; in-situ gravimetric flow calibration of a cheap flow sensor; automatic steady-state detection from the temperature slope; commodity PC-watercooling parts; single-point calibration</w:t>
            </w:r>
          </w:p>
        </w:tc>
      </w:tr>
      <w:tr>
        <w:tc>
          <w:tcPr>
            <w:tcW w:type="dxa" w:w="1354"/>
          </w:tcPr>
          <w:p>
            <w:pPr>
              <w:spacing w:after="20" w:before="20"/>
            </w:pPr>
            <w:r/>
            <w:r>
              <w:rPr>
                <w:b/>
                <w:sz w:val="17"/>
              </w:rPr>
              <w:t>Kosonen et al., IET EPA 2013</w:t>
            </w:r>
            <w:r>
              <w:rPr>
                <w:sz w:val="17"/>
              </w:rPr>
              <w:t xml:space="preserve"> (RD-04)</w:t>
            </w:r>
          </w:p>
        </w:tc>
        <w:tc>
          <w:tcPr>
            <w:tcW w:type="dxa" w:w="1806"/>
          </w:tcPr>
          <w:p>
            <w:pPr>
              <w:spacing w:after="20" w:before="20"/>
            </w:pPr>
            <w:r/>
            <w:r>
              <w:rPr>
                <w:sz w:val="17"/>
              </w:rPr>
              <w:t>One rig covering several drive ratings</w:t>
            </w:r>
          </w:p>
        </w:tc>
        <w:tc>
          <w:tcPr>
            <w:tcW w:type="dxa" w:w="1535"/>
          </w:tcPr>
          <w:p>
            <w:pPr>
              <w:spacing w:after="20" w:before="20"/>
            </w:pPr>
            <w:r/>
            <w:r>
              <w:rPr>
                <w:sz w:val="17"/>
              </w:rPr>
              <w:t>Up to 2 kW of loss</w:t>
            </w:r>
          </w:p>
        </w:tc>
        <w:tc>
          <w:tcPr>
            <w:tcW w:type="dxa" w:w="1445"/>
          </w:tcPr>
          <w:p>
            <w:pPr>
              <w:spacing w:after="20" w:before="20"/>
            </w:pPr>
            <w:r/>
            <w:r>
              <w:rPr>
                <w:sz w:val="17"/>
              </w:rPr>
              <w:t>—</w:t>
            </w:r>
          </w:p>
        </w:tc>
        <w:tc>
          <w:tcPr>
            <w:tcW w:type="dxa" w:w="2889"/>
          </w:tcPr>
          <w:p>
            <w:pPr>
              <w:spacing w:after="20" w:before="20"/>
            </w:pPr>
            <w:r/>
            <w:r>
              <w:rPr>
                <w:sz w:val="17"/>
              </w:rPr>
              <w:t>The modularity argument: build one chamber and re-range it per DUT class rather than one rig per product</w:t>
            </w:r>
          </w:p>
        </w:tc>
      </w:tr>
      <w:tr>
        <w:tc>
          <w:tcPr>
            <w:tcW w:type="dxa" w:w="1354"/>
          </w:tcPr>
          <w:p>
            <w:pPr>
              <w:spacing w:after="20" w:before="20"/>
            </w:pPr>
            <w:r/>
            <w:r>
              <w:rPr>
                <w:b/>
                <w:sz w:val="17"/>
              </w:rPr>
              <w:t>Nair, Aalto MSc 2013</w:t>
            </w:r>
            <w:r>
              <w:rPr>
                <w:sz w:val="17"/>
              </w:rPr>
              <w:t xml:space="preserve"> (RD-03)</w:t>
            </w:r>
          </w:p>
        </w:tc>
        <w:tc>
          <w:tcPr>
            <w:tcW w:type="dxa" w:w="1806"/>
          </w:tcPr>
          <w:p>
            <w:pPr>
              <w:spacing w:after="20" w:before="20"/>
            </w:pPr>
            <w:r/>
            <w:r>
              <w:rPr>
                <w:sz w:val="17"/>
              </w:rPr>
              <w:t xml:space="preserve">Closed </w:t>
            </w:r>
            <w:r>
              <w:rPr>
                <w:b/>
                <w:sz w:val="17"/>
              </w:rPr>
              <w:t>single-wall, unguarded</w:t>
            </w:r>
            <w:r>
              <w:rPr>
                <w:sz w:val="17"/>
              </w:rPr>
              <w:t xml:space="preserve"> chamber (a DJC was reviewed, then not built)</w:t>
            </w:r>
          </w:p>
        </w:tc>
        <w:tc>
          <w:tcPr>
            <w:tcW w:type="dxa" w:w="1535"/>
          </w:tcPr>
          <w:p>
            <w:pPr>
              <w:spacing w:after="20" w:before="20"/>
            </w:pPr>
            <w:r/>
            <w:r>
              <w:rPr>
                <w:sz w:val="17"/>
              </w:rPr>
              <w:t>0.75 kW converter at ~97 % η</w:t>
            </w:r>
          </w:p>
        </w:tc>
        <w:tc>
          <w:tcPr>
            <w:tcW w:type="dxa" w:w="1445"/>
          </w:tcPr>
          <w:p>
            <w:pPr>
              <w:spacing w:after="20" w:before="20"/>
            </w:pPr>
            <w:r/>
            <w:r>
              <w:rPr>
                <w:sz w:val="17"/>
              </w:rPr>
              <w:t xml:space="preserve">±1.5 % below 50 W, </w:t>
            </w:r>
            <w:r>
              <w:rPr>
                <w:b/>
                <w:sz w:val="17"/>
              </w:rPr>
              <w:t>degrading with power</w:t>
            </w:r>
          </w:p>
        </w:tc>
        <w:tc>
          <w:tcPr>
            <w:tcW w:type="dxa" w:w="2889"/>
          </w:tcPr>
          <w:p>
            <w:pPr>
              <w:spacing w:after="20" w:before="20"/>
            </w:pPr>
            <w:r/>
            <w:r>
              <w:rPr>
                <w:sz w:val="17"/>
              </w:rPr>
              <w:t>The counter-example. Its own conclusion names wall leakage as the dominant error. Also the source of the DJC schematic and of the guard criterion used in §4.6.3</w:t>
            </w:r>
          </w:p>
        </w:tc>
      </w:tr>
    </w:tbl>
    <w:p>
      <w:pPr>
        <w:spacing w:before="60" w:after="200"/>
        <w:jc w:val="left"/>
      </w:pPr>
      <w:r>
        <w:rPr>
          <w:i/>
          <w:sz w:val="18"/>
        </w:rPr>
        <w:t>Table 4. The four reference builds. Nair and ETH differ almost only in whether the wall gradient is actively nulled, and their accuracy figures differ by roughly a factor of four — which is the whole argument for the guard.</w:t>
      </w:r>
    </w:p>
    <w:p>
      <w:pPr>
        <w:spacing w:after="120"/>
      </w:pPr>
      <w:r>
        <w:t>Two of these builds, a decade apart and unrelated, independently converged on the same commodity parts: XPS/EPP foam shells, Aqua Computer PC-watercooling radiators, a peristaltic pump, a cheap flow sensor rescued by gravimetric calibration, and Class-A platinum RTDs. That convergence is why this project's BOM starts from the same categories rather than from laboratory-instrument catalogues.</w:t>
      </w:r>
    </w:p>
    <w:p w14:paraId="7BB00037" w14:textId="4AD02B57" w:rsidR="00716353" w:rsidRDefault="00716353" w:rsidP="00716353">
      <w:pPr>
        <w:pStyle w:val="Heading2"/>
        <w:rPr>
          <w:lang w:val="en-US"/>
        </w:rPr>
      </w:pPr>
      <w:r>
        <w:rPr>
          <w:lang w:val="en-US"/>
        </w:rPr>
        <w:t>Topology evaluation</w:t>
      </w:r>
    </w:p>
    <w:p w14:paraId="1F3546EC" w14:textId="77777777" w:rsidR="00C53DC0" w:rsidRDefault="00C53DC0" w:rsidP="00C53DC0">
      <w:pPr>
        <w:rPr>
          <w:lang w:val="en-US"/>
        </w:rPr>
      </w:pPr>
    </w:p>
    <w:p w14:paraId="3186DEC4" w14:textId="50C08804" w:rsidR="00C53DC0" w:rsidRPr="00C53DC0" w:rsidRDefault="00C53DC0" w:rsidP="00C53DC0">
      <w:pPr>
        <w:jc w:val="both"/>
        <w:rPr>
          <w:lang w:val="en-US"/>
        </w:rPr>
      </w:pPr>
      <w:r>
        <w:rPr>
          <w:lang w:val="en-US"/>
        </w:rPr>
        <w:t xml:space="preserve">At the beginning of the study, 3 topologies were evaluated and compared for the most fitting candidate to be used as a template for this assignment. Those were a single wall layer, a double jacket copper layer and a complete double jacket layer respectively. </w:t>
      </w:r>
    </w:p>
    <w:p>
      <w:pPr>
        <w:spacing w:after="120"/>
      </w:pPr>
      <w:r>
        <w:t>Those three are compared in §4.5.1; the reasoning that led to them, starting from a wider four-way trade study, is in §4.5.2, and the decision in §4.5.3. The remainder of this section describes the selected topology and the design choices made during the study. Sections 5 to 7 then develop the model of that topology in increasing detail: the thermal network (§5), its state-space form and the control design that follows from it (§6), and the Python simulation used to size the actuators and predict the settling schedule (§7).</w:t>
      </w:r>
    </w:p>
    <w:p>
      <w:pPr>
        <w:pStyle w:val="Heading3"/>
      </w:pPr>
      <w:r>
        <w:t>The three candidate topologies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539"/>
            <w:shd w:val="clear" w:color="auto" w:fill="DEEAF6"/>
          </w:tcPr>
          <w:p>
            <w:pPr>
              <w:spacing w:after="20" w:before="20"/>
            </w:pPr>
            <w:r/>
          </w:p>
        </w:tc>
        <w:tc>
          <w:tcPr>
            <w:tcW w:type="dxa" w:w="2360"/>
            <w:shd w:val="clear" w:color="auto" w:fill="DEEAF6"/>
          </w:tcPr>
          <w:p>
            <w:pPr>
              <w:spacing w:after="20" w:before="20"/>
            </w:pPr>
            <w:r/>
            <w:r>
              <w:rPr>
                <w:b/>
                <w:sz w:val="17"/>
              </w:rPr>
              <w:t>1 — Single wall, passive</w:t>
            </w:r>
          </w:p>
        </w:tc>
        <w:tc>
          <w:tcPr>
            <w:tcW w:type="dxa" w:w="2668"/>
            <w:shd w:val="clear" w:color="auto" w:fill="DEEAF6"/>
          </w:tcPr>
          <w:p>
            <w:pPr>
              <w:spacing w:after="20" w:before="20"/>
            </w:pPr>
            <w:r/>
            <w:r>
              <w:rPr>
                <w:b/>
                <w:sz w:val="17"/>
              </w:rPr>
              <w:t>2 — Surface-heated single box</w:t>
            </w:r>
          </w:p>
        </w:tc>
        <w:tc>
          <w:tcPr>
            <w:tcW w:type="dxa" w:w="2462"/>
            <w:shd w:val="clear" w:color="auto" w:fill="DEEAF6"/>
          </w:tcPr>
          <w:p>
            <w:pPr>
              <w:spacing w:after="20" w:before="20"/>
            </w:pPr>
            <w:r/>
            <w:r>
              <w:rPr>
                <w:b/>
                <w:sz w:val="17"/>
              </w:rPr>
              <w:t>3 — Full air-gap double jacket</w:t>
            </w:r>
          </w:p>
        </w:tc>
      </w:tr>
      <w:tr>
        <w:tc>
          <w:tcPr>
            <w:tcW w:type="dxa" w:w="1539"/>
          </w:tcPr>
          <w:p>
            <w:pPr>
              <w:spacing w:after="20" w:before="20"/>
            </w:pPr>
            <w:r/>
            <w:r>
              <w:rPr>
                <w:sz w:val="17"/>
              </w:rPr>
              <w:t>Shells to build</w:t>
            </w:r>
          </w:p>
        </w:tc>
        <w:tc>
          <w:tcPr>
            <w:tcW w:type="dxa" w:w="2360"/>
          </w:tcPr>
          <w:p>
            <w:pPr>
              <w:spacing w:after="20" w:before="20"/>
            </w:pPr>
            <w:r/>
            <w:r>
              <w:rPr>
                <w:sz w:val="17"/>
              </w:rPr>
              <w:t>1</w:t>
            </w:r>
          </w:p>
        </w:tc>
        <w:tc>
          <w:tcPr>
            <w:tcW w:type="dxa" w:w="2668"/>
          </w:tcPr>
          <w:p>
            <w:pPr>
              <w:spacing w:after="20" w:before="20"/>
            </w:pPr>
            <w:r/>
            <w:r>
              <w:rPr>
                <w:sz w:val="17"/>
              </w:rPr>
              <w:t>1</w:t>
            </w:r>
          </w:p>
        </w:tc>
        <w:tc>
          <w:tcPr>
            <w:tcW w:type="dxa" w:w="2462"/>
          </w:tcPr>
          <w:p>
            <w:pPr>
              <w:spacing w:after="20" w:before="20"/>
            </w:pPr>
            <w:r/>
            <w:r>
              <w:rPr>
                <w:sz w:val="17"/>
              </w:rPr>
              <w:t>2, nested</w:t>
            </w:r>
          </w:p>
        </w:tc>
      </w:tr>
      <w:tr>
        <w:tc>
          <w:tcPr>
            <w:tcW w:type="dxa" w:w="1539"/>
          </w:tcPr>
          <w:p>
            <w:pPr>
              <w:spacing w:after="20" w:before="20"/>
            </w:pPr>
            <w:r/>
            <w:r>
              <w:rPr>
                <w:sz w:val="17"/>
              </w:rPr>
              <w:t>Guard actuator</w:t>
            </w:r>
          </w:p>
        </w:tc>
        <w:tc>
          <w:tcPr>
            <w:tcW w:type="dxa" w:w="2360"/>
          </w:tcPr>
          <w:p>
            <w:pPr>
              <w:spacing w:after="20" w:before="20"/>
            </w:pPr>
            <w:r/>
            <w:r>
              <w:rPr>
                <w:sz w:val="17"/>
              </w:rPr>
              <w:t>None — insulation only</w:t>
            </w:r>
          </w:p>
        </w:tc>
        <w:tc>
          <w:tcPr>
            <w:tcW w:type="dxa" w:w="2668"/>
          </w:tcPr>
          <w:p>
            <w:pPr>
              <w:spacing w:after="20" w:before="20"/>
            </w:pPr>
            <w:r/>
            <w:r>
              <w:rPr>
                <w:sz w:val="17"/>
              </w:rPr>
              <w:t>Copper-foil strip heater bonded to the outer surface, PI-controlled</w:t>
            </w:r>
          </w:p>
        </w:tc>
        <w:tc>
          <w:tcPr>
            <w:tcW w:type="dxa" w:w="2462"/>
          </w:tcPr>
          <w:p>
            <w:pPr>
              <w:spacing w:after="20" w:before="20"/>
            </w:pPr>
            <w:r/>
            <w:r>
              <w:rPr>
                <w:sz w:val="17"/>
              </w:rPr>
              <w:t>Heated and fanned air gap between the shells, PI-controlled</w:t>
            </w:r>
          </w:p>
        </w:tc>
      </w:tr>
      <w:tr>
        <w:tc>
          <w:tcPr>
            <w:tcW w:type="dxa" w:w="1539"/>
          </w:tcPr>
          <w:p>
            <w:pPr>
              <w:spacing w:after="20" w:before="20"/>
            </w:pPr>
            <w:r/>
            <w:r>
              <w:rPr>
                <w:sz w:val="17"/>
              </w:rPr>
              <w:t>Guard sensing</w:t>
            </w:r>
          </w:p>
        </w:tc>
        <w:tc>
          <w:tcPr>
            <w:tcW w:type="dxa" w:w="2360"/>
          </w:tcPr>
          <w:p>
            <w:pPr>
              <w:spacing w:after="20" w:before="20"/>
            </w:pPr>
            <w:r/>
            <w:r>
              <w:rPr>
                <w:sz w:val="17"/>
              </w:rPr>
              <w:t>n/a</w:t>
            </w:r>
          </w:p>
        </w:tc>
        <w:tc>
          <w:tcPr>
            <w:tcW w:type="dxa" w:w="2668"/>
          </w:tcPr>
          <w:p>
            <w:pPr>
              <w:spacing w:after="20" w:before="20"/>
            </w:pPr>
            <w:r/>
            <w:r>
              <w:rPr>
                <w:sz w:val="17"/>
              </w:rPr>
              <w:t>Surface RTDs, ~1 mm under the skin</w:t>
            </w:r>
          </w:p>
        </w:tc>
        <w:tc>
          <w:tcPr>
            <w:tcW w:type="dxa" w:w="2462"/>
          </w:tcPr>
          <w:p>
            <w:pPr>
              <w:spacing w:after="20" w:before="20"/>
            </w:pPr>
            <w:r/>
            <w:r>
              <w:rPr>
                <w:sz w:val="17"/>
              </w:rPr>
              <w:t>Gap-air temperature T</w:t>
            </w:r>
            <w:r>
              <w:rPr>
                <w:sz w:val="17"/>
                <w:vertAlign w:val="subscript"/>
              </w:rPr>
              <w:t>e</w:t>
            </w:r>
            <w:r>
              <w:rPr>
                <w:sz w:val="17"/>
              </w:rPr>
              <w:t xml:space="preserve"> vs chamber air T</w:t>
            </w:r>
            <w:r>
              <w:rPr>
                <w:sz w:val="17"/>
                <w:vertAlign w:val="subscript"/>
              </w:rPr>
              <w:t>i</w:t>
            </w:r>
          </w:p>
        </w:tc>
      </w:tr>
      <w:tr>
        <w:tc>
          <w:tcPr>
            <w:tcW w:type="dxa" w:w="1539"/>
          </w:tcPr>
          <w:p>
            <w:pPr>
              <w:spacing w:after="20" w:before="20"/>
            </w:pPr>
            <w:r/>
            <w:r>
              <w:rPr>
                <w:sz w:val="17"/>
              </w:rPr>
              <w:t>Feedthroughs cross</w:t>
            </w:r>
          </w:p>
        </w:tc>
        <w:tc>
          <w:tcPr>
            <w:tcW w:type="dxa" w:w="2360"/>
          </w:tcPr>
          <w:p>
            <w:pPr>
              <w:spacing w:after="20" w:before="20"/>
            </w:pPr>
            <w:r/>
            <w:r>
              <w:rPr>
                <w:sz w:val="17"/>
              </w:rPr>
              <w:t>1 wall</w:t>
            </w:r>
          </w:p>
        </w:tc>
        <w:tc>
          <w:tcPr>
            <w:tcW w:type="dxa" w:w="2668"/>
          </w:tcPr>
          <w:p>
            <w:pPr>
              <w:spacing w:after="20" w:before="20"/>
            </w:pPr>
            <w:r/>
            <w:r>
              <w:rPr>
                <w:sz w:val="17"/>
              </w:rPr>
              <w:t>1 wall</w:t>
            </w:r>
          </w:p>
        </w:tc>
        <w:tc>
          <w:tcPr>
            <w:tcW w:type="dxa" w:w="2462"/>
          </w:tcPr>
          <w:p>
            <w:pPr>
              <w:spacing w:after="20" w:before="20"/>
            </w:pPr>
            <w:r/>
            <w:r>
              <w:rPr>
                <w:sz w:val="17"/>
              </w:rPr>
              <w:t>2 walls</w:t>
            </w:r>
          </w:p>
        </w:tc>
      </w:tr>
      <w:tr>
        <w:tc>
          <w:tcPr>
            <w:tcW w:type="dxa" w:w="1539"/>
          </w:tcPr>
          <w:p>
            <w:pPr>
              <w:spacing w:after="20" w:before="20"/>
            </w:pPr>
            <w:r/>
            <w:r>
              <w:rPr>
                <w:sz w:val="17"/>
              </w:rPr>
              <w:t>Wall leak</w:t>
            </w:r>
          </w:p>
        </w:tc>
        <w:tc>
          <w:tcPr>
            <w:tcW w:type="dxa" w:w="2360"/>
          </w:tcPr>
          <w:p>
            <w:pPr>
              <w:spacing w:after="20" w:before="20"/>
            </w:pPr>
            <w:r/>
            <w:r>
              <w:rPr>
                <w:sz w:val="17"/>
              </w:rPr>
              <w:t>Slowed, never cancelled; drifts with ambient</w:t>
            </w:r>
          </w:p>
        </w:tc>
        <w:tc>
          <w:tcPr>
            <w:tcW w:type="dxa" w:w="2668"/>
          </w:tcPr>
          <w:p>
            <w:pPr>
              <w:spacing w:after="20" w:before="20"/>
            </w:pPr>
            <w:r/>
            <w:r>
              <w:rPr>
                <w:sz w:val="17"/>
              </w:rPr>
              <w:t>Actively nulled at the wall surface</w:t>
            </w:r>
          </w:p>
        </w:tc>
        <w:tc>
          <w:tcPr>
            <w:tcW w:type="dxa" w:w="2462"/>
          </w:tcPr>
          <w:p>
            <w:pPr>
              <w:spacing w:after="20" w:before="20"/>
            </w:pPr>
            <w:r/>
            <w:r>
              <w:rPr>
                <w:sz w:val="17"/>
              </w:rPr>
              <w:t>Actively nulled across the whole inner wall</w:t>
            </w:r>
          </w:p>
        </w:tc>
      </w:tr>
      <w:tr>
        <w:tc>
          <w:tcPr>
            <w:tcW w:type="dxa" w:w="1539"/>
          </w:tcPr>
          <w:p>
            <w:pPr>
              <w:spacing w:after="20" w:before="20"/>
            </w:pPr>
            <w:r/>
            <w:r>
              <w:rPr>
                <w:sz w:val="17"/>
              </w:rPr>
              <w:t>Demonstrated accuracy</w:t>
            </w:r>
          </w:p>
        </w:tc>
        <w:tc>
          <w:tcPr>
            <w:tcW w:type="dxa" w:w="2360"/>
          </w:tcPr>
          <w:p>
            <w:pPr>
              <w:spacing w:after="20" w:before="20"/>
            </w:pPr>
            <w:r/>
            <w:r>
              <w:rPr>
                <w:sz w:val="17"/>
              </w:rPr>
              <w:t>±1.5 %, worsening with power (RD-03)</w:t>
            </w:r>
          </w:p>
        </w:tc>
        <w:tc>
          <w:tcPr>
            <w:tcW w:type="dxa" w:w="2668"/>
          </w:tcPr>
          <w:p>
            <w:pPr>
              <w:spacing w:after="20" w:before="20"/>
            </w:pPr>
            <w:r/>
            <w:r>
              <w:rPr>
                <w:sz w:val="17"/>
              </w:rPr>
              <w:t>&lt; 1 % over 20–100 W (RD-02)</w:t>
            </w:r>
          </w:p>
        </w:tc>
        <w:tc>
          <w:tcPr>
            <w:tcW w:type="dxa" w:w="2462"/>
          </w:tcPr>
          <w:p>
            <w:pPr>
              <w:spacing w:after="20" w:before="20"/>
            </w:pPr>
            <w:r/>
            <w:r>
              <w:rPr>
                <w:sz w:val="17"/>
              </w:rPr>
              <w:t>±0.4 W flat (RD-01)</w:t>
            </w:r>
          </w:p>
        </w:tc>
      </w:tr>
      <w:tr>
        <w:tc>
          <w:tcPr>
            <w:tcW w:type="dxa" w:w="1539"/>
          </w:tcPr>
          <w:p>
            <w:pPr>
              <w:spacing w:after="20" w:before="20"/>
            </w:pPr>
            <w:r/>
            <w:r>
              <w:rPr>
                <w:sz w:val="17"/>
              </w:rPr>
              <w:t>Estimated cost</w:t>
            </w:r>
          </w:p>
        </w:tc>
        <w:tc>
          <w:tcPr>
            <w:tcW w:type="dxa" w:w="2360"/>
          </w:tcPr>
          <w:p>
            <w:pPr>
              <w:spacing w:after="20" w:before="20"/>
            </w:pPr>
            <w:r/>
            <w:r>
              <w:rPr>
                <w:sz w:val="17"/>
              </w:rPr>
              <w:t>Lowest</w:t>
            </w:r>
          </w:p>
        </w:tc>
        <w:tc>
          <w:tcPr>
            <w:tcW w:type="dxa" w:w="2668"/>
          </w:tcPr>
          <w:p>
            <w:pPr>
              <w:spacing w:after="20" w:before="20"/>
            </w:pPr>
            <w:r/>
            <w:r>
              <w:rPr>
                <w:sz w:val="17"/>
              </w:rPr>
              <w:t>≈ €620–1 020</w:t>
            </w:r>
          </w:p>
        </w:tc>
        <w:tc>
          <w:tcPr>
            <w:tcW w:type="dxa" w:w="2462"/>
          </w:tcPr>
          <w:p>
            <w:pPr>
              <w:spacing w:after="20" w:before="20"/>
            </w:pPr>
            <w:r/>
            <w:r>
              <w:rPr>
                <w:sz w:val="17"/>
              </w:rPr>
              <w:t>≈ €710–1 150</w:t>
            </w:r>
          </w:p>
        </w:tc>
      </w:tr>
      <w:tr>
        <w:tc>
          <w:tcPr>
            <w:tcW w:type="dxa" w:w="1539"/>
          </w:tcPr>
          <w:p>
            <w:pPr>
              <w:spacing w:after="20" w:before="20"/>
            </w:pPr>
            <w:r/>
            <w:r>
              <w:rPr>
                <w:sz w:val="17"/>
              </w:rPr>
              <w:t>Main risk</w:t>
            </w:r>
          </w:p>
        </w:tc>
        <w:tc>
          <w:tcPr>
            <w:tcW w:type="dxa" w:w="2360"/>
          </w:tcPr>
          <w:p>
            <w:pPr>
              <w:spacing w:after="20" w:before="20"/>
            </w:pPr>
            <w:r/>
            <w:r>
              <w:rPr>
                <w:sz w:val="17"/>
              </w:rPr>
              <w:t>Accuracy — will not meet ±1 W</w:t>
            </w:r>
          </w:p>
        </w:tc>
        <w:tc>
          <w:tcPr>
            <w:tcW w:type="dxa" w:w="2668"/>
          </w:tcPr>
          <w:p>
            <w:pPr>
              <w:spacing w:after="20" w:before="20"/>
            </w:pPr>
            <w:r/>
            <w:r>
              <w:rPr>
                <w:sz w:val="17"/>
              </w:rPr>
              <w:t>Heater and temperature uniformity over a small box</w:t>
            </w:r>
          </w:p>
        </w:tc>
        <w:tc>
          <w:tcPr>
            <w:tcW w:type="dxa" w:w="2462"/>
          </w:tcPr>
          <w:p>
            <w:pPr>
              <w:spacing w:after="20" w:before="20"/>
            </w:pPr>
            <w:r/>
            <w:r>
              <w:rPr>
                <w:sz w:val="17"/>
              </w:rPr>
              <w:t>Build effort: a second shell to fabricate and seal</w:t>
            </w:r>
          </w:p>
        </w:tc>
      </w:tr>
    </w:tbl>
    <w:p>
      <w:pPr>
        <w:spacing w:before="60" w:after="200"/>
        <w:jc w:val="left"/>
      </w:pPr>
      <w:r>
        <w:rPr>
          <w:i/>
          <w:sz w:val="18"/>
        </w:rPr>
        <w:t>Table 5. The three topologies. The measurement core — water loop, flow meter, ΔT pair, in-chamber radiator and fans — is identical in all three and costs about €490–750; the whole difference is the guard.</w:t>
      </w:r>
    </w:p>
    <w:p>
      <w:pPr>
        <w:pStyle w:val="Heading3"/>
      </w:pPr>
      <w:r>
        <w:t>How the shortlist was reached</w:t>
      </w:r>
    </w:p>
    <w:p>
      <w:pPr>
        <w:spacing w:after="120"/>
      </w:pPr>
      <w:r>
        <w:t>The study did not start with these three. The first pass, before the literature review, compared four configurations against cost, build time, thermal time constant and accuracy:</w:t>
      </w:r>
    </w:p>
    <w:tbl>
      <w:tblPr>
        <w:tblStyle w:val="TableGrid"/>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1174"/>
            <w:shd w:val="clear" w:color="auto" w:fill="DEEAF6"/>
          </w:tcPr>
          <w:p>
            <w:pPr>
              <w:spacing w:after="20" w:before="20"/>
            </w:pPr>
            <w:r/>
          </w:p>
        </w:tc>
        <w:tc>
          <w:tcPr>
            <w:tcW w:type="dxa" w:w="1715"/>
            <w:shd w:val="clear" w:color="auto" w:fill="DEEAF6"/>
          </w:tcPr>
          <w:p>
            <w:pPr>
              <w:spacing w:after="20" w:before="20"/>
            </w:pPr>
            <w:r/>
            <w:r>
              <w:rPr>
                <w:b/>
                <w:sz w:val="17"/>
              </w:rPr>
              <w:t>A — Open, low-cost</w:t>
            </w:r>
          </w:p>
        </w:tc>
        <w:tc>
          <w:tcPr>
            <w:tcW w:type="dxa" w:w="1986"/>
            <w:shd w:val="clear" w:color="auto" w:fill="DEEAF6"/>
          </w:tcPr>
          <w:p>
            <w:pPr>
              <w:spacing w:after="20" w:before="20"/>
            </w:pPr>
            <w:r/>
            <w:r>
              <w:rPr>
                <w:b/>
                <w:sz w:val="17"/>
              </w:rPr>
              <w:t>B — Closed, passive guard</w:t>
            </w:r>
          </w:p>
        </w:tc>
        <w:tc>
          <w:tcPr>
            <w:tcW w:type="dxa" w:w="2077"/>
            <w:shd w:val="clear" w:color="auto" w:fill="DEEAF6"/>
          </w:tcPr>
          <w:p>
            <w:pPr>
              <w:spacing w:after="20" w:before="20"/>
            </w:pPr>
            <w:r/>
            <w:r>
              <w:rPr>
                <w:b/>
                <w:sz w:val="17"/>
              </w:rPr>
              <w:t>C — Closed, active guard</w:t>
            </w:r>
          </w:p>
        </w:tc>
        <w:tc>
          <w:tcPr>
            <w:tcW w:type="dxa" w:w="2077"/>
            <w:shd w:val="clear" w:color="auto" w:fill="DEEAF6"/>
          </w:tcPr>
          <w:p>
            <w:pPr>
              <w:spacing w:after="20" w:before="20"/>
            </w:pPr>
            <w:r/>
            <w:r>
              <w:rPr>
                <w:b/>
                <w:sz w:val="17"/>
              </w:rPr>
              <w:t>D — Repurposed chamber</w:t>
            </w:r>
          </w:p>
        </w:tc>
      </w:tr>
      <w:tr>
        <w:tc>
          <w:tcPr>
            <w:tcW w:type="dxa" w:w="1174"/>
          </w:tcPr>
          <w:p>
            <w:pPr>
              <w:spacing w:after="20" w:before="20"/>
            </w:pPr>
            <w:r/>
            <w:r>
              <w:rPr>
                <w:sz w:val="17"/>
              </w:rPr>
              <w:t>Readout</w:t>
            </w:r>
          </w:p>
        </w:tc>
        <w:tc>
          <w:tcPr>
            <w:tcW w:type="dxa" w:w="1715"/>
          </w:tcPr>
          <w:p>
            <w:pPr>
              <w:spacing w:after="20" w:before="20"/>
            </w:pPr>
            <w:r/>
            <w:r>
              <w:rPr>
                <w:sz w:val="17"/>
              </w:rPr>
              <w:t>Single-pass air, ṁ·c</w:t>
            </w:r>
            <w:r>
              <w:rPr>
                <w:sz w:val="17"/>
                <w:vertAlign w:val="subscript"/>
              </w:rPr>
              <w:t>p</w:t>
            </w:r>
            <w:r>
              <w:rPr>
                <w:sz w:val="17"/>
              </w:rPr>
              <w:t>·ΔT</w:t>
            </w:r>
          </w:p>
        </w:tc>
        <w:tc>
          <w:tcPr>
            <w:tcW w:type="dxa" w:w="1986"/>
          </w:tcPr>
          <w:p>
            <w:pPr>
              <w:spacing w:after="20" w:before="20"/>
            </w:pPr>
            <w:r/>
            <w:r>
              <w:rPr>
                <w:sz w:val="17"/>
              </w:rPr>
              <w:t>Recirculating air in an insulated box, ṁ·c</w:t>
            </w:r>
            <w:r>
              <w:rPr>
                <w:sz w:val="17"/>
                <w:vertAlign w:val="subscript"/>
              </w:rPr>
              <w:t>p</w:t>
            </w:r>
            <w:r>
              <w:rPr>
                <w:sz w:val="17"/>
              </w:rPr>
              <w:t>·ΔT</w:t>
            </w:r>
          </w:p>
        </w:tc>
        <w:tc>
          <w:tcPr>
            <w:tcW w:type="dxa" w:w="2077"/>
          </w:tcPr>
          <w:p>
            <w:pPr>
              <w:spacing w:after="20" w:before="20"/>
            </w:pPr>
            <w:r/>
            <w:r>
              <w:rPr>
                <w:sz w:val="17"/>
              </w:rPr>
              <w:t>Trim-heater power difference (substitution)</w:t>
            </w:r>
          </w:p>
        </w:tc>
        <w:tc>
          <w:tcPr>
            <w:tcW w:type="dxa" w:w="2077"/>
          </w:tcPr>
          <w:p>
            <w:pPr>
              <w:spacing w:after="20" w:before="20"/>
            </w:pPr>
            <w:r/>
            <w:r>
              <w:rPr>
                <w:sz w:val="17"/>
              </w:rPr>
              <w:t>Same as B, retrofitted into an existing enclosure</w:t>
            </w:r>
          </w:p>
        </w:tc>
      </w:tr>
      <w:tr>
        <w:tc>
          <w:tcPr>
            <w:tcW w:type="dxa" w:w="1174"/>
          </w:tcPr>
          <w:p>
            <w:pPr>
              <w:spacing w:after="20" w:before="20"/>
            </w:pPr>
            <w:r/>
            <w:r>
              <w:rPr>
                <w:sz w:val="17"/>
              </w:rPr>
              <w:t>Parts cost</w:t>
            </w:r>
          </w:p>
        </w:tc>
        <w:tc>
          <w:tcPr>
            <w:tcW w:type="dxa" w:w="1715"/>
          </w:tcPr>
          <w:p>
            <w:pPr>
              <w:spacing w:after="20" w:before="20"/>
            </w:pPr>
            <w:r/>
            <w:r>
              <w:rPr>
                <w:sz w:val="17"/>
              </w:rPr>
              <w:t>~$100–150</w:t>
            </w:r>
          </w:p>
        </w:tc>
        <w:tc>
          <w:tcPr>
            <w:tcW w:type="dxa" w:w="1986"/>
          </w:tcPr>
          <w:p>
            <w:pPr>
              <w:spacing w:after="20" w:before="20"/>
            </w:pPr>
            <w:r/>
            <w:r>
              <w:rPr>
                <w:sz w:val="17"/>
              </w:rPr>
              <w:t>~$500–950</w:t>
            </w:r>
          </w:p>
        </w:tc>
        <w:tc>
          <w:tcPr>
            <w:tcW w:type="dxa" w:w="2077"/>
          </w:tcPr>
          <w:p>
            <w:pPr>
              <w:spacing w:after="20" w:before="20"/>
            </w:pPr>
            <w:r/>
            <w:r>
              <w:rPr>
                <w:sz w:val="17"/>
              </w:rPr>
              <w:t>~$450–800</w:t>
            </w:r>
          </w:p>
        </w:tc>
        <w:tc>
          <w:tcPr>
            <w:tcW w:type="dxa" w:w="2077"/>
          </w:tcPr>
          <w:p>
            <w:pPr>
              <w:spacing w:after="20" w:before="20"/>
            </w:pPr>
            <w:r/>
            <w:r>
              <w:rPr>
                <w:sz w:val="17"/>
              </w:rPr>
              <w:t>~$530–810 if a chamber is on hand; $1 800–3 300 otherwise</w:t>
            </w:r>
          </w:p>
        </w:tc>
      </w:tr>
      <w:tr>
        <w:tc>
          <w:tcPr>
            <w:tcW w:type="dxa" w:w="1174"/>
          </w:tcPr>
          <w:p>
            <w:pPr>
              <w:spacing w:after="20" w:before="20"/>
            </w:pPr>
            <w:r/>
            <w:r>
              <w:rPr>
                <w:sz w:val="17"/>
              </w:rPr>
              <w:t>Accuracy at 150–200 W</w:t>
            </w:r>
          </w:p>
        </w:tc>
        <w:tc>
          <w:tcPr>
            <w:tcW w:type="dxa" w:w="1715"/>
          </w:tcPr>
          <w:p>
            <w:pPr>
              <w:spacing w:after="20" w:before="20"/>
            </w:pPr>
            <w:r/>
            <w:r>
              <w:rPr>
                <w:sz w:val="17"/>
              </w:rPr>
              <w:t>±10–20 %</w:t>
            </w:r>
          </w:p>
        </w:tc>
        <w:tc>
          <w:tcPr>
            <w:tcW w:type="dxa" w:w="1986"/>
          </w:tcPr>
          <w:p>
            <w:pPr>
              <w:spacing w:after="20" w:before="20"/>
            </w:pPr>
            <w:r/>
            <w:r>
              <w:rPr>
                <w:sz w:val="17"/>
              </w:rPr>
              <w:t>±3–5 %</w:t>
            </w:r>
          </w:p>
        </w:tc>
        <w:tc>
          <w:tcPr>
            <w:tcW w:type="dxa" w:w="2077"/>
          </w:tcPr>
          <w:p>
            <w:pPr>
              <w:spacing w:after="20" w:before="20"/>
            </w:pPr>
            <w:r/>
            <w:r>
              <w:rPr>
                <w:sz w:val="17"/>
              </w:rPr>
              <w:t>±1–2 %</w:t>
            </w:r>
          </w:p>
        </w:tc>
        <w:tc>
          <w:tcPr>
            <w:tcW w:type="dxa" w:w="2077"/>
          </w:tcPr>
          <w:p>
            <w:pPr>
              <w:spacing w:after="20" w:before="20"/>
            </w:pPr>
            <w:r/>
            <w:r>
              <w:rPr>
                <w:sz w:val="17"/>
              </w:rPr>
              <w:t>±3–7 %</w:t>
            </w:r>
          </w:p>
        </w:tc>
      </w:tr>
      <w:tr>
        <w:tc>
          <w:tcPr>
            <w:tcW w:type="dxa" w:w="1174"/>
          </w:tcPr>
          <w:p>
            <w:pPr>
              <w:spacing w:after="20" w:before="20"/>
            </w:pPr>
            <w:r/>
            <w:r>
              <w:rPr>
                <w:sz w:val="17"/>
              </w:rPr>
              <w:t>Accuracy at 15–30 W</w:t>
            </w:r>
          </w:p>
        </w:tc>
        <w:tc>
          <w:tcPr>
            <w:tcW w:type="dxa" w:w="1715"/>
          </w:tcPr>
          <w:p>
            <w:pPr>
              <w:spacing w:after="20" w:before="20"/>
            </w:pPr>
            <w:r/>
            <w:r>
              <w:rPr>
                <w:sz w:val="17"/>
              </w:rPr>
              <w:t>±10–20 %</w:t>
            </w:r>
          </w:p>
        </w:tc>
        <w:tc>
          <w:tcPr>
            <w:tcW w:type="dxa" w:w="1986"/>
          </w:tcPr>
          <w:p>
            <w:pPr>
              <w:spacing w:after="20" w:before="20"/>
            </w:pPr>
            <w:r/>
            <w:r>
              <w:rPr>
                <w:sz w:val="17"/>
              </w:rPr>
              <w:t>±15–30 %</w:t>
            </w:r>
          </w:p>
        </w:tc>
        <w:tc>
          <w:tcPr>
            <w:tcW w:type="dxa" w:w="2077"/>
          </w:tcPr>
          <w:p>
            <w:pPr>
              <w:spacing w:after="20" w:before="20"/>
            </w:pPr>
            <w:r/>
            <w:r>
              <w:rPr>
                <w:sz w:val="17"/>
              </w:rPr>
              <w:t>±1–2 %</w:t>
            </w:r>
          </w:p>
        </w:tc>
        <w:tc>
          <w:tcPr>
            <w:tcW w:type="dxa" w:w="2077"/>
          </w:tcPr>
          <w:p>
            <w:pPr>
              <w:spacing w:after="20" w:before="20"/>
            </w:pPr>
            <w:r/>
            <w:r>
              <w:rPr>
                <w:sz w:val="17"/>
              </w:rPr>
              <w:t>±10–20 %</w:t>
            </w:r>
          </w:p>
        </w:tc>
      </w:tr>
      <w:tr>
        <w:tc>
          <w:tcPr>
            <w:tcW w:type="dxa" w:w="1174"/>
          </w:tcPr>
          <w:p>
            <w:pPr>
              <w:spacing w:after="20" w:before="20"/>
            </w:pPr>
            <w:r/>
            <w:r>
              <w:rPr>
                <w:sz w:val="17"/>
              </w:rPr>
              <w:t>Build effort</w:t>
            </w:r>
          </w:p>
        </w:tc>
        <w:tc>
          <w:tcPr>
            <w:tcW w:type="dxa" w:w="1715"/>
          </w:tcPr>
          <w:p>
            <w:pPr>
              <w:spacing w:after="20" w:before="20"/>
            </w:pPr>
            <w:r/>
            <w:r>
              <w:rPr>
                <w:sz w:val="17"/>
              </w:rPr>
              <w:t>~1 week</w:t>
            </w:r>
          </w:p>
        </w:tc>
        <w:tc>
          <w:tcPr>
            <w:tcW w:type="dxa" w:w="1986"/>
          </w:tcPr>
          <w:p>
            <w:pPr>
              <w:spacing w:after="20" w:before="20"/>
            </w:pPr>
            <w:r/>
            <w:r>
              <w:rPr>
                <w:sz w:val="17"/>
              </w:rPr>
              <w:t>~2–3 weeks</w:t>
            </w:r>
          </w:p>
        </w:tc>
        <w:tc>
          <w:tcPr>
            <w:tcW w:type="dxa" w:w="2077"/>
          </w:tcPr>
          <w:p>
            <w:pPr>
              <w:spacing w:after="20" w:before="20"/>
            </w:pPr>
            <w:r/>
            <w:r>
              <w:rPr>
                <w:sz w:val="17"/>
              </w:rPr>
              <w:t>~4–6 weeks</w:t>
            </w:r>
          </w:p>
        </w:tc>
        <w:tc>
          <w:tcPr>
            <w:tcW w:type="dxa" w:w="2077"/>
          </w:tcPr>
          <w:p>
            <w:pPr>
              <w:spacing w:after="20" w:before="20"/>
            </w:pPr>
            <w:r/>
            <w:r>
              <w:rPr>
                <w:sz w:val="17"/>
              </w:rPr>
              <w:t>~1–2 weeks if a chamber exists</w:t>
            </w:r>
          </w:p>
        </w:tc>
      </w:tr>
      <w:tr>
        <w:tc>
          <w:tcPr>
            <w:tcW w:type="dxa" w:w="1174"/>
          </w:tcPr>
          <w:p>
            <w:pPr>
              <w:spacing w:after="20" w:before="20"/>
            </w:pPr>
            <w:r/>
            <w:r>
              <w:rPr>
                <w:sz w:val="17"/>
              </w:rPr>
              <w:t>Outcome</w:t>
            </w:r>
          </w:p>
        </w:tc>
        <w:tc>
          <w:tcPr>
            <w:tcW w:type="dxa" w:w="1715"/>
          </w:tcPr>
          <w:p>
            <w:pPr>
              <w:spacing w:after="20" w:before="20"/>
            </w:pPr>
            <w:r/>
            <w:r>
              <w:rPr>
                <w:sz w:val="17"/>
              </w:rPr>
              <w:t>Kept only as a week-1 shakedown of the sensor and logging chain</w:t>
            </w:r>
          </w:p>
        </w:tc>
        <w:tc>
          <w:tcPr>
            <w:tcW w:type="dxa" w:w="1986"/>
          </w:tcPr>
          <w:p>
            <w:pPr>
              <w:spacing w:after="20" w:before="20"/>
            </w:pPr>
            <w:r/>
            <w:r>
              <w:rPr>
                <w:sz w:val="17"/>
              </w:rPr>
              <w:t>Fallback if schedule ran out</w:t>
            </w:r>
          </w:p>
        </w:tc>
        <w:tc>
          <w:tcPr>
            <w:tcW w:type="dxa" w:w="2077"/>
          </w:tcPr>
          <w:p>
            <w:pPr>
              <w:spacing w:after="20" w:before="20"/>
            </w:pPr>
            <w:r/>
            <w:r>
              <w:rPr>
                <w:b/>
                <w:sz w:val="17"/>
              </w:rPr>
              <w:t>Selected</w:t>
            </w:r>
          </w:p>
        </w:tc>
        <w:tc>
          <w:tcPr>
            <w:tcW w:type="dxa" w:w="2077"/>
          </w:tcPr>
          <w:p>
            <w:pPr>
              <w:spacing w:after="20" w:before="20"/>
            </w:pPr>
            <w:r/>
            <w:r>
              <w:rPr>
                <w:b/>
                <w:sz w:val="17"/>
              </w:rPr>
              <w:t>Ruled out on day 1</w:t>
            </w:r>
            <w:r>
              <w:rPr>
                <w:sz w:val="17"/>
              </w:rPr>
              <w:t xml:space="preserve"> — no chamber exists at Roboteq HQ to repurpose</w:t>
            </w:r>
          </w:p>
        </w:tc>
      </w:tr>
    </w:tbl>
    <w:p>
      <w:pPr>
        <w:spacing w:before="60" w:after="200"/>
        <w:jc w:val="left"/>
      </w:pPr>
      <w:r>
        <w:rPr>
          <w:i/>
          <w:sz w:val="18"/>
        </w:rPr>
        <w:t>Table 6. The original four-way trade study. Cost figures are 2026 order-of-magnitude estimates for individual components, not vendor quotes.</w:t>
      </w:r>
    </w:p>
    <w:p>
      <w:pPr>
        <w:spacing w:after="120"/>
      </w:pPr>
      <w:r>
        <w:t xml:space="preserve">Two findings decided it. First, </w:t>
      </w:r>
      <w:r>
        <w:rPr>
          <w:b/>
        </w:rPr>
        <w:t>B's weakness is at the wrong end of the range</w:t>
      </w:r>
      <w:r>
        <w:t xml:space="preserve">: a flow sensor's and an RTD pair's uncertainties are fixed in absolute terms, so at the 200 W / 10 K design point they are a small fraction of the reading, but at 15 W and 0.75 K of air-side rise the same fixed ±0.15 K is 15–20 % of the signal. Relative accuracy therefore degrades exactly at the high-efficiency operating points calorimetry exists to serve. Second, once the DUT's real loss range was known, </w:t>
      </w:r>
      <w:r>
        <w:rPr>
          <w:b/>
        </w:rPr>
        <w:t>C was no longer the more expensive option</w:t>
      </w:r>
      <w:r>
        <w:t xml:space="preserve"> — it removes the precision flow sensor that dominates B's cost and replaces it with foam, a resistor and a control loop. C dominated B on both cost and accuracy; the only axis where B still won was schedule risk.</w:t>
      </w:r>
    </w:p>
    <w:p>
      <w:pPr>
        <w:spacing w:after="120"/>
      </w:pPr>
      <w:r>
        <w:t xml:space="preserve">The literature review then reshaped what "active guard" means in hardware. The Bristol paper (RD-02) showed the same guard physics implemented as a heater bonded to the outside of a </w:t>
      </w:r>
      <w:r>
        <w:rPr>
          <w:b/>
        </w:rPr>
        <w:t>single</w:t>
      </w:r>
      <w:r>
        <w:t xml:space="preserve"> box, which removes the second shell — the main source of C's schedule risk. That turned the original A/B/C/D question into the three-way comparison of Table 5, all three columns of which come from real, published, measured builds rather than from estimates.</w:t>
      </w:r>
    </w:p>
    <w:p>
      <w:pPr>
        <w:pStyle w:val="Heading3"/>
      </w:pPr>
      <w:r>
        <w:t>Decision</w:t>
      </w:r>
    </w:p>
    <w:p>
      <w:pPr>
        <w:spacing w:after="120"/>
      </w:pPr>
      <w:r>
        <w:rPr>
          <w:b/>
        </w:rPr>
        <w:t>Topology 3 — the full air-gap double-jacket chamber — is the build</w:t>
      </w:r>
      <w:r>
        <w:t>, confirmed 2026-07-10 and reaffirmed 2026-07-13. Topology 2 stays documented as the fallback if the air-gap guard underperforms. The reasoning:</w:t>
      </w:r>
    </w:p>
    <w:p>
      <w:pPr>
        <w:spacing w:after="60" w:before="0"/>
        <w:ind w:left="720" w:hanging="360"/>
      </w:pPr>
      <w:r>
        <w:t>•</w:t>
        <w:tab/>
      </w:r>
      <w:r>
        <w:rPr>
          <w:b/>
        </w:rPr>
        <w:t>A passive wall cannot meet ±1 W.</w:t>
      </w:r>
      <w:r>
        <w:t xml:space="preserve"> Worked for this rig's own geometry: at a chamber 10 K above ambient and R</w:t>
      </w:r>
      <w:r>
        <w:rPr>
          <w:vertAlign w:val="subscript"/>
        </w:rPr>
        <w:t>th(in)</w:t>
      </w:r>
      <w:r>
        <w:t xml:space="preserve"> ≈ 1.8 K/W, an unguarded inner wall leaks about 5.6 W. Even a calibrated leak model leaves a residual from ambient drift, draught-driven film-coefficient variation and seam ageing — realistically ~10 % of the correction, i.e. 0.5–0.6 W, before any other error term is counted. Nair (RD-03) measured exactly this failure mode.</w:t>
      </w:r>
    </w:p>
    <w:p>
      <w:pPr>
        <w:spacing w:after="60" w:before="0"/>
        <w:ind w:left="720" w:hanging="360"/>
      </w:pPr>
      <w:r>
        <w:t>•</w:t>
        <w:tab/>
      </w:r>
      <w:r>
        <w:rPr>
          <w:b/>
        </w:rPr>
        <w:t>The ETH air-gap variant is the best-characterised precedent</w:t>
      </w:r>
      <w:r>
        <w:t xml:space="preserve"> at our accuracy target and is the one whose schematic, criterion and preheat trick the design already follows.</w:t>
      </w:r>
    </w:p>
    <w:p>
      <w:pPr>
        <w:spacing w:after="60" w:before="0"/>
        <w:ind w:left="720" w:hanging="360"/>
      </w:pPr>
      <w:r>
        <w:t>•</w:t>
        <w:tab/>
      </w:r>
      <w:r>
        <w:rPr>
          <w:b/>
        </w:rPr>
        <w:t>Its cost premium over the surface-heated variant is small</w:t>
      </w:r>
      <w:r>
        <w:t xml:space="preserve"> (≈ €90–130) and its main risk — fabricating and sealing a second shell — is largely a purchasing question, since insulated foam boxes are a commodity product that can be ordered close to size rather than built from sheet stock.</w:t>
      </w:r>
    </w:p>
    <w:p>
      <w:pPr>
        <w:spacing w:after="60" w:before="0"/>
        <w:ind w:left="720" w:hanging="360"/>
      </w:pPr>
      <w:r>
        <w:t>•</w:t>
        <w:tab/>
      </w:r>
      <w:r>
        <w:rPr>
          <w:b/>
        </w:rPr>
        <w:t>Uniformity risk favours the air gap on a box this size.</w:t>
      </w:r>
      <w:r>
        <w:t xml:space="preserve"> The Bristol surface heater was validated on a 525 × 305 × 195 mm box with all faces driven in series, and per-face control is listed there as future work. On a smaller chamber, a stirred air gap distributes the guard's heat for us, which a bonded foil heater does not.</w:t>
      </w:r>
    </w:p>
    <w:p>
      <w:pPr>
        <w:pStyle w:val="Heading2"/>
      </w:pPr>
      <w:r>
        <w:t>Selected topology — the double-jacket chamber</w:t>
      </w:r>
    </w:p>
    <w:p>
      <w:pPr>
        <w:pStyle w:val="Heading3"/>
      </w:pPr>
      <w:r>
        <w:t>Architecture</w:t>
      </w:r>
    </w:p>
    <w:p>
      <w:pPr>
        <w:spacing w:after="120"/>
      </w:pPr>
      <w:r>
        <w:t>Two nested insulated shells. The inner chamber holds the DUT, the water-loop pickup radiator, circulation fans, a preheat/calibration resistor and the chamber temperature sensor. The gap between the shells has its own heater and fan and is servoed to track the inner chamber. The water loop crosses both walls and is the only intended exit for the DUT's heat.</w:t>
      </w:r>
    </w:p>
    <w:p>
      <w:pPr>
        <w:spacing w:after="0" w:before="0" w:line="240" w:lineRule="auto"/>
        <w:ind w:left="288"/>
      </w:pPr>
      <w:r>
        <w:rPr>
          <w:rFonts w:ascii="Consolas" w:hAnsi="Consolas"/>
          <w:sz w:val="17"/>
        </w:rPr>
        <w:t xml:space="preserve">        Ta — room / ambient, free to drift</w:t>
      </w:r>
    </w:p>
    <w:p>
      <w:pPr>
        <w:spacing w:after="0" w:before="0" w:line="240" w:lineRule="auto"/>
        <w:ind w:left="288"/>
      </w:pPr>
      <w:r>
        <w:rPr>
          <w:rFonts w:ascii="Consolas" w:hAnsi="Consolas"/>
          <w:sz w:val="17"/>
        </w:rPr>
        <w:t xml:space="preserve">  ┌────────────────────────────────────────────────────────────┐</w:t>
      </w:r>
    </w:p>
    <w:p>
      <w:pPr>
        <w:spacing w:after="0" w:before="0" w:line="240" w:lineRule="auto"/>
        <w:ind w:left="288"/>
      </w:pPr>
      <w:r>
        <w:rPr>
          <w:rFonts w:ascii="Consolas" w:hAnsi="Consolas"/>
          <w:sz w:val="17"/>
        </w:rPr>
        <w:t xml:space="preserve">  │  Outer shell — insulated, heated and fanned                │</w:t>
      </w:r>
    </w:p>
    <w:p>
      <w:pPr>
        <w:spacing w:after="0" w:before="0" w:line="240" w:lineRule="auto"/>
        <w:ind w:left="288"/>
      </w:pPr>
      <w:r>
        <w:rPr>
          <w:rFonts w:ascii="Consolas" w:hAnsi="Consolas"/>
          <w:sz w:val="17"/>
        </w:rPr>
        <w:t xml:space="preserve">  │  air gap servoed to track the inner chamber                │</w:t>
      </w:r>
    </w:p>
    <w:p>
      <w:pPr>
        <w:spacing w:after="0" w:before="0" w:line="240" w:lineRule="auto"/>
        <w:ind w:left="288"/>
      </w:pPr>
      <w:r>
        <w:rPr>
          <w:rFonts w:ascii="Consolas" w:hAnsi="Consolas"/>
          <w:sz w:val="17"/>
        </w:rPr>
        <w:t xml:space="preserve">  │                                                            │</w:t>
      </w:r>
    </w:p>
    <w:p>
      <w:pPr>
        <w:spacing w:after="0" w:before="0" w:line="240" w:lineRule="auto"/>
        <w:ind w:left="288"/>
      </w:pPr>
      <w:r>
        <w:rPr>
          <w:rFonts w:ascii="Consolas" w:hAnsi="Consolas"/>
          <w:sz w:val="17"/>
        </w:rPr>
        <w:t xml:space="preserve">  │        Te — gap air        Pheater(e), Pfan(e)             │</w:t>
      </w:r>
    </w:p>
    <w:p>
      <w:pPr>
        <w:spacing w:after="0" w:before="0" w:line="240" w:lineRule="auto"/>
        <w:ind w:left="288"/>
      </w:pPr>
      <w:r>
        <w:rPr>
          <w:rFonts w:ascii="Consolas" w:hAnsi="Consolas"/>
          <w:sz w:val="17"/>
        </w:rPr>
        <w:t xml:space="preserve">  │   ┌────────────────────────────────────────────────┐       │</w:t>
      </w:r>
    </w:p>
    <w:p>
      <w:pPr>
        <w:spacing w:after="0" w:before="0" w:line="240" w:lineRule="auto"/>
        <w:ind w:left="288"/>
      </w:pPr>
      <w:r>
        <w:rPr>
          <w:rFonts w:ascii="Consolas" w:hAnsi="Consolas"/>
          <w:sz w:val="17"/>
        </w:rPr>
        <w:t xml:space="preserve">  │   │  Inner chamber                    B1           │       │</w:t>
      </w:r>
    </w:p>
    <w:p>
      <w:pPr>
        <w:spacing w:after="0" w:before="0" w:line="240" w:lineRule="auto"/>
        <w:ind w:left="288"/>
      </w:pPr>
      <w:r>
        <w:rPr>
          <w:rFonts w:ascii="Consolas" w:hAnsi="Consolas"/>
          <w:sz w:val="17"/>
        </w:rPr>
        <w:t xml:space="preserve">  │   │                                                │       │</w:t>
      </w:r>
    </w:p>
    <w:p>
      <w:pPr>
        <w:spacing w:after="0" w:before="0" w:line="240" w:lineRule="auto"/>
        <w:ind w:left="288"/>
      </w:pPr>
      <w:r>
        <w:rPr>
          <w:rFonts w:ascii="Consolas" w:hAnsi="Consolas"/>
          <w:sz w:val="17"/>
        </w:rPr>
        <w:t xml:space="preserve">  │   │   water in  ──►[ pickup radiator ]──► water out│       │</w:t>
      </w:r>
    </w:p>
    <w:p>
      <w:pPr>
        <w:spacing w:after="0" w:before="0" w:line="240" w:lineRule="auto"/>
        <w:ind w:left="288"/>
      </w:pPr>
      <w:r>
        <w:rPr>
          <w:rFonts w:ascii="Consolas" w:hAnsi="Consolas"/>
          <w:sz w:val="17"/>
        </w:rPr>
        <w:t xml:space="preserve">  │   │                        ▲                       │       │</w:t>
      </w:r>
    </w:p>
    <w:p>
      <w:pPr>
        <w:spacing w:after="0" w:before="0" w:line="240" w:lineRule="auto"/>
        <w:ind w:left="288"/>
      </w:pPr>
      <w:r>
        <w:rPr>
          <w:rFonts w:ascii="Consolas" w:hAnsi="Consolas"/>
          <w:sz w:val="17"/>
        </w:rPr>
        <w:t xml:space="preserve">  │   │                     [ DUT ] ──► Ploss          │       │</w:t>
      </w:r>
    </w:p>
    <w:p>
      <w:pPr>
        <w:spacing w:after="0" w:before="0" w:line="240" w:lineRule="auto"/>
        <w:ind w:left="288"/>
      </w:pPr>
      <w:r>
        <w:rPr>
          <w:rFonts w:ascii="Consolas" w:hAnsi="Consolas"/>
          <w:sz w:val="17"/>
        </w:rPr>
        <w:t xml:space="preserve">  │   │                                                │       │</w:t>
      </w:r>
    </w:p>
    <w:p>
      <w:pPr>
        <w:spacing w:after="0" w:before="0" w:line="240" w:lineRule="auto"/>
        <w:ind w:left="288"/>
      </w:pPr>
      <w:r>
        <w:rPr>
          <w:rFonts w:ascii="Consolas" w:hAnsi="Consolas"/>
          <w:sz w:val="17"/>
        </w:rPr>
        <w:t xml:space="preserve">  │   │   Ti — chamber air     Pheater(i), Pfan(i)     │       │</w:t>
      </w:r>
    </w:p>
    <w:p>
      <w:pPr>
        <w:spacing w:after="0" w:before="0" w:line="240" w:lineRule="auto"/>
        <w:ind w:left="288"/>
      </w:pPr>
      <w:r>
        <w:rPr>
          <w:rFonts w:ascii="Consolas" w:hAnsi="Consolas"/>
          <w:sz w:val="17"/>
        </w:rPr>
        <w:t xml:space="preserve">  │   └────────────────────────────────────────────────┘       │</w:t>
      </w:r>
    </w:p>
    <w:p>
      <w:pPr>
        <w:spacing w:after="0" w:before="0" w:line="240" w:lineRule="auto"/>
        <w:ind w:left="288"/>
      </w:pPr>
      <w:r>
        <w:rPr>
          <w:rFonts w:ascii="Consolas" w:hAnsi="Consolas"/>
          <w:sz w:val="17"/>
        </w:rPr>
        <w:t xml:space="preserve">  │      inner wall:  Rth(in) = d /(λ·A) ,  Ggap               │</w:t>
      </w:r>
    </w:p>
    <w:p>
      <w:pPr>
        <w:spacing w:after="0" w:before="0" w:line="240" w:lineRule="auto"/>
        <w:ind w:left="288"/>
      </w:pPr>
      <w:r>
        <w:rPr>
          <w:rFonts w:ascii="Consolas" w:hAnsi="Consolas"/>
          <w:sz w:val="17"/>
        </w:rPr>
        <w:t xml:space="preserve">  └────────────────────────────────────────────────────────────┘</w:t>
      </w:r>
    </w:p>
    <w:p>
      <w:pPr>
        <w:spacing w:after="160" w:before="0" w:line="240" w:lineRule="auto"/>
        <w:ind w:left="288"/>
      </w:pPr>
      <w:r>
        <w:rPr>
          <w:rFonts w:ascii="Consolas" w:hAnsi="Consolas"/>
          <w:sz w:val="17"/>
        </w:rPr>
        <w:t xml:space="preserve">         outer wall:  Rth(out) ,  Gout        → to ambient</w:t>
      </w:r>
    </w:p>
    <w:p>
      <w:pPr>
        <w:spacing w:after="120"/>
      </w:pPr>
      <w:r>
        <w:t xml:space="preserve">The labelling follows RD-03 Fig. 3.4 exactly: </w:t>
      </w:r>
      <w:r>
        <w:rPr>
          <w:b/>
        </w:rPr>
        <w:t>T</w:t>
      </w:r>
      <w:r>
        <w:rPr>
          <w:b/>
          <w:vertAlign w:val="subscript"/>
        </w:rPr>
        <w:t>i</w:t>
      </w:r>
      <w:r>
        <w:t xml:space="preserve"> inner chamber, </w:t>
      </w:r>
      <w:r>
        <w:rPr>
          <w:b/>
        </w:rPr>
        <w:t>T</w:t>
      </w:r>
      <w:r>
        <w:rPr>
          <w:b/>
          <w:vertAlign w:val="subscript"/>
        </w:rPr>
        <w:t>e</w:t>
      </w:r>
      <w:r>
        <w:t xml:space="preserve"> gap air, </w:t>
      </w:r>
      <w:r>
        <w:rPr>
          <w:b/>
        </w:rPr>
        <w:t>T</w:t>
      </w:r>
      <w:r>
        <w:rPr>
          <w:b/>
          <w:vertAlign w:val="subscript"/>
        </w:rPr>
        <w:t>a</w:t>
      </w:r>
      <w:r>
        <w:t xml:space="preserve"> ambient, with a heater and a fan on each side of the inner wall. Three boundaries matter, and every equation in §5 is a first-law balance across one of them:</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050"/>
            <w:shd w:val="clear" w:color="auto" w:fill="DEEAF6"/>
          </w:tcPr>
          <w:p>
            <w:pPr>
              <w:spacing w:after="20" w:before="20"/>
            </w:pPr>
            <w:r/>
            <w:r>
              <w:rPr>
                <w:b/>
                <w:sz w:val="18"/>
              </w:rPr>
              <w:t>Boundary</w:t>
            </w:r>
          </w:p>
        </w:tc>
        <w:tc>
          <w:tcPr>
            <w:tcW w:type="dxa" w:w="2730"/>
            <w:shd w:val="clear" w:color="auto" w:fill="DEEAF6"/>
          </w:tcPr>
          <w:p>
            <w:pPr>
              <w:spacing w:after="20" w:before="20"/>
            </w:pPr>
            <w:r/>
            <w:r>
              <w:rPr>
                <w:b/>
                <w:sz w:val="18"/>
              </w:rPr>
              <w:t>Encloses</w:t>
            </w:r>
          </w:p>
        </w:tc>
        <w:tc>
          <w:tcPr>
            <w:tcW w:type="dxa" w:w="5249"/>
            <w:shd w:val="clear" w:color="auto" w:fill="DEEAF6"/>
          </w:tcPr>
          <w:p>
            <w:pPr>
              <w:spacing w:after="20" w:before="20"/>
            </w:pPr>
            <w:r/>
            <w:r>
              <w:rPr>
                <w:b/>
                <w:sz w:val="18"/>
              </w:rPr>
              <w:t>What crosses it</w:t>
            </w:r>
          </w:p>
        </w:tc>
      </w:tr>
      <w:tr>
        <w:tc>
          <w:tcPr>
            <w:tcW w:type="dxa" w:w="1050"/>
          </w:tcPr>
          <w:p>
            <w:pPr>
              <w:spacing w:after="20" w:before="20"/>
            </w:pPr>
            <w:r/>
            <w:r>
              <w:rPr>
                <w:b/>
                <w:sz w:val="18"/>
              </w:rPr>
              <w:t>B1</w:t>
            </w:r>
          </w:p>
        </w:tc>
        <w:tc>
          <w:tcPr>
            <w:tcW w:type="dxa" w:w="2730"/>
          </w:tcPr>
          <w:p>
            <w:pPr>
              <w:spacing w:after="20" w:before="20"/>
            </w:pPr>
            <w:r/>
            <w:r>
              <w:rPr>
                <w:sz w:val="18"/>
              </w:rPr>
              <w:t>The inner-chamber contents — the measurement boundary</w:t>
            </w:r>
          </w:p>
        </w:tc>
        <w:tc>
          <w:tcPr>
            <w:tcW w:type="dxa" w:w="5249"/>
          </w:tcPr>
          <w:p>
            <w:pPr>
              <w:spacing w:after="20" w:before="20"/>
            </w:pPr>
            <w:r/>
            <w:r>
              <w:rPr>
                <w:sz w:val="18"/>
              </w:rPr>
              <w:t>In: the DUT's loss (as electricity) and the metered auxiliaries. Out: the water's enthalpy rise (measured) and the wall leak (the error term the guard deletes).</w:t>
            </w:r>
          </w:p>
        </w:tc>
      </w:tr>
      <w:tr>
        <w:tc>
          <w:tcPr>
            <w:tcW w:type="dxa" w:w="1050"/>
          </w:tcPr>
          <w:p>
            <w:pPr>
              <w:spacing w:after="20" w:before="20"/>
            </w:pPr>
            <w:r/>
            <w:r>
              <w:rPr>
                <w:b/>
                <w:sz w:val="18"/>
              </w:rPr>
              <w:t>B2</w:t>
            </w:r>
          </w:p>
        </w:tc>
        <w:tc>
          <w:tcPr>
            <w:tcW w:type="dxa" w:w="2730"/>
          </w:tcPr>
          <w:p>
            <w:pPr>
              <w:spacing w:after="20" w:before="20"/>
            </w:pPr>
            <w:r/>
            <w:r>
              <w:rPr>
                <w:sz w:val="18"/>
              </w:rPr>
              <w:t>The air gap — the guard's boundary</w:t>
            </w:r>
          </w:p>
        </w:tc>
        <w:tc>
          <w:tcPr>
            <w:tcW w:type="dxa" w:w="5249"/>
          </w:tcPr>
          <w:p>
            <w:pPr>
              <w:spacing w:after="20" w:before="20"/>
            </w:pPr>
            <w:r/>
            <w:r>
              <w:rPr>
                <w:sz w:val="18"/>
              </w:rPr>
              <w:t>In: gap heater and gap fan power, plus whatever leaks in from B1 (ideally zero). Out: loss to ambient through the outer wall — unmetered, and harmless, because it is not on the measured path.</w:t>
            </w:r>
          </w:p>
        </w:tc>
      </w:tr>
      <w:tr>
        <w:tc>
          <w:tcPr>
            <w:tcW w:type="dxa" w:w="1050"/>
          </w:tcPr>
          <w:p>
            <w:pPr>
              <w:spacing w:after="20" w:before="20"/>
            </w:pPr>
            <w:r/>
            <w:r>
              <w:rPr>
                <w:b/>
                <w:sz w:val="18"/>
              </w:rPr>
              <w:t>B3</w:t>
            </w:r>
          </w:p>
        </w:tc>
        <w:tc>
          <w:tcPr>
            <w:tcW w:type="dxa" w:w="2730"/>
          </w:tcPr>
          <w:p>
            <w:pPr>
              <w:spacing w:after="20" w:before="20"/>
            </w:pPr>
            <w:r/>
            <w:r>
              <w:rPr>
                <w:sz w:val="18"/>
              </w:rPr>
              <w:t>Any single lump inside, when its own temperature is needed</w:t>
            </w:r>
          </w:p>
        </w:tc>
        <w:tc>
          <w:tcPr>
            <w:tcW w:type="dxa" w:w="5249"/>
          </w:tcPr>
          <w:p>
            <w:pPr>
              <w:spacing w:after="20" w:before="20"/>
            </w:pPr>
            <w:r/>
            <w:r>
              <w:rPr>
                <w:sz w:val="18"/>
              </w:rPr>
              <w:t>Used for the foam wall and the DUT body only.</w:t>
            </w:r>
          </w:p>
        </w:tc>
      </w:tr>
    </w:tbl>
    <w:p>
      <w:pPr>
        <w:spacing w:before="60" w:after="200"/>
        <w:jc w:val="left"/>
      </w:pPr>
      <w:r>
        <w:rPr>
          <w:i/>
          <w:sz w:val="18"/>
        </w:rPr>
        <w:t>Table 7. The three boundaries.</w:t>
      </w:r>
    </w:p>
    <w:p>
      <w:pPr>
        <w:pStyle w:val="Heading3"/>
      </w:pPr>
      <w:r>
        <w:t>Working principle</w:t>
      </w:r>
    </w:p>
    <w:p>
      <w:pPr>
        <w:spacing w:after="60" w:before="0"/>
        <w:ind w:left="792" w:hanging="432"/>
      </w:pPr>
      <w:r>
        <w:t>1.</w:t>
        <w:tab/>
        <w:t>The DUT is mounted in the inner chamber and run at its operating point. All of its loss becomes heat inside B1.</w:t>
      </w:r>
    </w:p>
    <w:p>
      <w:pPr>
        <w:spacing w:after="60" w:before="0"/>
        <w:ind w:left="792" w:hanging="432"/>
      </w:pPr>
      <w:r>
        <w:t>2.</w:t>
        <w:tab/>
        <w:t>The guard loop drives the gap air to the chamber's own temperature, so the gradient across the inner wall goes to zero.</w:t>
      </w:r>
    </w:p>
    <w:p>
      <w:pPr>
        <w:spacing w:after="60" w:before="0"/>
        <w:ind w:left="792" w:hanging="432"/>
      </w:pPr>
      <w:r>
        <w:t>3.</w:t>
        <w:tab/>
        <w:t>With no gradient, Fourier's law gives no conduction through that wall — the leak is cancelled, not merely slowed. Radiation across the gap is nulled by the same condition.</w:t>
      </w:r>
    </w:p>
    <w:p>
      <w:pPr>
        <w:spacing w:after="60" w:before="0"/>
        <w:ind w:left="792" w:hanging="432"/>
      </w:pPr>
      <w:r>
        <w:t>4.</w:t>
        <w:tab/>
        <w:t>The only remaining exit for the heat is the water loop.</w:t>
      </w:r>
    </w:p>
    <w:p>
      <w:pPr>
        <w:spacing w:after="60" w:before="0"/>
        <w:ind w:left="792" w:hanging="432"/>
      </w:pPr>
      <w:r>
        <w:t>5.</w:t>
        <w:tab/>
        <w:t>The loss is read from the coolant's mass flow and its inlet-to-outlet temperature rise, with the metered in-chamber auxiliaries subtracted.</w:t>
      </w:r>
    </w:p>
    <w:p>
      <w:pPr>
        <w:spacing w:before="160" w:after="160"/>
        <w:jc w:val="center"/>
      </w:pPr>
      <w:r>
        <w:rPr>
          <w:rFonts w:ascii="Cambria Math" w:hAnsi="Cambria Math"/>
          <w:sz w:val="24"/>
        </w:rPr>
        <w:t>P</w:t>
      </w:r>
      <w:r>
        <w:rPr>
          <w:rFonts w:ascii="Cambria Math" w:hAnsi="Cambria Math"/>
          <w:sz w:val="24"/>
          <w:vertAlign w:val="subscript"/>
        </w:rPr>
        <w:t>loss</w:t>
      </w:r>
      <w:r>
        <w:rPr>
          <w:rFonts w:ascii="Cambria Math" w:hAnsi="Cambria Math"/>
          <w:sz w:val="24"/>
        </w:rPr>
        <w:t xml:space="preserve"> = ṁ · c</w:t>
      </w:r>
      <w:r>
        <w:rPr>
          <w:rFonts w:ascii="Cambria Math" w:hAnsi="Cambria Math"/>
          <w:sz w:val="24"/>
          <w:vertAlign w:val="subscript"/>
        </w:rPr>
        <w:t>p,w</w:t>
      </w:r>
      <w:r>
        <w:rPr>
          <w:rFonts w:ascii="Cambria Math" w:hAnsi="Cambria Math"/>
          <w:sz w:val="24"/>
        </w:rPr>
        <w:t xml:space="preserve"> · ΔT</w:t>
      </w:r>
      <w:r>
        <w:rPr>
          <w:rFonts w:ascii="Cambria Math" w:hAnsi="Cambria Math"/>
          <w:sz w:val="24"/>
          <w:vertAlign w:val="subscript"/>
        </w:rPr>
        <w:t>w</w:t>
      </w:r>
      <w:r>
        <w:rPr>
          <w:rFonts w:ascii="Cambria Math" w:hAnsi="Cambria Math"/>
          <w:sz w:val="24"/>
        </w:rPr>
        <w:t xml:space="preserve"> − P</w:t>
      </w:r>
      <w:r>
        <w:rPr>
          <w:rFonts w:ascii="Cambria Math" w:hAnsi="Cambria Math"/>
          <w:sz w:val="24"/>
          <w:vertAlign w:val="subscript"/>
        </w:rPr>
        <w:t>aux(i)</w:t>
      </w:r>
      <w:r>
        <w:rPr>
          <w:sz w:val="20"/>
        </w:rPr>
        <w:tab/>
        <w:tab/>
        <w:t>(1)</w:t>
      </w:r>
    </w:p>
    <w:p>
      <w:pPr>
        <w:spacing w:after="120"/>
      </w:pPr>
      <w:r>
        <w:t>This is the whole instrument. Everything else in this report exists either to justify the two conditions in steps 2 and 3, or to price how imperfectly they are met.</w:t>
      </w:r>
    </w:p>
    <w:p>
      <w:pPr>
        <w:pStyle w:val="Heading3"/>
      </w:pPr>
      <w:r>
        <w:t>The guard criterion and the two gates</w:t>
      </w:r>
    </w:p>
    <w:p>
      <w:pPr>
        <w:spacing w:after="120"/>
      </w:pPr>
      <w:r>
        <w:t>Equation (1) is only valid while two conditions hold. Both are checked in firmware before a point is logged, and both are stated as explicit gates.</w:t>
      </w:r>
    </w:p>
    <w:p>
      <w:pPr>
        <w:spacing w:after="120"/>
      </w:pPr>
      <w:r>
        <w:rPr>
          <w:b/>
        </w:rPr>
        <w:t>Null gate.</w:t>
      </w:r>
      <w:r>
        <w:t xml:space="preserve"> From RD-03 §3.4.2, the residual gradient allowed across the inner wall is fixed by the accuracy budget and the wall's own resistance:</w:t>
      </w:r>
    </w:p>
    <w:p>
      <w:pPr>
        <w:spacing w:before="160" w:after="160"/>
        <w:jc w:val="center"/>
      </w:pPr>
      <w:r>
        <w:rPr>
          <w:rFonts w:ascii="Cambria Math" w:hAnsi="Cambria Math"/>
          <w:sz w:val="24"/>
        </w:rPr>
        <w:t>| T</w:t>
      </w:r>
      <w:r>
        <w:rPr>
          <w:rFonts w:ascii="Cambria Math" w:hAnsi="Cambria Math"/>
          <w:sz w:val="24"/>
          <w:vertAlign w:val="subscript"/>
        </w:rPr>
        <w:t>i</w:t>
      </w:r>
      <w:r>
        <w:rPr>
          <w:rFonts w:ascii="Cambria Math" w:hAnsi="Cambria Math"/>
          <w:sz w:val="24"/>
        </w:rPr>
        <w:t xml:space="preserve"> − T</w:t>
      </w:r>
      <w:r>
        <w:rPr>
          <w:rFonts w:ascii="Cambria Math" w:hAnsi="Cambria Math"/>
          <w:sz w:val="24"/>
          <w:vertAlign w:val="subscript"/>
        </w:rPr>
        <w:t>e</w:t>
      </w:r>
      <w:r>
        <w:rPr>
          <w:rFonts w:ascii="Cambria Math" w:hAnsi="Cambria Math"/>
          <w:sz w:val="24"/>
        </w:rPr>
        <w:t xml:space="preserve"> |  &lt;  P</w:t>
      </w:r>
      <w:r>
        <w:rPr>
          <w:rFonts w:ascii="Cambria Math" w:hAnsi="Cambria Math"/>
          <w:sz w:val="24"/>
          <w:vertAlign w:val="subscript"/>
        </w:rPr>
        <w:t>acc</w:t>
      </w:r>
      <w:r>
        <w:rPr>
          <w:rFonts w:ascii="Cambria Math" w:hAnsi="Cambria Math"/>
          <w:sz w:val="24"/>
        </w:rPr>
        <w:t xml:space="preserve"> · R</w:t>
      </w:r>
      <w:r>
        <w:rPr>
          <w:rFonts w:ascii="Cambria Math" w:hAnsi="Cambria Math"/>
          <w:sz w:val="24"/>
          <w:vertAlign w:val="subscript"/>
        </w:rPr>
        <w:t>th(in)</w:t>
      </w:r>
      <w:r>
        <w:rPr>
          <w:sz w:val="20"/>
        </w:rPr>
        <w:tab/>
        <w:tab/>
        <w:t>(2)</w:t>
      </w:r>
    </w:p>
    <w:p>
      <w:pPr>
        <w:spacing w:after="120"/>
      </w:pPr>
      <w:r>
        <w:t>With P</w:t>
      </w:r>
      <w:r>
        <w:rPr>
          <w:vertAlign w:val="subscript"/>
        </w:rPr>
        <w:t>acc</w:t>
      </w:r>
      <w:r>
        <w:t xml:space="preserve"> = 1 W and the design wall (XPS, 50 mm, λ ≈ 0.035–0.04 W/m·K over ≈ 0.6 m² ⇒ G</w:t>
      </w:r>
      <w:r>
        <w:rPr>
          <w:vertAlign w:val="subscript"/>
        </w:rPr>
        <w:t>gap</w:t>
      </w:r>
      <w:r>
        <w:t xml:space="preserve"> ≈ 0.56 W/K, R</w:t>
      </w:r>
      <w:r>
        <w:rPr>
          <w:vertAlign w:val="subscript"/>
        </w:rPr>
        <w:t>th(in)</w:t>
      </w:r>
      <w:r>
        <w:t xml:space="preserve"> ≈ 1.79 K/W), the gate is </w:t>
      </w:r>
      <w:r>
        <w:rPr>
          <w:b/>
        </w:rPr>
        <w:t>|T</w:t>
      </w:r>
      <w:r>
        <w:rPr>
          <w:b/>
          <w:vertAlign w:val="subscript"/>
        </w:rPr>
        <w:t>i</w:t>
      </w:r>
      <w:r>
        <w:rPr>
          <w:b/>
        </w:rPr>
        <w:t xml:space="preserve"> − T</w:t>
      </w:r>
      <w:r>
        <w:rPr>
          <w:b/>
          <w:vertAlign w:val="subscript"/>
        </w:rPr>
        <w:t>e</w:t>
      </w:r>
      <w:r>
        <w:rPr>
          <w:b/>
        </w:rPr>
        <w:t>| &lt; 1.79 K</w:t>
      </w:r>
      <w:r>
        <w:t>. This is a design spec, not a comparison against the unguarded case: decide how accurate the rig must be, and the wall's resistance converts that directly into how tightly the servo has to hold the null. A realistic servo residual of ±0.3 K costs 0.17 W.</w:t>
      </w:r>
    </w:p>
    <w:p>
      <w:pPr>
        <w:spacing w:after="120"/>
      </w:pPr>
      <w:r>
        <w:rPr>
          <w:b/>
        </w:rPr>
        <w:t>Steady gate.</w:t>
      </w:r>
      <w:r>
        <w:t xml:space="preserve"> The storage term must be dead, or the chamber's thermal mass is silently charging or discharging into the reading:</w:t>
      </w:r>
    </w:p>
    <w:p>
      <w:pPr>
        <w:spacing w:before="160" w:after="160"/>
        <w:jc w:val="center"/>
      </w:pPr>
      <w:r>
        <w:rPr>
          <w:rFonts w:ascii="Cambria Math" w:hAnsi="Cambria Math"/>
          <w:sz w:val="24"/>
        </w:rPr>
        <w:t>| dP̂</w:t>
      </w:r>
      <w:r>
        <w:rPr>
          <w:rFonts w:ascii="Cambria Math" w:hAnsi="Cambria Math"/>
          <w:sz w:val="24"/>
          <w:vertAlign w:val="subscript"/>
        </w:rPr>
        <w:t>meas</w:t>
      </w:r>
      <w:r>
        <w:rPr>
          <w:rFonts w:ascii="Cambria Math" w:hAnsi="Cambria Math"/>
          <w:sz w:val="24"/>
        </w:rPr>
        <w:t>/dt |  &lt;  P</w:t>
      </w:r>
      <w:r>
        <w:rPr>
          <w:rFonts w:ascii="Cambria Math" w:hAnsi="Cambria Math"/>
          <w:sz w:val="24"/>
          <w:vertAlign w:val="subscript"/>
        </w:rPr>
        <w:t>thr</w:t>
      </w:r>
      <w:r>
        <w:rPr>
          <w:rFonts w:ascii="Cambria Math" w:hAnsi="Cambria Math"/>
          <w:sz w:val="24"/>
        </w:rPr>
        <w:t xml:space="preserve"> / τ</w:t>
      </w:r>
      <w:r>
        <w:rPr>
          <w:rFonts w:ascii="Cambria Math" w:hAnsi="Cambria Math"/>
          <w:sz w:val="24"/>
          <w:vertAlign w:val="subscript"/>
        </w:rPr>
        <w:t>dom</w:t>
      </w:r>
      <w:r>
        <w:rPr>
          <w:sz w:val="20"/>
        </w:rPr>
        <w:tab/>
        <w:tab/>
        <w:t>(3)</w:t>
      </w:r>
    </w:p>
    <w:p>
      <w:pPr>
        <w:spacing w:after="120"/>
      </w:pPr>
      <w:r>
        <w:t>The slope threshold is the residual power threshold divided by the slowest time constant the reading actually shows. It is computed per operating point rather than hard-coded, because τ</w:t>
      </w:r>
      <w:r>
        <w:rPr>
          <w:vertAlign w:val="subscript"/>
        </w:rPr>
        <w:t>dom</w:t>
      </w:r>
      <w:r>
        <w:t xml:space="preserve"> moves by a factor of about three across the power range. Equivalently, in temperature terms, holding a 0.2 W storage slice against C</w:t>
      </w:r>
      <w:r>
        <w:rPr>
          <w:vertAlign w:val="subscript"/>
        </w:rPr>
        <w:t>i</w:t>
      </w:r>
      <w:r>
        <w:t xml:space="preserve"> + C</w:t>
      </w:r>
      <w:r>
        <w:rPr>
          <w:vertAlign w:val="subscript"/>
        </w:rPr>
        <w:t>w</w:t>
      </w:r>
      <w:r>
        <w:t xml:space="preserve"> ≈ 2.45 kJ/K means |dT/dt| &lt; 0.29 K/h.</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Gate the reading, not the chamber temperature</w:t>
            </w:r>
          </w:p>
          <w:p>
            <w:pPr>
              <w:spacing w:after="40"/>
            </w:pPr>
            <w:r>
              <w:rPr>
                <w:sz w:val="19"/>
              </w:rPr>
              <w:t>T</w:t>
            </w:r>
            <w:r>
              <w:rPr>
                <w:sz w:val="19"/>
                <w:vertAlign w:val="subscript"/>
              </w:rPr>
              <w:t>i</w:t>
            </w:r>
            <w:r>
              <w:rPr>
                <w:sz w:val="19"/>
              </w:rPr>
              <w:t xml:space="preserve"> is dominated by the fast air/water exchange mode and settles long before the reading does. A steady-state detector that watches T</w:t>
            </w:r>
            <w:r>
              <w:rPr>
                <w:sz w:val="19"/>
                <w:vertAlign w:val="subscript"/>
              </w:rPr>
              <w:t>i</w:t>
            </w:r>
            <w:r>
              <w:rPr>
                <w:sz w:val="19"/>
              </w:rPr>
              <w:t xml:space="preserve"> will go green while the water side is still transient. The gate must watch P̂</w:t>
            </w:r>
            <w:r>
              <w:rPr>
                <w:sz w:val="19"/>
                <w:vertAlign w:val="subscript"/>
              </w:rPr>
              <w:t>meas</w:t>
            </w:r>
            <w:r>
              <w:rPr>
                <w:sz w:val="19"/>
              </w:rPr>
              <w:t xml:space="preserve"> itself.</w:t>
            </w:r>
          </w:p>
        </w:tc>
      </w:tr>
    </w:tbl>
    <w:p>
      <w:pPr>
        <w:spacing w:after="80"/>
      </w:pPr>
    </w:p>
    <w:p>
      <w:pPr>
        <w:spacing w:after="120"/>
      </w:pPr>
      <w:r>
        <w:t xml:space="preserve">A useful property of the architecture: </w:t>
      </w:r>
      <w:r>
        <w:rPr>
          <w:b/>
        </w:rPr>
        <w:t>the outer shell's leak to the room does not need to be controlled at all.</w:t>
      </w:r>
      <w:r>
        <w:t xml:space="preserve"> The servo nulls one boundary only — chamber to gap. Whatever the gap then exchanges with the room never crosses the measured boundary, so those watts are accuracy-free. The room only has to be stable enough for the inner loop to track. This is the same principle as the guard ring in guarded-hot-plate conductivity testing (ASTM C177).</w:t>
      </w:r>
    </w:p>
    <w:p>
      <w:pPr>
        <w:pStyle w:val="Heading2"/>
      </w:pPr>
      <w:r>
        <w:t>Design decisions taken during the study</w:t>
      </w:r>
    </w:p>
    <w:p>
      <w:pPr>
        <w:spacing w:after="120"/>
      </w:pPr>
      <w:r>
        <w:t>The design changed several times over the two months as specifications firmed up and as parts were confirmed. The table records what changed, when, and why, so that the working notes can be read in the right order.</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715"/>
            <w:shd w:val="clear" w:color="auto" w:fill="DEEAF6"/>
          </w:tcPr>
          <w:p>
            <w:pPr>
              <w:spacing w:after="20" w:before="20"/>
            </w:pPr>
            <w:r/>
            <w:r>
              <w:rPr>
                <w:b/>
                <w:sz w:val="17"/>
              </w:rPr>
              <w:t>Decision</w:t>
            </w:r>
          </w:p>
        </w:tc>
        <w:tc>
          <w:tcPr>
            <w:tcW w:type="dxa" w:w="1083"/>
            <w:shd w:val="clear" w:color="auto" w:fill="DEEAF6"/>
          </w:tcPr>
          <w:p>
            <w:pPr>
              <w:spacing w:after="20" w:before="20"/>
            </w:pPr>
            <w:r/>
            <w:r>
              <w:rPr>
                <w:b/>
                <w:sz w:val="17"/>
              </w:rPr>
              <w:t>Date</w:t>
            </w:r>
          </w:p>
        </w:tc>
        <w:tc>
          <w:tcPr>
            <w:tcW w:type="dxa" w:w="1715"/>
            <w:shd w:val="clear" w:color="auto" w:fill="DEEAF6"/>
          </w:tcPr>
          <w:p>
            <w:pPr>
              <w:spacing w:after="20" w:before="20"/>
            </w:pPr>
            <w:r/>
            <w:r>
              <w:rPr>
                <w:b/>
                <w:sz w:val="17"/>
              </w:rPr>
              <w:t>Outcome</w:t>
            </w:r>
          </w:p>
        </w:tc>
        <w:tc>
          <w:tcPr>
            <w:tcW w:type="dxa" w:w="4514"/>
            <w:shd w:val="clear" w:color="auto" w:fill="DEEAF6"/>
          </w:tcPr>
          <w:p>
            <w:pPr>
              <w:spacing w:after="20" w:before="20"/>
            </w:pPr>
            <w:r/>
            <w:r>
              <w:rPr>
                <w:b/>
                <w:sz w:val="17"/>
              </w:rPr>
              <w:t>Reason</w:t>
            </w:r>
          </w:p>
        </w:tc>
      </w:tr>
      <w:tr>
        <w:tc>
          <w:tcPr>
            <w:tcW w:type="dxa" w:w="1715"/>
          </w:tcPr>
          <w:p>
            <w:pPr>
              <w:spacing w:after="20" w:before="20"/>
            </w:pPr>
            <w:r/>
            <w:r>
              <w:rPr>
                <w:sz w:val="17"/>
              </w:rPr>
              <w:t>Repurpose an existing chamber</w:t>
            </w:r>
          </w:p>
        </w:tc>
        <w:tc>
          <w:tcPr>
            <w:tcW w:type="dxa" w:w="1083"/>
          </w:tcPr>
          <w:p>
            <w:pPr>
              <w:spacing w:after="20" w:before="20"/>
            </w:pPr>
            <w:r/>
            <w:r>
              <w:rPr>
                <w:sz w:val="17"/>
              </w:rPr>
              <w:t>Day 1</w:t>
            </w:r>
          </w:p>
        </w:tc>
        <w:tc>
          <w:tcPr>
            <w:tcW w:type="dxa" w:w="1715"/>
          </w:tcPr>
          <w:p>
            <w:pPr>
              <w:spacing w:after="20" w:before="20"/>
            </w:pPr>
            <w:r/>
            <w:r>
              <w:rPr>
                <w:b/>
                <w:sz w:val="17"/>
              </w:rPr>
              <w:t>Ruled out</w:t>
            </w:r>
          </w:p>
        </w:tc>
        <w:tc>
          <w:tcPr>
            <w:tcW w:type="dxa" w:w="4514"/>
          </w:tcPr>
          <w:p>
            <w:pPr>
              <w:spacing w:after="20" w:before="20"/>
            </w:pPr>
            <w:r/>
            <w:r>
              <w:rPr>
                <w:sz w:val="17"/>
              </w:rPr>
              <w:t>No chamber, incubator or environmental enclosure exists at Roboteq HQ. The rig is a ground-up build.</w:t>
            </w:r>
          </w:p>
        </w:tc>
      </w:tr>
      <w:tr>
        <w:tc>
          <w:tcPr>
            <w:tcW w:type="dxa" w:w="1715"/>
          </w:tcPr>
          <w:p>
            <w:pPr>
              <w:spacing w:after="20" w:before="20"/>
            </w:pPr>
            <w:r/>
            <w:r>
              <w:rPr>
                <w:sz w:val="17"/>
              </w:rPr>
              <w:t>Coolant medium</w:t>
            </w:r>
          </w:p>
        </w:tc>
        <w:tc>
          <w:tcPr>
            <w:tcW w:type="dxa" w:w="1083"/>
          </w:tcPr>
          <w:p>
            <w:pPr>
              <w:spacing w:after="20" w:before="20"/>
            </w:pPr>
            <w:r/>
            <w:r>
              <w:rPr>
                <w:sz w:val="17"/>
              </w:rPr>
              <w:t>Early July</w:t>
            </w:r>
          </w:p>
        </w:tc>
        <w:tc>
          <w:tcPr>
            <w:tcW w:type="dxa" w:w="1715"/>
          </w:tcPr>
          <w:p>
            <w:pPr>
              <w:spacing w:after="20" w:before="20"/>
            </w:pPr>
            <w:r/>
            <w:r>
              <w:rPr>
                <w:b/>
                <w:sz w:val="17"/>
              </w:rPr>
              <w:t>Water, closed recirculating loop</w:t>
            </w:r>
          </w:p>
        </w:tc>
        <w:tc>
          <w:tcPr>
            <w:tcW w:type="dxa" w:w="4514"/>
          </w:tcPr>
          <w:p>
            <w:pPr>
              <w:spacing w:after="20" w:before="20"/>
            </w:pPr>
            <w:r/>
            <w:r>
              <w:rPr>
                <w:sz w:val="17"/>
              </w:rPr>
              <w:t>Water's volumetric heat capacity is ~3 000–4 000× air's, so the same heat is carried by a manageable flow with a readable ΔT. Matches RD-01; RD-03's mains-fed open loop is explicitly what its own future-work section recommends moving away from.</w:t>
            </w:r>
          </w:p>
        </w:tc>
      </w:tr>
      <w:tr>
        <w:tc>
          <w:tcPr>
            <w:tcW w:type="dxa" w:w="1715"/>
          </w:tcPr>
          <w:p>
            <w:pPr>
              <w:spacing w:after="20" w:before="20"/>
            </w:pPr>
            <w:r/>
            <w:r>
              <w:rPr>
                <w:sz w:val="17"/>
              </w:rPr>
              <w:t>Chamber topology</w:t>
            </w:r>
          </w:p>
        </w:tc>
        <w:tc>
          <w:tcPr>
            <w:tcW w:type="dxa" w:w="1083"/>
          </w:tcPr>
          <w:p>
            <w:pPr>
              <w:spacing w:after="20" w:before="20"/>
            </w:pPr>
            <w:r/>
            <w:r>
              <w:rPr>
                <w:sz w:val="17"/>
              </w:rPr>
              <w:t>2026-07-10, reaffirmed 07-13</w:t>
            </w:r>
          </w:p>
        </w:tc>
        <w:tc>
          <w:tcPr>
            <w:tcW w:type="dxa" w:w="1715"/>
          </w:tcPr>
          <w:p>
            <w:pPr>
              <w:spacing w:after="20" w:before="20"/>
            </w:pPr>
            <w:r/>
            <w:r>
              <w:rPr>
                <w:b/>
                <w:sz w:val="17"/>
              </w:rPr>
              <w:t>Air-gap DJC (topology 3)</w:t>
            </w:r>
          </w:p>
        </w:tc>
        <w:tc>
          <w:tcPr>
            <w:tcW w:type="dxa" w:w="4514"/>
          </w:tcPr>
          <w:p>
            <w:pPr>
              <w:spacing w:after="20" w:before="20"/>
            </w:pPr>
            <w:r/>
            <w:r>
              <w:rPr>
                <w:sz w:val="17"/>
              </w:rPr>
              <w:t>Accuracy at the low-loss end. The surface-heated variant (topology 2) stays documented as the fallback.</w:t>
            </w:r>
          </w:p>
        </w:tc>
      </w:tr>
      <w:tr>
        <w:tc>
          <w:tcPr>
            <w:tcW w:type="dxa" w:w="1715"/>
          </w:tcPr>
          <w:p>
            <w:pPr>
              <w:spacing w:after="20" w:before="20"/>
            </w:pPr>
            <w:r/>
            <w:r>
              <w:rPr>
                <w:sz w:val="17"/>
              </w:rPr>
              <w:t>Readout method</w:t>
            </w:r>
          </w:p>
        </w:tc>
        <w:tc>
          <w:tcPr>
            <w:tcW w:type="dxa" w:w="1083"/>
          </w:tcPr>
          <w:p>
            <w:pPr>
              <w:spacing w:after="20" w:before="20"/>
            </w:pPr>
            <w:r/>
            <w:r>
              <w:rPr>
                <w:sz w:val="17"/>
              </w:rPr>
              <w:t>Early July</w:t>
            </w:r>
          </w:p>
        </w:tc>
        <w:tc>
          <w:tcPr>
            <w:tcW w:type="dxa" w:w="1715"/>
          </w:tcPr>
          <w:p>
            <w:pPr>
              <w:spacing w:after="20" w:before="20"/>
            </w:pPr>
            <w:r/>
            <w:r>
              <w:rPr>
                <w:b/>
                <w:sz w:val="17"/>
              </w:rPr>
              <w:t>Flow readout, guard used only to null</w:t>
            </w:r>
          </w:p>
        </w:tc>
        <w:tc>
          <w:tcPr>
            <w:tcW w:type="dxa" w:w="4514"/>
          </w:tcPr>
          <w:p>
            <w:pPr>
              <w:spacing w:after="20" w:before="20"/>
            </w:pPr>
            <w:r/>
            <w:r>
              <w:rPr>
                <w:sz w:val="17"/>
              </w:rPr>
              <w:t>Substitution keeps its role as the calibration method, not as the readout.</w:t>
            </w:r>
          </w:p>
        </w:tc>
      </w:tr>
      <w:tr>
        <w:tc>
          <w:tcPr>
            <w:tcW w:type="dxa" w:w="1715"/>
          </w:tcPr>
          <w:p>
            <w:pPr>
              <w:spacing w:after="20" w:before="20"/>
            </w:pPr>
            <w:r/>
            <w:r>
              <w:rPr>
                <w:sz w:val="17"/>
              </w:rPr>
              <w:t>Preheat stage</w:t>
            </w:r>
          </w:p>
        </w:tc>
        <w:tc>
          <w:tcPr>
            <w:tcW w:type="dxa" w:w="1083"/>
          </w:tcPr>
          <w:p>
            <w:pPr>
              <w:spacing w:after="20" w:before="20"/>
            </w:pPr>
            <w:r/>
            <w:r>
              <w:rPr>
                <w:sz w:val="17"/>
              </w:rPr>
              <w:t>Mid July</w:t>
            </w:r>
          </w:p>
        </w:tc>
        <w:tc>
          <w:tcPr>
            <w:tcW w:type="dxa" w:w="1715"/>
          </w:tcPr>
          <w:p>
            <w:pPr>
              <w:spacing w:after="20" w:before="20"/>
            </w:pPr>
            <w:r/>
            <w:r>
              <w:rPr>
                <w:b/>
                <w:sz w:val="17"/>
              </w:rPr>
              <w:t>Adopted</w:t>
            </w:r>
          </w:p>
        </w:tc>
        <w:tc>
          <w:tcPr>
            <w:tcW w:type="dxa" w:w="4514"/>
          </w:tcPr>
          <w:p>
            <w:pPr>
              <w:spacing w:after="20" w:before="20"/>
            </w:pPr>
            <w:r/>
            <w:r>
              <w:rPr>
                <w:sz w:val="17"/>
              </w:rPr>
              <w:t>RD-01's technique: pre-load the chamber to near the expected operating point with a known resistor before the DUT is switched on, which removes most of the first-point warm-up. The same resistor doubles as the calibration reference.</w:t>
            </w:r>
          </w:p>
        </w:tc>
      </w:tr>
      <w:tr>
        <w:tc>
          <w:tcPr>
            <w:tcW w:type="dxa" w:w="1715"/>
          </w:tcPr>
          <w:p>
            <w:pPr>
              <w:spacing w:after="20" w:before="20"/>
            </w:pPr>
            <w:r/>
            <w:r>
              <w:rPr>
                <w:sz w:val="17"/>
              </w:rPr>
              <w:t>Gap skin finish</w:t>
            </w:r>
          </w:p>
        </w:tc>
        <w:tc>
          <w:tcPr>
            <w:tcW w:type="dxa" w:w="1083"/>
          </w:tcPr>
          <w:p>
            <w:pPr>
              <w:spacing w:after="20" w:before="20"/>
            </w:pPr>
            <w:r/>
            <w:r>
              <w:rPr>
                <w:sz w:val="17"/>
              </w:rPr>
              <w:t>Mid July</w:t>
            </w:r>
          </w:p>
        </w:tc>
        <w:tc>
          <w:tcPr>
            <w:tcW w:type="dxa" w:w="1715"/>
          </w:tcPr>
          <w:p>
            <w:pPr>
              <w:spacing w:after="20" w:before="20"/>
            </w:pPr>
            <w:r/>
            <w:r>
              <w:rPr>
                <w:b/>
                <w:sz w:val="17"/>
              </w:rPr>
              <w:t>Aluminium-foil lining, both facing skins</w:t>
            </w:r>
          </w:p>
        </w:tc>
        <w:tc>
          <w:tcPr>
            <w:tcW w:type="dxa" w:w="4514"/>
          </w:tcPr>
          <w:p>
            <w:pPr>
              <w:spacing w:after="20" w:before="20"/>
            </w:pPr>
            <w:r/>
            <w:r>
              <w:rPr>
                <w:sz w:val="17"/>
              </w:rPr>
              <w:t>Radiation across the gap, not conduction, is the dominant leak with bare skins — see §5.4. Foil is a ~30× reduction and is what makes the guard spec affordable.</w:t>
            </w:r>
          </w:p>
        </w:tc>
      </w:tr>
      <w:tr>
        <w:tc>
          <w:tcPr>
            <w:tcW w:type="dxa" w:w="1715"/>
          </w:tcPr>
          <w:p>
            <w:pPr>
              <w:spacing w:after="20" w:before="20"/>
            </w:pPr>
            <w:r/>
            <w:r>
              <w:rPr>
                <w:sz w:val="17"/>
              </w:rPr>
              <w:t>DUT-class modularity — copper cold block</w:t>
            </w:r>
          </w:p>
        </w:tc>
        <w:tc>
          <w:tcPr>
            <w:tcW w:type="dxa" w:w="1083"/>
          </w:tcPr>
          <w:p>
            <w:pPr>
              <w:spacing w:after="20" w:before="20"/>
            </w:pPr>
            <w:r/>
            <w:r>
              <w:rPr>
                <w:sz w:val="17"/>
              </w:rPr>
              <w:t xml:space="preserve">Designed July; </w:t>
            </w:r>
            <w:r>
              <w:rPr>
                <w:b/>
                <w:sz w:val="17"/>
              </w:rPr>
              <w:t>dropped 2026-08-27</w:t>
            </w:r>
          </w:p>
        </w:tc>
        <w:tc>
          <w:tcPr>
            <w:tcW w:type="dxa" w:w="1715"/>
          </w:tcPr>
          <w:p>
            <w:pPr>
              <w:spacing w:after="20" w:before="20"/>
            </w:pPr>
            <w:r/>
            <w:r>
              <w:rPr>
                <w:b/>
                <w:sz w:val="17"/>
              </w:rPr>
              <w:t>Removed from build scope</w:t>
            </w:r>
          </w:p>
        </w:tc>
        <w:tc>
          <w:tcPr>
            <w:tcW w:type="dxa" w:w="4514"/>
          </w:tcPr>
          <w:p>
            <w:pPr>
              <w:spacing w:after="20" w:before="20"/>
            </w:pPr>
            <w:r/>
            <w:r>
              <w:rPr>
                <w:sz w:val="17"/>
              </w:rPr>
              <w:t>An optional water-cooled copper block was designed so a high-TDP DUT could dump heat straight into the water instead of into the chamber air. It was proven accuracy-neutral, but the F-series DUT dissipates about 15 W at its efficient operating points, where the block buys nothing. It was dropped as a time-box call, not a technical failure. See the note below.</w:t>
            </w:r>
          </w:p>
        </w:tc>
      </w:tr>
      <w:tr>
        <w:tc>
          <w:tcPr>
            <w:tcW w:type="dxa" w:w="1715"/>
          </w:tcPr>
          <w:p>
            <w:pPr>
              <w:spacing w:after="20" w:before="20"/>
            </w:pPr>
            <w:r/>
            <w:r>
              <w:rPr>
                <w:sz w:val="17"/>
              </w:rPr>
              <w:t>Chamber temperature target and flow band</w:t>
            </w:r>
          </w:p>
        </w:tc>
        <w:tc>
          <w:tcPr>
            <w:tcW w:type="dxa" w:w="1083"/>
          </w:tcPr>
          <w:p>
            <w:pPr>
              <w:spacing w:after="20" w:before="20"/>
            </w:pPr>
            <w:r/>
            <w:r>
              <w:rPr>
                <w:sz w:val="17"/>
              </w:rPr>
              <w:t>2026-08-27</w:t>
            </w:r>
          </w:p>
        </w:tc>
        <w:tc>
          <w:tcPr>
            <w:tcW w:type="dxa" w:w="1715"/>
          </w:tcPr>
          <w:p>
            <w:pPr>
              <w:spacing w:after="20" w:before="20"/>
            </w:pPr>
            <w:r/>
            <w:r>
              <w:rPr>
                <w:b/>
                <w:sz w:val="17"/>
              </w:rPr>
              <w:t>Chamber T</w:t>
            </w:r>
            <w:r>
              <w:rPr>
                <w:b/>
                <w:sz w:val="17"/>
                <w:vertAlign w:val="subscript"/>
              </w:rPr>
              <w:t>ss</w:t>
            </w:r>
            <w:r>
              <w:rPr>
                <w:b/>
                <w:sz w:val="17"/>
              </w:rPr>
              <w:t xml:space="preserve"> raised to 50–60 °C</w:t>
            </w:r>
          </w:p>
        </w:tc>
        <w:tc>
          <w:tcPr>
            <w:tcW w:type="dxa" w:w="4514"/>
          </w:tcPr>
          <w:p>
            <w:pPr>
              <w:spacing w:after="20" w:before="20"/>
            </w:pPr>
            <w:r/>
            <w:r>
              <w:rPr>
                <w:sz w:val="17"/>
              </w:rPr>
              <w:t>Supervisor-driven. Raises the available ΔT and lowers the required flow. The consequences for the low-power corner are quantified in §7.9.2 and are not entirely benign.</w:t>
            </w:r>
          </w:p>
        </w:tc>
      </w:tr>
      <w:tr>
        <w:tc>
          <w:tcPr>
            <w:tcW w:type="dxa" w:w="1715"/>
          </w:tcPr>
          <w:p>
            <w:pPr>
              <w:spacing w:after="20" w:before="20"/>
            </w:pPr>
            <w:r/>
            <w:r>
              <w:rPr>
                <w:sz w:val="17"/>
              </w:rPr>
              <w:t>Pump</w:t>
            </w:r>
          </w:p>
        </w:tc>
        <w:tc>
          <w:tcPr>
            <w:tcW w:type="dxa" w:w="1083"/>
          </w:tcPr>
          <w:p>
            <w:pPr>
              <w:spacing w:after="20" w:before="20"/>
            </w:pPr>
            <w:r/>
            <w:r>
              <w:rPr>
                <w:sz w:val="17"/>
              </w:rPr>
              <w:t>2026-08-27</w:t>
            </w:r>
          </w:p>
        </w:tc>
        <w:tc>
          <w:tcPr>
            <w:tcW w:type="dxa" w:w="1715"/>
          </w:tcPr>
          <w:p>
            <w:pPr>
              <w:spacing w:after="20" w:before="20"/>
            </w:pPr>
            <w:r/>
            <w:r>
              <w:rPr>
                <w:b/>
                <w:sz w:val="17"/>
              </w:rPr>
              <w:t>JwardTech 304K/BT peristaltic, stepper variant</w:t>
            </w:r>
          </w:p>
        </w:tc>
        <w:tc>
          <w:tcPr>
            <w:tcW w:type="dxa" w:w="4514"/>
          </w:tcPr>
          <w:p>
            <w:pPr>
              <w:spacing w:after="20" w:before="20"/>
            </w:pPr>
            <w:r/>
            <w:r>
              <w:rPr>
                <w:sz w:val="17"/>
              </w:rPr>
              <w:t>Replaces the previously listed Kamoer KPHM600, which at 600–800 mL/min was about 10× too high-flow once the target ΔT rose. The stepper's low end goes cleanly toward zero, unlike a brushless pump's duty-cycle deadband.</w:t>
            </w:r>
          </w:p>
        </w:tc>
      </w:tr>
      <w:tr>
        <w:tc>
          <w:tcPr>
            <w:tcW w:type="dxa" w:w="1715"/>
          </w:tcPr>
          <w:p>
            <w:pPr>
              <w:spacing w:after="20" w:before="20"/>
            </w:pPr>
            <w:r/>
            <w:r>
              <w:rPr>
                <w:sz w:val="17"/>
              </w:rPr>
              <w:t>Flow metering</w:t>
            </w:r>
          </w:p>
        </w:tc>
        <w:tc>
          <w:tcPr>
            <w:tcW w:type="dxa" w:w="1083"/>
          </w:tcPr>
          <w:p>
            <w:pPr>
              <w:spacing w:after="20" w:before="20"/>
            </w:pPr>
            <w:r/>
            <w:r>
              <w:rPr>
                <w:sz w:val="17"/>
              </w:rPr>
              <w:t>2026-08-27</w:t>
            </w:r>
          </w:p>
        </w:tc>
        <w:tc>
          <w:tcPr>
            <w:tcW w:type="dxa" w:w="1715"/>
          </w:tcPr>
          <w:p>
            <w:pPr>
              <w:spacing w:after="20" w:before="20"/>
            </w:pPr>
            <w:r/>
            <w:r>
              <w:rPr>
                <w:b/>
                <w:sz w:val="17"/>
              </w:rPr>
              <w:t>Biotech turbine sensor is the meter</w:t>
            </w:r>
          </w:p>
        </w:tc>
        <w:tc>
          <w:tcPr>
            <w:tcW w:type="dxa" w:w="4514"/>
          </w:tcPr>
          <w:p>
            <w:pPr>
              <w:spacing w:after="20" w:before="20"/>
            </w:pPr>
            <w:r/>
            <w:r>
              <w:rPr>
                <w:sz w:val="17"/>
              </w:rPr>
              <w:t>Pump-as-flow-meter (step count × displacement) is not used for metrology; the pump is purely the flow actuator.</w:t>
            </w:r>
          </w:p>
        </w:tc>
      </w:tr>
      <w:tr>
        <w:tc>
          <w:tcPr>
            <w:tcW w:type="dxa" w:w="1715"/>
          </w:tcPr>
          <w:p>
            <w:pPr>
              <w:spacing w:after="20" w:before="20"/>
            </w:pPr>
            <w:r/>
            <w:r>
              <w:rPr>
                <w:sz w:val="17"/>
              </w:rPr>
              <w:t>Chamber and wall sensing bus</w:t>
            </w:r>
          </w:p>
        </w:tc>
        <w:tc>
          <w:tcPr>
            <w:tcW w:type="dxa" w:w="1083"/>
          </w:tcPr>
          <w:p>
            <w:pPr>
              <w:spacing w:after="20" w:before="20"/>
            </w:pPr>
            <w:r/>
            <w:r>
              <w:rPr>
                <w:sz w:val="17"/>
              </w:rPr>
              <w:t>2026-08-27</w:t>
            </w:r>
          </w:p>
        </w:tc>
        <w:tc>
          <w:tcPr>
            <w:tcW w:type="dxa" w:w="1715"/>
          </w:tcPr>
          <w:p>
            <w:pPr>
              <w:spacing w:after="20" w:before="20"/>
            </w:pPr>
            <w:r/>
            <w:r>
              <w:rPr>
                <w:b/>
                <w:sz w:val="17"/>
              </w:rPr>
              <w:t>TMP117 over I²C for both chamber and guard array</w:t>
            </w:r>
          </w:p>
        </w:tc>
        <w:tc>
          <w:tcPr>
            <w:tcW w:type="dxa" w:w="4514"/>
          </w:tcPr>
          <w:p>
            <w:pPr>
              <w:spacing w:after="20" w:before="20"/>
            </w:pPr>
            <w:r/>
            <w:r>
              <w:rPr>
                <w:sz w:val="17"/>
              </w:rPr>
              <w:t>Resolves an open three-way choice. Confirms I²C as the sensor bus, and therefore the need for an address multiplexer, since the guard array alone needs 8–12 sensors and the part has only four addresses.</w:t>
            </w:r>
          </w:p>
        </w:tc>
      </w:tr>
      <w:tr>
        <w:tc>
          <w:tcPr>
            <w:tcW w:type="dxa" w:w="1715"/>
          </w:tcPr>
          <w:p>
            <w:pPr>
              <w:spacing w:after="20" w:before="20"/>
            </w:pPr>
            <w:r/>
            <w:r>
              <w:rPr>
                <w:sz w:val="17"/>
              </w:rPr>
              <w:t>Water ΔT sensing</w:t>
            </w:r>
          </w:p>
        </w:tc>
        <w:tc>
          <w:tcPr>
            <w:tcW w:type="dxa" w:w="1083"/>
          </w:tcPr>
          <w:p>
            <w:pPr>
              <w:spacing w:after="20" w:before="20"/>
            </w:pPr>
            <w:r/>
            <w:r>
              <w:rPr>
                <w:sz w:val="17"/>
              </w:rPr>
              <w:t>2026-08-27</w:t>
            </w:r>
          </w:p>
        </w:tc>
        <w:tc>
          <w:tcPr>
            <w:tcW w:type="dxa" w:w="1715"/>
          </w:tcPr>
          <w:p>
            <w:pPr>
              <w:spacing w:after="20" w:before="20"/>
            </w:pPr>
            <w:r/>
            <w:r>
              <w:rPr>
                <w:b/>
                <w:sz w:val="17"/>
              </w:rPr>
              <w:t>Jumo VIBROtemp pair, bare RTD</w:t>
            </w:r>
          </w:p>
        </w:tc>
        <w:tc>
          <w:tcPr>
            <w:tcW w:type="dxa" w:w="4514"/>
          </w:tcPr>
          <w:p>
            <w:pPr>
              <w:spacing w:after="20" w:before="20"/>
            </w:pPr>
            <w:r/>
            <w:r>
              <w:rPr>
                <w:sz w:val="17"/>
              </w:rPr>
              <w:t>The ordered variant has no integrated transmitter, so a MAX31865-class front end per probe is required on the carrier board.</w:t>
            </w:r>
          </w:p>
        </w:tc>
      </w:tr>
      <w:tr>
        <w:tc>
          <w:tcPr>
            <w:tcW w:type="dxa" w:w="1715"/>
          </w:tcPr>
          <w:p>
            <w:pPr>
              <w:spacing w:after="20" w:before="20"/>
            </w:pPr>
            <w:r/>
            <w:r>
              <w:rPr>
                <w:sz w:val="17"/>
              </w:rPr>
              <w:t>MCU and RTOS</w:t>
            </w:r>
          </w:p>
        </w:tc>
        <w:tc>
          <w:tcPr>
            <w:tcW w:type="dxa" w:w="1083"/>
          </w:tcPr>
          <w:p>
            <w:pPr>
              <w:spacing w:after="20" w:before="20"/>
            </w:pPr>
            <w:r/>
            <w:r>
              <w:rPr>
                <w:sz w:val="17"/>
              </w:rPr>
              <w:t>August</w:t>
            </w:r>
          </w:p>
        </w:tc>
        <w:tc>
          <w:tcPr>
            <w:tcW w:type="dxa" w:w="1715"/>
          </w:tcPr>
          <w:p>
            <w:pPr>
              <w:spacing w:after="20" w:before="20"/>
            </w:pPr>
            <w:r/>
            <w:r>
              <w:rPr>
                <w:b/>
                <w:sz w:val="17"/>
              </w:rPr>
              <w:t>ESP32-S3 DevKitC running Zephyr</w:t>
            </w:r>
          </w:p>
        </w:tc>
        <w:tc>
          <w:tcPr>
            <w:tcW w:type="dxa" w:w="4514"/>
          </w:tcPr>
          <w:p>
            <w:pPr>
              <w:spacing w:after="20" w:before="20"/>
            </w:pPr>
            <w:r/>
            <w:r>
              <w:rPr>
                <w:sz w:val="17"/>
              </w:rPr>
              <w:t>Native Wi-Fi for live telemetry, existing Zephyr board support, and a module that plugs into a carrier board rather than a bespoke SoC design.</w:t>
            </w:r>
          </w:p>
        </w:tc>
      </w:tr>
      <w:tr>
        <w:tc>
          <w:tcPr>
            <w:tcW w:type="dxa" w:w="1715"/>
          </w:tcPr>
          <w:p>
            <w:pPr>
              <w:spacing w:after="20" w:before="20"/>
            </w:pPr>
            <w:r/>
            <w:r>
              <w:rPr>
                <w:sz w:val="17"/>
              </w:rPr>
              <w:t>Supply rail</w:t>
            </w:r>
          </w:p>
        </w:tc>
        <w:tc>
          <w:tcPr>
            <w:tcW w:type="dxa" w:w="1083"/>
          </w:tcPr>
          <w:p>
            <w:pPr>
              <w:spacing w:after="20" w:before="20"/>
            </w:pPr>
            <w:r/>
            <w:r>
              <w:rPr>
                <w:sz w:val="17"/>
              </w:rPr>
              <w:t>August</w:t>
            </w:r>
          </w:p>
        </w:tc>
        <w:tc>
          <w:tcPr>
            <w:tcW w:type="dxa" w:w="1715"/>
          </w:tcPr>
          <w:p>
            <w:pPr>
              <w:spacing w:after="20" w:before="20"/>
            </w:pPr>
            <w:r/>
            <w:r>
              <w:rPr>
                <w:b/>
                <w:sz w:val="17"/>
              </w:rPr>
              <w:t>Single 12 V rail (LRS-350-12 class)</w:t>
            </w:r>
          </w:p>
        </w:tc>
        <w:tc>
          <w:tcPr>
            <w:tcW w:type="dxa" w:w="4514"/>
          </w:tcPr>
          <w:p>
            <w:pPr>
              <w:spacing w:after="20" w:before="20"/>
            </w:pPr>
            <w:r/>
            <w:r>
              <w:rPr>
                <w:sz w:val="17"/>
              </w:rPr>
              <w:t>Sized bottom-up from the two 100 W heaters, fans and pump — about 22 A against the supply's 29 A.</w:t>
            </w:r>
          </w:p>
        </w:tc>
      </w:tr>
    </w:tbl>
    <w:p>
      <w:pPr>
        <w:spacing w:before="60" w:after="200"/>
        <w:jc w:val="left"/>
      </w:pPr>
      <w:r>
        <w:rPr>
          <w:i/>
          <w:sz w:val="18"/>
        </w:rPr>
        <w:t>Table 8. Design decisions and revisions, in the order they were made.</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On the copper block, and on notes that still mention it</w:t>
            </w:r>
          </w:p>
          <w:p>
            <w:pPr>
              <w:spacing w:after="40"/>
            </w:pPr>
            <w:r>
              <w:rPr>
                <w:sz w:val="19"/>
              </w:rPr>
              <w:t xml:space="preserve">The rig was originally intended to carry an optional copper cold plate bolted to the DUT's baseplate, so that a high-TDP device could send most of its heat straight into the water (a split fraction α ≈ 0.97) rather than into the chamber air (α = 0). The analysis showed the reading is exactly </w:t>
            </w:r>
            <w:r>
              <w:rPr>
                <w:b/>
                <w:sz w:val="19"/>
              </w:rPr>
              <w:t>independent of α</w:t>
            </w:r>
            <w:r>
              <w:rPr>
                <w:sz w:val="19"/>
              </w:rPr>
              <w:t xml:space="preserve"> — see §6.6 — so the block was never an accuracy feature; it was a way to widen the usable DUT range past ~200 W. Since the F-series DUT dissipates roughly 15 W at its efficient operating points and 200 W at worst, the block earns nothing on this DUT, and it was dropped from build scope on 2026-08-27 with the supervisor's agreement. </w:t>
            </w:r>
            <w:r>
              <w:rPr>
                <w:b/>
                <w:sz w:val="19"/>
              </w:rPr>
              <w:t>The built rig is the α = 0, radiator-only case.</w:t>
            </w:r>
            <w:r>
              <w:rPr>
                <w:sz w:val="19"/>
              </w:rPr>
              <w:t xml:space="preserve"> Several working notes, some BOM links and the default </w:t>
            </w:r>
            <w:r>
              <w:rPr>
                <w:rFonts w:ascii="Consolas" w:hAnsi="Consolas"/>
                <w:sz w:val="19"/>
              </w:rPr>
              <w:t>alpha: 0.97</w:t>
            </w:r>
            <w:r>
              <w:rPr>
                <w:sz w:val="19"/>
              </w:rPr>
              <w:t xml:space="preserve"> in </w:t>
            </w:r>
            <w:r>
              <w:rPr>
                <w:rFonts w:ascii="Consolas" w:hAnsi="Consolas"/>
                <w:sz w:val="19"/>
              </w:rPr>
              <w:t>params.yaml</w:t>
            </w:r>
            <w:r>
              <w:rPr>
                <w:sz w:val="19"/>
              </w:rPr>
              <w:t xml:space="preserve"> still refer to the block; they are historical and are not part of the delivered design.</w:t>
            </w:r>
          </w:p>
        </w:tc>
      </w:tr>
    </w:tbl>
    <w:p>
      <w:pPr>
        <w:spacing w:after="80"/>
      </w:pPr>
    </w:p>
    <w:p>
      <w:pPr>
        <w:pStyle w:val="Heading1"/>
      </w:pPr>
      <w:r>
        <w:t>Thermal Model</w:t>
      </w:r>
    </w:p>
    <w:p>
      <w:pPr>
        <w:pStyle w:val="Heading2"/>
      </w:pPr>
      <w:r>
        <w:t>Modelling approach</w:t>
      </w:r>
    </w:p>
    <w:p>
      <w:pPr>
        <w:spacing w:after="120"/>
      </w:pPr>
      <w:r>
        <w:t xml:space="preserve">The chamber is modelled as a </w:t>
      </w:r>
      <w:r>
        <w:rPr>
          <w:b/>
        </w:rPr>
        <w:t>lumped thermal network</w:t>
      </w:r>
      <w:r>
        <w:t>: a small number of bodies, each at one temperature, connected by conductances, each storing energy in a capacitance. This is the standard resistor-capacitor network of circuit theory with the labels changed, and the analogy is exact rather than decorative:</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4013"/>
            <w:shd w:val="clear" w:color="auto" w:fill="DEEAF6"/>
          </w:tcPr>
          <w:p>
            <w:pPr>
              <w:spacing w:after="20" w:before="20"/>
            </w:pPr>
            <w:r/>
            <w:r>
              <w:rPr>
                <w:b/>
                <w:sz w:val="18"/>
              </w:rPr>
              <w:t>Thermal</w:t>
            </w:r>
          </w:p>
        </w:tc>
        <w:tc>
          <w:tcPr>
            <w:tcW w:type="dxa" w:w="3344"/>
            <w:shd w:val="clear" w:color="auto" w:fill="DEEAF6"/>
          </w:tcPr>
          <w:p>
            <w:pPr>
              <w:spacing w:after="20" w:before="20"/>
            </w:pPr>
            <w:r/>
            <w:r>
              <w:rPr>
                <w:b/>
                <w:sz w:val="18"/>
              </w:rPr>
              <w:t>Electrical</w:t>
            </w:r>
          </w:p>
        </w:tc>
        <w:tc>
          <w:tcPr>
            <w:tcW w:type="dxa" w:w="1672"/>
            <w:shd w:val="clear" w:color="auto" w:fill="DEEAF6"/>
          </w:tcPr>
          <w:p>
            <w:pPr>
              <w:spacing w:after="20" w:before="20"/>
            </w:pPr>
            <w:r/>
            <w:r>
              <w:rPr>
                <w:b/>
                <w:sz w:val="18"/>
              </w:rPr>
              <w:t>Unit</w:t>
            </w:r>
          </w:p>
        </w:tc>
      </w:tr>
      <w:tr>
        <w:tc>
          <w:tcPr>
            <w:tcW w:type="dxa" w:w="4013"/>
          </w:tcPr>
          <w:p>
            <w:pPr>
              <w:spacing w:after="20" w:before="20"/>
            </w:pPr>
            <w:r/>
            <w:r>
              <w:rPr>
                <w:sz w:val="18"/>
              </w:rPr>
              <w:t>Temperature T</w:t>
            </w:r>
          </w:p>
        </w:tc>
        <w:tc>
          <w:tcPr>
            <w:tcW w:type="dxa" w:w="3344"/>
          </w:tcPr>
          <w:p>
            <w:pPr>
              <w:spacing w:after="20" w:before="20"/>
            </w:pPr>
            <w:r/>
            <w:r>
              <w:rPr>
                <w:sz w:val="18"/>
              </w:rPr>
              <w:t>Voltage</w:t>
            </w:r>
          </w:p>
        </w:tc>
        <w:tc>
          <w:tcPr>
            <w:tcW w:type="dxa" w:w="1672"/>
          </w:tcPr>
          <w:p>
            <w:pPr>
              <w:spacing w:after="20" w:before="20"/>
            </w:pPr>
            <w:r/>
            <w:r>
              <w:rPr>
                <w:sz w:val="18"/>
              </w:rPr>
              <w:t>K</w:t>
            </w:r>
          </w:p>
        </w:tc>
      </w:tr>
      <w:tr>
        <w:tc>
          <w:tcPr>
            <w:tcW w:type="dxa" w:w="4013"/>
          </w:tcPr>
          <w:p>
            <w:pPr>
              <w:spacing w:after="20" w:before="20"/>
            </w:pPr>
            <w:r/>
            <w:r>
              <w:rPr>
                <w:sz w:val="18"/>
              </w:rPr>
              <w:t>Heat flow Q̇, power P</w:t>
            </w:r>
          </w:p>
        </w:tc>
        <w:tc>
          <w:tcPr>
            <w:tcW w:type="dxa" w:w="3344"/>
          </w:tcPr>
          <w:p>
            <w:pPr>
              <w:spacing w:after="20" w:before="20"/>
            </w:pPr>
            <w:r/>
            <w:r>
              <w:rPr>
                <w:sz w:val="18"/>
              </w:rPr>
              <w:t>Current</w:t>
            </w:r>
          </w:p>
        </w:tc>
        <w:tc>
          <w:tcPr>
            <w:tcW w:type="dxa" w:w="1672"/>
          </w:tcPr>
          <w:p>
            <w:pPr>
              <w:spacing w:after="20" w:before="20"/>
            </w:pPr>
            <w:r/>
            <w:r>
              <w:rPr>
                <w:sz w:val="18"/>
              </w:rPr>
              <w:t>W</w:t>
            </w:r>
          </w:p>
        </w:tc>
      </w:tr>
      <w:tr>
        <w:tc>
          <w:tcPr>
            <w:tcW w:type="dxa" w:w="4013"/>
          </w:tcPr>
          <w:p>
            <w:pPr>
              <w:spacing w:after="20" w:before="20"/>
            </w:pPr>
            <w:r/>
            <w:r>
              <w:rPr>
                <w:sz w:val="18"/>
              </w:rPr>
              <w:t>Thermal conductance G, UA</w:t>
            </w:r>
          </w:p>
        </w:tc>
        <w:tc>
          <w:tcPr>
            <w:tcW w:type="dxa" w:w="3344"/>
          </w:tcPr>
          <w:p>
            <w:pPr>
              <w:spacing w:after="20" w:before="20"/>
            </w:pPr>
            <w:r/>
            <w:r>
              <w:rPr>
                <w:sz w:val="18"/>
              </w:rPr>
              <w:t>Conductance</w:t>
            </w:r>
          </w:p>
        </w:tc>
        <w:tc>
          <w:tcPr>
            <w:tcW w:type="dxa" w:w="1672"/>
          </w:tcPr>
          <w:p>
            <w:pPr>
              <w:spacing w:after="20" w:before="20"/>
            </w:pPr>
            <w:r/>
            <w:r>
              <w:rPr>
                <w:sz w:val="18"/>
              </w:rPr>
              <w:t>W/K</w:t>
            </w:r>
          </w:p>
        </w:tc>
      </w:tr>
      <w:tr>
        <w:tc>
          <w:tcPr>
            <w:tcW w:type="dxa" w:w="4013"/>
          </w:tcPr>
          <w:p>
            <w:pPr>
              <w:spacing w:after="20" w:before="20"/>
            </w:pPr>
            <w:r/>
            <w:r>
              <w:rPr>
                <w:sz w:val="18"/>
              </w:rPr>
              <w:t>Thermal resistance R</w:t>
            </w:r>
            <w:r>
              <w:rPr>
                <w:sz w:val="18"/>
                <w:vertAlign w:val="subscript"/>
              </w:rPr>
              <w:t>th</w:t>
            </w:r>
            <w:r>
              <w:rPr>
                <w:sz w:val="18"/>
              </w:rPr>
              <w:t xml:space="preserve"> = 1/G</w:t>
            </w:r>
          </w:p>
        </w:tc>
        <w:tc>
          <w:tcPr>
            <w:tcW w:type="dxa" w:w="3344"/>
          </w:tcPr>
          <w:p>
            <w:pPr>
              <w:spacing w:after="20" w:before="20"/>
            </w:pPr>
            <w:r/>
            <w:r>
              <w:rPr>
                <w:sz w:val="18"/>
              </w:rPr>
              <w:t>Resistance</w:t>
            </w:r>
          </w:p>
        </w:tc>
        <w:tc>
          <w:tcPr>
            <w:tcW w:type="dxa" w:w="1672"/>
          </w:tcPr>
          <w:p>
            <w:pPr>
              <w:spacing w:after="20" w:before="20"/>
            </w:pPr>
            <w:r/>
            <w:r>
              <w:rPr>
                <w:sz w:val="18"/>
              </w:rPr>
              <w:t>K/W</w:t>
            </w:r>
          </w:p>
        </w:tc>
      </w:tr>
      <w:tr>
        <w:tc>
          <w:tcPr>
            <w:tcW w:type="dxa" w:w="4013"/>
          </w:tcPr>
          <w:p>
            <w:pPr>
              <w:spacing w:after="20" w:before="20"/>
            </w:pPr>
            <w:r/>
            <w:r>
              <w:rPr>
                <w:sz w:val="18"/>
              </w:rPr>
              <w:t>Thermal capacitance C = m·c</w:t>
            </w:r>
          </w:p>
        </w:tc>
        <w:tc>
          <w:tcPr>
            <w:tcW w:type="dxa" w:w="3344"/>
          </w:tcPr>
          <w:p>
            <w:pPr>
              <w:spacing w:after="20" w:before="20"/>
            </w:pPr>
            <w:r/>
            <w:r>
              <w:rPr>
                <w:sz w:val="18"/>
              </w:rPr>
              <w:t>Capacitance</w:t>
            </w:r>
          </w:p>
        </w:tc>
        <w:tc>
          <w:tcPr>
            <w:tcW w:type="dxa" w:w="1672"/>
          </w:tcPr>
          <w:p>
            <w:pPr>
              <w:spacing w:after="20" w:before="20"/>
            </w:pPr>
            <w:r/>
            <w:r>
              <w:rPr>
                <w:sz w:val="18"/>
              </w:rPr>
              <w:t>J/K</w:t>
            </w:r>
          </w:p>
        </w:tc>
      </w:tr>
      <w:tr>
        <w:tc>
          <w:tcPr>
            <w:tcW w:type="dxa" w:w="4013"/>
          </w:tcPr>
          <w:p>
            <w:pPr>
              <w:spacing w:after="20" w:before="20"/>
            </w:pPr>
            <w:r/>
            <w:r>
              <w:rPr>
                <w:sz w:val="18"/>
              </w:rPr>
              <w:t>First law at a node</w:t>
            </w:r>
          </w:p>
        </w:tc>
        <w:tc>
          <w:tcPr>
            <w:tcW w:type="dxa" w:w="3344"/>
          </w:tcPr>
          <w:p>
            <w:pPr>
              <w:spacing w:after="20" w:before="20"/>
            </w:pPr>
            <w:r/>
            <w:r>
              <w:rPr>
                <w:sz w:val="18"/>
              </w:rPr>
              <w:t>Kirchhoff's current law</w:t>
            </w:r>
          </w:p>
        </w:tc>
        <w:tc>
          <w:tcPr>
            <w:tcW w:type="dxa" w:w="1672"/>
          </w:tcPr>
          <w:p>
            <w:pPr>
              <w:spacing w:after="20" w:before="20"/>
            </w:pPr>
            <w:r/>
            <w:r>
              <w:rPr>
                <w:sz w:val="18"/>
              </w:rPr>
              <w:t>—</w:t>
            </w:r>
          </w:p>
        </w:tc>
      </w:tr>
      <w:tr>
        <w:tc>
          <w:tcPr>
            <w:tcW w:type="dxa" w:w="4013"/>
          </w:tcPr>
          <w:p>
            <w:pPr>
              <w:spacing w:after="20" w:before="20"/>
            </w:pPr>
            <w:r/>
            <w:r>
              <w:rPr>
                <w:sz w:val="18"/>
              </w:rPr>
              <w:t>Time constant τ = C/G</w:t>
            </w:r>
          </w:p>
        </w:tc>
        <w:tc>
          <w:tcPr>
            <w:tcW w:type="dxa" w:w="3344"/>
          </w:tcPr>
          <w:p>
            <w:pPr>
              <w:spacing w:after="20" w:before="20"/>
            </w:pPr>
            <w:r/>
            <w:r>
              <w:rPr>
                <w:sz w:val="18"/>
              </w:rPr>
              <w:t>τ = RC</w:t>
            </w:r>
          </w:p>
        </w:tc>
        <w:tc>
          <w:tcPr>
            <w:tcW w:type="dxa" w:w="1672"/>
          </w:tcPr>
          <w:p>
            <w:pPr>
              <w:spacing w:after="20" w:before="20"/>
            </w:pPr>
            <w:r/>
            <w:r>
              <w:rPr>
                <w:sz w:val="18"/>
              </w:rPr>
              <w:t>s</w:t>
            </w:r>
          </w:p>
        </w:tc>
      </w:tr>
    </w:tbl>
    <w:p>
      <w:pPr>
        <w:spacing w:before="60" w:after="200"/>
        <w:jc w:val="left"/>
      </w:pPr>
      <w:r>
        <w:rPr>
          <w:i/>
          <w:sz w:val="18"/>
        </w:rPr>
        <w:t>Table 9. The thermal-electrical analogy used throughout. The consequence worth stating: the whole model of §5.3 can be simulated unchanged in SPICE, with watts as current sources and kelvin above ambient as node voltages.</w:t>
      </w:r>
    </w:p>
    <w:p>
      <w:pPr>
        <w:spacing w:after="120"/>
      </w:pPr>
      <w:r>
        <w:t>Three composition rules follow from the first law and are used everywhere. Paths that share the same temperature difference are in parallel and their conductances add; stages traversed in sequence are in series and their resistances add; a coolant stream entering at one temperature and leaving at the node's temperature behaves as a conductance to the inlet, G</w:t>
      </w:r>
      <w:r>
        <w:rPr>
          <w:vertAlign w:val="subscript"/>
        </w:rPr>
        <w:t>adv</w:t>
      </w:r>
      <w:r>
        <w:t xml:space="preserve"> = ṁ·c</w:t>
      </w:r>
      <w:r>
        <w:rPr>
          <w:vertAlign w:val="subscript"/>
        </w:rPr>
        <w:t>p</w:t>
      </w:r>
      <w:r>
        <w:t>.</w:t>
      </w:r>
    </w:p>
    <w:p>
      <w:pPr>
        <w:spacing w:after="120"/>
      </w:pPr>
      <w:r>
        <w:t xml:space="preserve">All temperatures are written as </w:t>
      </w:r>
      <w:r>
        <w:rPr>
          <w:b/>
        </w:rPr>
        <w:t>deviations from ambient</w:t>
      </w:r>
      <w:r>
        <w:t>, θ = T − T</w:t>
      </w:r>
      <w:r>
        <w:rPr>
          <w:vertAlign w:val="subscript"/>
        </w:rPr>
        <w:t>a</w:t>
      </w:r>
      <w:r>
        <w:t>, so ambient sits at zero and the ambient-drift disturbance appears explicitly as a −Ṫ</w:t>
      </w:r>
      <w:r>
        <w:rPr>
          <w:vertAlign w:val="subscript"/>
        </w:rPr>
        <w:t>a</w:t>
      </w:r>
      <w:r>
        <w:t xml:space="preserve"> term in every row rather than being scattered through the constants.</w:t>
      </w:r>
    </w:p>
    <w:p>
      <w:pPr>
        <w:pStyle w:val="Heading2"/>
      </w:pPr>
      <w:r>
        <w:t>Is lumping legitimate? — the Biot audit</w:t>
      </w:r>
    </w:p>
    <w:p>
      <w:pPr>
        <w:spacing w:after="120"/>
      </w:pPr>
      <w:r>
        <w:t>A body may be represented by a single temperature when its internal conduction resistance is small compared with its surface film resistance, i.e. when the Biot number is small:</w:t>
      </w:r>
    </w:p>
    <w:p>
      <w:pPr>
        <w:spacing w:before="160" w:after="160"/>
        <w:jc w:val="center"/>
      </w:pPr>
      <w:r>
        <w:rPr>
          <w:rFonts w:ascii="Cambria Math" w:hAnsi="Cambria Math"/>
          <w:sz w:val="24"/>
        </w:rPr>
        <w:t>Bi = h·L</w:t>
      </w:r>
      <w:r>
        <w:rPr>
          <w:rFonts w:ascii="Cambria Math" w:hAnsi="Cambria Math"/>
          <w:sz w:val="24"/>
          <w:vertAlign w:val="subscript"/>
        </w:rPr>
        <w:t>c</w:t>
      </w:r>
      <w:r>
        <w:rPr>
          <w:rFonts w:ascii="Cambria Math" w:hAnsi="Cambria Math"/>
          <w:sz w:val="24"/>
        </w:rPr>
        <w:t xml:space="preserve"> / k = R</w:t>
      </w:r>
      <w:r>
        <w:rPr>
          <w:rFonts w:ascii="Cambria Math" w:hAnsi="Cambria Math"/>
          <w:sz w:val="24"/>
          <w:vertAlign w:val="subscript"/>
        </w:rPr>
        <w:t>internal</w:t>
      </w:r>
      <w:r>
        <w:rPr>
          <w:rFonts w:ascii="Cambria Math" w:hAnsi="Cambria Math"/>
          <w:sz w:val="24"/>
        </w:rPr>
        <w:t xml:space="preserve"> / R</w:t>
      </w:r>
      <w:r>
        <w:rPr>
          <w:rFonts w:ascii="Cambria Math" w:hAnsi="Cambria Math"/>
          <w:sz w:val="24"/>
          <w:vertAlign w:val="subscript"/>
        </w:rPr>
        <w:t>film</w:t>
      </w:r>
      <w:r>
        <w:rPr>
          <w:rFonts w:ascii="Cambria Math" w:hAnsi="Cambria Math"/>
          <w:sz w:val="24"/>
        </w:rPr>
        <w:t xml:space="preserve"> ,   lump valid for Bi &lt; 0.1</w:t>
      </w:r>
      <w:r>
        <w:rPr>
          <w:sz w:val="20"/>
        </w:rPr>
        <w:tab/>
        <w:tab/>
        <w:t>(4)</w:t>
      </w:r>
    </w:p>
    <w:p>
      <w:pPr>
        <w:spacing w:after="120"/>
      </w:pPr>
      <w:r>
        <w:t>Every element inside the boundary was checked against this criterion, with deliberately high film coefficients so the test is conservative (fan-stirred air h = 50 W/m²K, water side 3 000, TIM contact 5 000).</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847"/>
            <w:shd w:val="clear" w:color="auto" w:fill="DEEAF6"/>
          </w:tcPr>
          <w:p>
            <w:pPr>
              <w:spacing w:after="20" w:before="20"/>
            </w:pPr>
            <w:r/>
            <w:r>
              <w:rPr>
                <w:b/>
                <w:sz w:val="17"/>
              </w:rPr>
              <w:t>Element</w:t>
            </w:r>
          </w:p>
        </w:tc>
        <w:tc>
          <w:tcPr>
            <w:tcW w:type="dxa" w:w="1744"/>
            <w:shd w:val="clear" w:color="auto" w:fill="DEEAF6"/>
          </w:tcPr>
          <w:p>
            <w:pPr>
              <w:spacing w:after="20" w:before="20"/>
            </w:pPr>
            <w:r/>
            <w:r>
              <w:rPr>
                <w:b/>
                <w:sz w:val="17"/>
              </w:rPr>
              <w:t>Path checked</w:t>
            </w:r>
          </w:p>
        </w:tc>
        <w:tc>
          <w:tcPr>
            <w:tcW w:type="dxa" w:w="923"/>
            <w:shd w:val="clear" w:color="auto" w:fill="DEEAF6"/>
          </w:tcPr>
          <w:p>
            <w:pPr>
              <w:spacing w:after="20" w:before="20"/>
            </w:pPr>
            <w:r/>
            <w:r>
              <w:rPr>
                <w:b/>
                <w:sz w:val="17"/>
              </w:rPr>
              <w:t>Bi</w:t>
            </w:r>
          </w:p>
        </w:tc>
        <w:tc>
          <w:tcPr>
            <w:tcW w:type="dxa" w:w="4514"/>
            <w:shd w:val="clear" w:color="auto" w:fill="DEEAF6"/>
          </w:tcPr>
          <w:p>
            <w:pPr>
              <w:spacing w:after="20" w:before="20"/>
            </w:pPr>
            <w:r/>
            <w:r>
              <w:rPr>
                <w:b/>
                <w:sz w:val="17"/>
              </w:rPr>
              <w:t>Verdict</w:t>
            </w:r>
          </w:p>
        </w:tc>
      </w:tr>
      <w:tr>
        <w:tc>
          <w:tcPr>
            <w:tcW w:type="dxa" w:w="1847"/>
          </w:tcPr>
          <w:p>
            <w:pPr>
              <w:spacing w:after="20" w:before="20"/>
            </w:pPr>
            <w:r/>
            <w:r>
              <w:rPr>
                <w:sz w:val="17"/>
              </w:rPr>
              <w:t>Trim-heater copper foils</w:t>
            </w:r>
          </w:p>
        </w:tc>
        <w:tc>
          <w:tcPr>
            <w:tcW w:type="dxa" w:w="1744"/>
          </w:tcPr>
          <w:p>
            <w:pPr>
              <w:spacing w:after="20" w:before="20"/>
            </w:pPr>
            <w:r/>
            <w:r>
              <w:rPr>
                <w:sz w:val="17"/>
              </w:rPr>
              <w:t>35 µm Cu</w:t>
            </w:r>
          </w:p>
        </w:tc>
        <w:tc>
          <w:tcPr>
            <w:tcW w:type="dxa" w:w="923"/>
          </w:tcPr>
          <w:p>
            <w:pPr>
              <w:spacing w:after="20" w:before="20"/>
            </w:pPr>
            <w:r/>
            <w:r>
              <w:rPr>
                <w:sz w:val="17"/>
              </w:rPr>
              <w:t>4 × 10⁻⁶</w:t>
            </w:r>
          </w:p>
        </w:tc>
        <w:tc>
          <w:tcPr>
            <w:tcW w:type="dxa" w:w="4514"/>
          </w:tcPr>
          <w:p>
            <w:pPr>
              <w:spacing w:after="20" w:before="20"/>
            </w:pPr>
            <w:r/>
            <w:r>
              <w:rPr>
                <w:sz w:val="17"/>
              </w:rPr>
              <w:t>Lump ✓</w:t>
            </w:r>
          </w:p>
        </w:tc>
      </w:tr>
      <w:tr>
        <w:tc>
          <w:tcPr>
            <w:tcW w:type="dxa" w:w="1847"/>
          </w:tcPr>
          <w:p>
            <w:pPr>
              <w:spacing w:after="20" w:before="20"/>
            </w:pPr>
            <w:r/>
            <w:r>
              <w:rPr>
                <w:sz w:val="17"/>
              </w:rPr>
              <w:t>Barrel resistor, ceramic core</w:t>
            </w:r>
          </w:p>
        </w:tc>
        <w:tc>
          <w:tcPr>
            <w:tcW w:type="dxa" w:w="1744"/>
          </w:tcPr>
          <w:p>
            <w:pPr>
              <w:spacing w:after="20" w:before="20"/>
            </w:pPr>
            <w:r/>
            <w:r>
              <w:rPr>
                <w:sz w:val="17"/>
              </w:rPr>
              <w:t>Ø20 mm cylinder</w:t>
            </w:r>
          </w:p>
        </w:tc>
        <w:tc>
          <w:tcPr>
            <w:tcW w:type="dxa" w:w="923"/>
          </w:tcPr>
          <w:p>
            <w:pPr>
              <w:spacing w:after="20" w:before="20"/>
            </w:pPr>
            <w:r/>
            <w:r>
              <w:rPr>
                <w:sz w:val="17"/>
              </w:rPr>
              <w:t>0.010</w:t>
            </w:r>
          </w:p>
        </w:tc>
        <w:tc>
          <w:tcPr>
            <w:tcW w:type="dxa" w:w="4514"/>
          </w:tcPr>
          <w:p>
            <w:pPr>
              <w:spacing w:after="20" w:before="20"/>
            </w:pPr>
            <w:r/>
            <w:r>
              <w:rPr>
                <w:sz w:val="17"/>
              </w:rPr>
              <w:t>Lump ✓</w:t>
            </w:r>
          </w:p>
        </w:tc>
      </w:tr>
      <w:tr>
        <w:tc>
          <w:tcPr>
            <w:tcW w:type="dxa" w:w="1847"/>
          </w:tcPr>
          <w:p>
            <w:pPr>
              <w:spacing w:after="20" w:before="20"/>
            </w:pPr>
            <w:r/>
            <w:r>
              <w:rPr>
                <w:sz w:val="17"/>
              </w:rPr>
              <w:t>Pickup-radiator fins</w:t>
            </w:r>
          </w:p>
        </w:tc>
        <w:tc>
          <w:tcPr>
            <w:tcW w:type="dxa" w:w="1744"/>
          </w:tcPr>
          <w:p>
            <w:pPr>
              <w:spacing w:after="20" w:before="20"/>
            </w:pPr>
            <w:r/>
            <w:r>
              <w:rPr>
                <w:sz w:val="17"/>
              </w:rPr>
              <w:t>0.1 mm fin</w:t>
            </w:r>
          </w:p>
        </w:tc>
        <w:tc>
          <w:tcPr>
            <w:tcW w:type="dxa" w:w="923"/>
          </w:tcPr>
          <w:p>
            <w:pPr>
              <w:spacing w:after="20" w:before="20"/>
            </w:pPr>
            <w:r/>
            <w:r>
              <w:rPr>
                <w:sz w:val="17"/>
              </w:rPr>
              <w:t>2 × 10⁻⁵</w:t>
            </w:r>
          </w:p>
        </w:tc>
        <w:tc>
          <w:tcPr>
            <w:tcW w:type="dxa" w:w="4514"/>
          </w:tcPr>
          <w:p>
            <w:pPr>
              <w:spacing w:after="20" w:before="20"/>
            </w:pPr>
            <w:r/>
            <w:r>
              <w:rPr>
                <w:sz w:val="17"/>
              </w:rPr>
              <w:t>Lump ✓</w:t>
            </w:r>
          </w:p>
        </w:tc>
      </w:tr>
      <w:tr>
        <w:tc>
          <w:tcPr>
            <w:tcW w:type="dxa" w:w="1847"/>
          </w:tcPr>
          <w:p>
            <w:pPr>
              <w:spacing w:after="20" w:before="20"/>
            </w:pPr>
            <w:r/>
            <w:r>
              <w:rPr>
                <w:sz w:val="17"/>
              </w:rPr>
              <w:t>Radiator tube wall</w:t>
            </w:r>
          </w:p>
        </w:tc>
        <w:tc>
          <w:tcPr>
            <w:tcW w:type="dxa" w:w="1744"/>
          </w:tcPr>
          <w:p>
            <w:pPr>
              <w:spacing w:after="20" w:before="20"/>
            </w:pPr>
            <w:r/>
            <w:r>
              <w:rPr>
                <w:sz w:val="17"/>
              </w:rPr>
              <w:t>0.5 mm brass, water side</w:t>
            </w:r>
          </w:p>
        </w:tc>
        <w:tc>
          <w:tcPr>
            <w:tcW w:type="dxa" w:w="923"/>
          </w:tcPr>
          <w:p>
            <w:pPr>
              <w:spacing w:after="20" w:before="20"/>
            </w:pPr>
            <w:r/>
            <w:r>
              <w:rPr>
                <w:sz w:val="17"/>
              </w:rPr>
              <w:t>0.014</w:t>
            </w:r>
          </w:p>
        </w:tc>
        <w:tc>
          <w:tcPr>
            <w:tcW w:type="dxa" w:w="4514"/>
          </w:tcPr>
          <w:p>
            <w:pPr>
              <w:spacing w:after="20" w:before="20"/>
            </w:pPr>
            <w:r/>
            <w:r>
              <w:rPr>
                <w:sz w:val="17"/>
              </w:rPr>
              <w:t>Lump ✓</w:t>
            </w:r>
          </w:p>
        </w:tc>
      </w:tr>
      <w:tr>
        <w:tc>
          <w:tcPr>
            <w:tcW w:type="dxa" w:w="1847"/>
          </w:tcPr>
          <w:p>
            <w:pPr>
              <w:spacing w:after="20" w:before="20"/>
            </w:pPr>
            <w:r/>
            <w:r>
              <w:rPr>
                <w:sz w:val="17"/>
              </w:rPr>
              <w:t>Wiring, Cu core</w:t>
            </w:r>
          </w:p>
        </w:tc>
        <w:tc>
          <w:tcPr>
            <w:tcW w:type="dxa" w:w="1744"/>
          </w:tcPr>
          <w:p>
            <w:pPr>
              <w:spacing w:after="20" w:before="20"/>
            </w:pPr>
            <w:r/>
            <w:r>
              <w:rPr>
                <w:sz w:val="17"/>
              </w:rPr>
              <w:t>Ø1 mm</w:t>
            </w:r>
          </w:p>
        </w:tc>
        <w:tc>
          <w:tcPr>
            <w:tcW w:type="dxa" w:w="923"/>
          </w:tcPr>
          <w:p>
            <w:pPr>
              <w:spacing w:after="20" w:before="20"/>
            </w:pPr>
            <w:r/>
            <w:r>
              <w:rPr>
                <w:sz w:val="17"/>
              </w:rPr>
              <w:t>3 × 10⁻⁵</w:t>
            </w:r>
          </w:p>
        </w:tc>
        <w:tc>
          <w:tcPr>
            <w:tcW w:type="dxa" w:w="4514"/>
          </w:tcPr>
          <w:p>
            <w:pPr>
              <w:spacing w:after="20" w:before="20"/>
            </w:pPr>
            <w:r/>
            <w:r>
              <w:rPr>
                <w:sz w:val="17"/>
              </w:rPr>
              <w:t>Lump ✓</w:t>
            </w:r>
          </w:p>
        </w:tc>
      </w:tr>
      <w:tr>
        <w:tc>
          <w:tcPr>
            <w:tcW w:type="dxa" w:w="1847"/>
          </w:tcPr>
          <w:p>
            <w:pPr>
              <w:spacing w:after="20" w:before="20"/>
            </w:pPr>
            <w:r/>
            <w:r>
              <w:rPr>
                <w:sz w:val="17"/>
              </w:rPr>
              <w:t>Fans, plastic impeller</w:t>
            </w:r>
          </w:p>
        </w:tc>
        <w:tc>
          <w:tcPr>
            <w:tcW w:type="dxa" w:w="1744"/>
          </w:tcPr>
          <w:p>
            <w:pPr>
              <w:spacing w:after="20" w:before="20"/>
            </w:pPr>
            <w:r/>
            <w:r>
              <w:rPr>
                <w:sz w:val="17"/>
              </w:rPr>
              <w:t>~2 mm PBT</w:t>
            </w:r>
          </w:p>
        </w:tc>
        <w:tc>
          <w:tcPr>
            <w:tcW w:type="dxa" w:w="923"/>
          </w:tcPr>
          <w:p>
            <w:pPr>
              <w:spacing w:after="20" w:before="20"/>
            </w:pPr>
            <w:r/>
            <w:r>
              <w:rPr>
                <w:sz w:val="17"/>
              </w:rPr>
              <w:t>0.20</w:t>
            </w:r>
          </w:p>
        </w:tc>
        <w:tc>
          <w:tcPr>
            <w:tcW w:type="dxa" w:w="4514"/>
          </w:tcPr>
          <w:p>
            <w:pPr>
              <w:spacing w:after="20" w:before="20"/>
            </w:pPr>
            <w:r/>
            <w:r>
              <w:rPr>
                <w:sz w:val="17"/>
              </w:rPr>
              <w:t>Borderline — C ≈ 30–60 J/K, ~1 % of the total, and metered anyway</w:t>
            </w:r>
          </w:p>
        </w:tc>
      </w:tr>
      <w:tr>
        <w:tc>
          <w:tcPr>
            <w:tcW w:type="dxa" w:w="1847"/>
          </w:tcPr>
          <w:p>
            <w:pPr>
              <w:spacing w:after="20" w:before="20"/>
            </w:pPr>
            <w:r/>
            <w:r>
              <w:rPr>
                <w:sz w:val="17"/>
              </w:rPr>
              <w:t>Sensor PCBs</w:t>
            </w:r>
          </w:p>
        </w:tc>
        <w:tc>
          <w:tcPr>
            <w:tcW w:type="dxa" w:w="1744"/>
          </w:tcPr>
          <w:p>
            <w:pPr>
              <w:spacing w:after="20" w:before="20"/>
            </w:pPr>
            <w:r/>
            <w:r>
              <w:rPr>
                <w:sz w:val="17"/>
              </w:rPr>
              <w:t>1.6 mm FR-4</w:t>
            </w:r>
          </w:p>
        </w:tc>
        <w:tc>
          <w:tcPr>
            <w:tcW w:type="dxa" w:w="923"/>
          </w:tcPr>
          <w:p>
            <w:pPr>
              <w:spacing w:after="20" w:before="20"/>
            </w:pPr>
            <w:r/>
            <w:r>
              <w:rPr>
                <w:sz w:val="17"/>
              </w:rPr>
              <w:t>0.13</w:t>
            </w:r>
          </w:p>
        </w:tc>
        <w:tc>
          <w:tcPr>
            <w:tcW w:type="dxa" w:w="4514"/>
          </w:tcPr>
          <w:p>
            <w:pPr>
              <w:spacing w:after="20" w:before="20"/>
            </w:pPr>
            <w:r/>
            <w:r>
              <w:rPr>
                <w:sz w:val="17"/>
              </w:rPr>
              <w:t>Borderline — C ≈ 2–5 J/K, negligible</w:t>
            </w:r>
          </w:p>
        </w:tc>
      </w:tr>
      <w:tr>
        <w:tc>
          <w:tcPr>
            <w:tcW w:type="dxa" w:w="1847"/>
          </w:tcPr>
          <w:p>
            <w:pPr>
              <w:spacing w:after="20" w:before="20"/>
            </w:pPr>
            <w:r/>
            <w:r>
              <w:rPr>
                <w:sz w:val="17"/>
              </w:rPr>
              <w:t>Chamber and gap air</w:t>
            </w:r>
          </w:p>
        </w:tc>
        <w:tc>
          <w:tcPr>
            <w:tcW w:type="dxa" w:w="1744"/>
          </w:tcPr>
          <w:p>
            <w:pPr>
              <w:spacing w:after="20" w:before="20"/>
            </w:pPr>
            <w:r/>
            <w:r>
              <w:rPr>
                <w:sz w:val="17"/>
              </w:rPr>
              <w:t>Fluid — Biot does not apply</w:t>
            </w:r>
          </w:p>
        </w:tc>
        <w:tc>
          <w:tcPr>
            <w:tcW w:type="dxa" w:w="923"/>
          </w:tcPr>
          <w:p>
            <w:pPr>
              <w:spacing w:after="20" w:before="20"/>
            </w:pPr>
            <w:r/>
            <w:r>
              <w:rPr>
                <w:sz w:val="17"/>
              </w:rPr>
              <w:t>—</w:t>
            </w:r>
          </w:p>
        </w:tc>
        <w:tc>
          <w:tcPr>
            <w:tcW w:type="dxa" w:w="4514"/>
          </w:tcPr>
          <w:p>
            <w:pPr>
              <w:spacing w:after="20" w:before="20"/>
            </w:pPr>
            <w:r/>
            <w:r>
              <w:rPr>
                <w:sz w:val="17"/>
              </w:rPr>
              <w:t xml:space="preserve">Lumped </w:t>
            </w:r>
            <w:r>
              <w:rPr>
                <w:b/>
                <w:sz w:val="17"/>
              </w:rPr>
              <w:t>by stirring</w:t>
            </w:r>
            <w:r>
              <w:rPr>
                <w:sz w:val="17"/>
              </w:rPr>
              <w:t>: the fans' turnover time is seconds against minutes of system τ. This, not heat transfer, is the fans' real job — it is what makes T</w:t>
            </w:r>
            <w:r>
              <w:rPr>
                <w:sz w:val="17"/>
                <w:vertAlign w:val="subscript"/>
              </w:rPr>
              <w:t>i</w:t>
            </w:r>
            <w:r>
              <w:rPr>
                <w:sz w:val="17"/>
              </w:rPr>
              <w:t xml:space="preserve"> and T</w:t>
            </w:r>
            <w:r>
              <w:rPr>
                <w:sz w:val="17"/>
                <w:vertAlign w:val="subscript"/>
              </w:rPr>
              <w:t>e</w:t>
            </w:r>
            <w:r>
              <w:rPr>
                <w:sz w:val="17"/>
              </w:rPr>
              <w:t xml:space="preserve"> mean something</w:t>
            </w:r>
          </w:p>
        </w:tc>
      </w:tr>
      <w:tr>
        <w:tc>
          <w:tcPr>
            <w:tcW w:type="dxa" w:w="1847"/>
          </w:tcPr>
          <w:p>
            <w:pPr>
              <w:spacing w:after="20" w:before="20"/>
            </w:pPr>
            <w:r/>
            <w:r>
              <w:rPr>
                <w:sz w:val="17"/>
              </w:rPr>
              <w:t>RTD / TMP117 probes</w:t>
            </w:r>
          </w:p>
        </w:tc>
        <w:tc>
          <w:tcPr>
            <w:tcW w:type="dxa" w:w="1744"/>
          </w:tcPr>
          <w:p>
            <w:pPr>
              <w:spacing w:after="20" w:before="20"/>
            </w:pPr>
            <w:r/>
            <w:r>
              <w:rPr>
                <w:sz w:val="17"/>
              </w:rPr>
              <w:t>Sheath, package</w:t>
            </w:r>
          </w:p>
        </w:tc>
        <w:tc>
          <w:tcPr>
            <w:tcW w:type="dxa" w:w="923"/>
          </w:tcPr>
          <w:p>
            <w:pPr>
              <w:spacing w:after="20" w:before="20"/>
            </w:pPr>
            <w:r/>
            <w:r>
              <w:rPr>
                <w:sz w:val="17"/>
              </w:rPr>
              <w:t>0.15–0.17</w:t>
            </w:r>
          </w:p>
        </w:tc>
        <w:tc>
          <w:tcPr>
            <w:tcW w:type="dxa" w:w="4514"/>
          </w:tcPr>
          <w:p>
            <w:pPr>
              <w:spacing w:after="20" w:before="20"/>
            </w:pPr>
            <w:r/>
            <w:r>
              <w:rPr>
                <w:sz w:val="17"/>
              </w:rPr>
              <w:t>Not lumps — modelled as first-order sensor lags 1/(τ</w:t>
            </w:r>
            <w:r>
              <w:rPr>
                <w:sz w:val="17"/>
                <w:vertAlign w:val="subscript"/>
              </w:rPr>
              <w:t>s</w:t>
            </w:r>
            <w:r>
              <w:rPr>
                <w:sz w:val="17"/>
              </w:rPr>
              <w:t>·s + 1)</w:t>
            </w:r>
          </w:p>
        </w:tc>
      </w:tr>
      <w:tr>
        <w:tc>
          <w:tcPr>
            <w:tcW w:type="dxa" w:w="1847"/>
          </w:tcPr>
          <w:p>
            <w:pPr>
              <w:spacing w:after="20" w:before="20"/>
            </w:pPr>
            <w:r/>
            <w:r>
              <w:rPr>
                <w:b/>
                <w:sz w:val="17"/>
              </w:rPr>
              <w:t>XPS shells, 50 mm</w:t>
            </w:r>
          </w:p>
        </w:tc>
        <w:tc>
          <w:tcPr>
            <w:tcW w:type="dxa" w:w="1744"/>
          </w:tcPr>
          <w:p>
            <w:pPr>
              <w:spacing w:after="20" w:before="20"/>
            </w:pPr>
            <w:r/>
            <w:r>
              <w:rPr>
                <w:sz w:val="17"/>
              </w:rPr>
              <w:t>Foam slab</w:t>
            </w:r>
          </w:p>
        </w:tc>
        <w:tc>
          <w:tcPr>
            <w:tcW w:type="dxa" w:w="923"/>
          </w:tcPr>
          <w:p>
            <w:pPr>
              <w:spacing w:after="20" w:before="20"/>
            </w:pPr>
            <w:r/>
            <w:r>
              <w:rPr>
                <w:b/>
                <w:sz w:val="17"/>
              </w:rPr>
              <w:t>≈ 70</w:t>
            </w:r>
          </w:p>
        </w:tc>
        <w:tc>
          <w:tcPr>
            <w:tcW w:type="dxa" w:w="4514"/>
          </w:tcPr>
          <w:p>
            <w:pPr>
              <w:spacing w:after="20" w:before="20"/>
            </w:pPr>
            <w:r/>
            <w:r>
              <w:rPr>
                <w:b/>
                <w:sz w:val="17"/>
              </w:rPr>
              <w:t>Wall, not lump — by design.</w:t>
            </w:r>
            <w:r>
              <w:rPr>
                <w:sz w:val="17"/>
              </w:rPr>
              <w:t xml:space="preserve"> Bi ≫ 1 is the definition of a wall: the temperature drop lives inside the material, so it is modelled as a conductance (G</w:t>
            </w:r>
            <w:r>
              <w:rPr>
                <w:sz w:val="17"/>
                <w:vertAlign w:val="subscript"/>
              </w:rPr>
              <w:t>gap</w:t>
            </w:r>
            <w:r>
              <w:rPr>
                <w:sz w:val="17"/>
              </w:rPr>
              <w:t>, G</w:t>
            </w:r>
            <w:r>
              <w:rPr>
                <w:sz w:val="17"/>
                <w:vertAlign w:val="subscript"/>
              </w:rPr>
              <w:t>out</w:t>
            </w:r>
            <w:r>
              <w:rPr>
                <w:sz w:val="17"/>
              </w:rPr>
              <w:t>)</w:t>
            </w:r>
          </w:p>
        </w:tc>
      </w:tr>
      <w:tr>
        <w:tc>
          <w:tcPr>
            <w:tcW w:type="dxa" w:w="1847"/>
          </w:tcPr>
          <w:p>
            <w:pPr>
              <w:spacing w:after="20" w:before="20"/>
            </w:pPr>
            <w:r/>
            <w:r>
              <w:rPr>
                <w:b/>
                <w:sz w:val="17"/>
              </w:rPr>
              <w:t>DUT board</w:t>
            </w:r>
          </w:p>
        </w:tc>
        <w:tc>
          <w:tcPr>
            <w:tcW w:type="dxa" w:w="1744"/>
          </w:tcPr>
          <w:p>
            <w:pPr>
              <w:spacing w:after="20" w:before="20"/>
            </w:pPr>
            <w:r/>
            <w:r>
              <w:rPr>
                <w:sz w:val="17"/>
              </w:rPr>
              <w:t>1.6 mm FR-4 into air or TIM</w:t>
            </w:r>
          </w:p>
        </w:tc>
        <w:tc>
          <w:tcPr>
            <w:tcW w:type="dxa" w:w="923"/>
          </w:tcPr>
          <w:p>
            <w:pPr>
              <w:spacing w:after="20" w:before="20"/>
            </w:pPr>
            <w:r/>
            <w:r>
              <w:rPr>
                <w:b/>
                <w:sz w:val="17"/>
              </w:rPr>
              <w:t>0.27 … 27</w:t>
            </w:r>
          </w:p>
        </w:tc>
        <w:tc>
          <w:tcPr>
            <w:tcW w:type="dxa" w:w="4514"/>
          </w:tcPr>
          <w:p>
            <w:pPr>
              <w:spacing w:after="20" w:before="20"/>
            </w:pPr>
            <w:r/>
            <w:r>
              <w:rPr>
                <w:b/>
                <w:sz w:val="17"/>
              </w:rPr>
              <w:t>Fails — and that is why the instrument is a calorimeter.</w:t>
            </w:r>
            <w:r>
              <w:rPr>
                <w:sz w:val="17"/>
              </w:rPr>
              <w:t xml:space="preserve"> Junctions run tens of kelvin above the baseplate, so the DUT can never be one temperature. The reading never uses a DUT temperature: at dT/dt = 0 the internal gradients are constant and every dissipated watt must still leave along a metered path, however ugly the inside is</w:t>
            </w:r>
          </w:p>
        </w:tc>
      </w:tr>
    </w:tbl>
    <w:p>
      <w:pPr>
        <w:spacing w:before="60" w:after="200"/>
        <w:jc w:val="left"/>
      </w:pPr>
      <w:r>
        <w:rPr>
          <w:i/>
          <w:sz w:val="18"/>
        </w:rPr>
        <w:t>Table 10. Biot audit. The two failures are structural features, not modelling errors: the foam is supposed to be a wall, and the DUT is supposed to be opaque to the measurement.</w:t>
      </w:r>
    </w:p>
    <w:p>
      <w:pPr>
        <w:pStyle w:val="Heading2"/>
      </w:pPr>
      <w:r>
        <w:t>The node equations</w:t>
      </w:r>
    </w:p>
    <w:p>
      <w:pPr>
        <w:spacing w:after="120"/>
      </w:pPr>
      <w:r>
        <w:t>Three storage nodes survive the audit, plus one algebraic readout. With θ ≡ T − T</w:t>
      </w:r>
      <w:r>
        <w:rPr>
          <w:vertAlign w:val="subscript"/>
        </w:rPr>
        <w:t>a</w:t>
      </w:r>
      <w:r>
        <w:t xml:space="preserve"> throughout:</w:t>
      </w:r>
    </w:p>
    <w:p>
      <w:pPr>
        <w:spacing w:before="160" w:after="160"/>
        <w:jc w:val="center"/>
      </w:pPr>
      <w:r>
        <w:rPr>
          <w:rFonts w:ascii="Cambria Math" w:hAnsi="Cambria Math"/>
          <w:sz w:val="24"/>
        </w:rPr>
        <w:t>C</w:t>
      </w:r>
      <w:r>
        <w:rPr>
          <w:rFonts w:ascii="Cambria Math" w:hAnsi="Cambria Math"/>
          <w:sz w:val="24"/>
          <w:vertAlign w:val="subscript"/>
        </w:rPr>
        <w:t>i</w:t>
      </w:r>
      <w:r>
        <w:rPr>
          <w:rFonts w:ascii="Cambria Math" w:hAnsi="Cambria Math"/>
          <w:sz w:val="24"/>
        </w:rPr>
        <w:t>·dθ</w:t>
      </w:r>
      <w:r>
        <w:rPr>
          <w:rFonts w:ascii="Cambria Math" w:hAnsi="Cambria Math"/>
          <w:sz w:val="24"/>
          <w:vertAlign w:val="subscript"/>
        </w:rPr>
        <w:t>i</w:t>
      </w:r>
      <w:r>
        <w:rPr>
          <w:rFonts w:ascii="Cambria Math" w:hAnsi="Cambria Math"/>
          <w:sz w:val="24"/>
        </w:rPr>
        <w:t>/dt = (1−α)·P</w:t>
      </w:r>
      <w:r>
        <w:rPr>
          <w:rFonts w:ascii="Cambria Math" w:hAnsi="Cambria Math"/>
          <w:sz w:val="24"/>
          <w:vertAlign w:val="subscript"/>
        </w:rPr>
        <w:t>DUT</w:t>
      </w:r>
      <w:r>
        <w:rPr>
          <w:rFonts w:ascii="Cambria Math" w:hAnsi="Cambria Math"/>
          <w:sz w:val="24"/>
        </w:rPr>
        <w:t xml:space="preserve"> + P</w:t>
      </w:r>
      <w:r>
        <w:rPr>
          <w:rFonts w:ascii="Cambria Math" w:hAnsi="Cambria Math"/>
          <w:sz w:val="24"/>
          <w:vertAlign w:val="subscript"/>
        </w:rPr>
        <w:t>aux</w:t>
      </w:r>
      <w:r>
        <w:rPr>
          <w:rFonts w:ascii="Cambria Math" w:hAnsi="Cambria Math"/>
          <w:sz w:val="24"/>
        </w:rPr>
        <w:t xml:space="preserve"> − UA</w:t>
      </w:r>
      <w:r>
        <w:rPr>
          <w:rFonts w:ascii="Cambria Math" w:hAnsi="Cambria Math"/>
          <w:sz w:val="24"/>
          <w:vertAlign w:val="subscript"/>
        </w:rPr>
        <w:t>rad</w:t>
      </w:r>
      <w:r>
        <w:rPr>
          <w:rFonts w:ascii="Cambria Math" w:hAnsi="Cambria Math"/>
          <w:sz w:val="24"/>
        </w:rPr>
        <w:t>·(θ</w:t>
      </w:r>
      <w:r>
        <w:rPr>
          <w:rFonts w:ascii="Cambria Math" w:hAnsi="Cambria Math"/>
          <w:sz w:val="24"/>
          <w:vertAlign w:val="subscript"/>
        </w:rPr>
        <w:t>i</w:t>
      </w:r>
      <w:r>
        <w:rPr>
          <w:rFonts w:ascii="Cambria Math" w:hAnsi="Cambria Math"/>
          <w:sz w:val="24"/>
        </w:rPr>
        <w:t xml:space="preserve"> − θ</w:t>
      </w:r>
      <w:r>
        <w:rPr>
          <w:rFonts w:ascii="Cambria Math" w:hAnsi="Cambria Math"/>
          <w:sz w:val="24"/>
          <w:vertAlign w:val="subscript"/>
        </w:rPr>
        <w:t>w</w:t>
      </w:r>
      <w:r>
        <w:rPr>
          <w:rFonts w:ascii="Cambria Math" w:hAnsi="Cambria Math"/>
          <w:sz w:val="24"/>
        </w:rPr>
        <w:t>) − G</w:t>
      </w:r>
      <w:r>
        <w:rPr>
          <w:rFonts w:ascii="Cambria Math" w:hAnsi="Cambria Math"/>
          <w:sz w:val="24"/>
          <w:vertAlign w:val="subscript"/>
        </w:rPr>
        <w:t>gap</w:t>
      </w:r>
      <w:r>
        <w:rPr>
          <w:rFonts w:ascii="Cambria Math" w:hAnsi="Cambria Math"/>
          <w:sz w:val="24"/>
        </w:rPr>
        <w:t>·(θ</w:t>
      </w:r>
      <w:r>
        <w:rPr>
          <w:rFonts w:ascii="Cambria Math" w:hAnsi="Cambria Math"/>
          <w:sz w:val="24"/>
          <w:vertAlign w:val="subscript"/>
        </w:rPr>
        <w:t>i</w:t>
      </w:r>
      <w:r>
        <w:rPr>
          <w:rFonts w:ascii="Cambria Math" w:hAnsi="Cambria Math"/>
          <w:sz w:val="24"/>
        </w:rPr>
        <w:t xml:space="preserve"> − θ</w:t>
      </w:r>
      <w:r>
        <w:rPr>
          <w:rFonts w:ascii="Cambria Math" w:hAnsi="Cambria Math"/>
          <w:sz w:val="24"/>
          <w:vertAlign w:val="subscript"/>
        </w:rPr>
        <w:t>e</w:t>
      </w:r>
      <w:r>
        <w:rPr>
          <w:rFonts w:ascii="Cambria Math" w:hAnsi="Cambria Math"/>
          <w:sz w:val="24"/>
        </w:rPr>
        <w:t>) − C</w:t>
      </w:r>
      <w:r>
        <w:rPr>
          <w:rFonts w:ascii="Cambria Math" w:hAnsi="Cambria Math"/>
          <w:sz w:val="24"/>
          <w:vertAlign w:val="subscript"/>
        </w:rPr>
        <w:t>i</w:t>
      </w:r>
      <w:r>
        <w:rPr>
          <w:rFonts w:ascii="Cambria Math" w:hAnsi="Cambria Math"/>
          <w:sz w:val="24"/>
        </w:rPr>
        <w:t>·Ṫ</w:t>
      </w:r>
      <w:r>
        <w:rPr>
          <w:rFonts w:ascii="Cambria Math" w:hAnsi="Cambria Math"/>
          <w:sz w:val="24"/>
          <w:vertAlign w:val="subscript"/>
        </w:rPr>
        <w:t>a</w:t>
      </w:r>
      <w:r>
        <w:rPr>
          <w:sz w:val="20"/>
        </w:rPr>
        <w:tab/>
        <w:tab/>
        <w:t>(5a)</w:t>
      </w:r>
    </w:p>
    <w:p>
      <w:pPr>
        <w:spacing w:before="160" w:after="160"/>
        <w:jc w:val="center"/>
      </w:pPr>
      <w:r>
        <w:rPr>
          <w:rFonts w:ascii="Cambria Math" w:hAnsi="Cambria Math"/>
          <w:sz w:val="24"/>
        </w:rPr>
        <w:t>C</w:t>
      </w:r>
      <w:r>
        <w:rPr>
          <w:rFonts w:ascii="Cambria Math" w:hAnsi="Cambria Math"/>
          <w:sz w:val="24"/>
          <w:vertAlign w:val="subscript"/>
        </w:rPr>
        <w:t>w</w:t>
      </w:r>
      <w:r>
        <w:rPr>
          <w:rFonts w:ascii="Cambria Math" w:hAnsi="Cambria Math"/>
          <w:sz w:val="24"/>
        </w:rPr>
        <w:t>·dθ</w:t>
      </w:r>
      <w:r>
        <w:rPr>
          <w:rFonts w:ascii="Cambria Math" w:hAnsi="Cambria Math"/>
          <w:sz w:val="24"/>
          <w:vertAlign w:val="subscript"/>
        </w:rPr>
        <w:t>w</w:t>
      </w:r>
      <w:r>
        <w:rPr>
          <w:rFonts w:ascii="Cambria Math" w:hAnsi="Cambria Math"/>
          <w:sz w:val="24"/>
        </w:rPr>
        <w:t>/dt = α·P</w:t>
      </w:r>
      <w:r>
        <w:rPr>
          <w:rFonts w:ascii="Cambria Math" w:hAnsi="Cambria Math"/>
          <w:sz w:val="24"/>
          <w:vertAlign w:val="subscript"/>
        </w:rPr>
        <w:t>DUT</w:t>
      </w:r>
      <w:r>
        <w:rPr>
          <w:rFonts w:ascii="Cambria Math" w:hAnsi="Cambria Math"/>
          <w:sz w:val="24"/>
        </w:rPr>
        <w:t xml:space="preserve"> + UA</w:t>
      </w:r>
      <w:r>
        <w:rPr>
          <w:rFonts w:ascii="Cambria Math" w:hAnsi="Cambria Math"/>
          <w:sz w:val="24"/>
          <w:vertAlign w:val="subscript"/>
        </w:rPr>
        <w:t>rad</w:t>
      </w:r>
      <w:r>
        <w:rPr>
          <w:rFonts w:ascii="Cambria Math" w:hAnsi="Cambria Math"/>
          <w:sz w:val="24"/>
        </w:rPr>
        <w:t>·(θ</w:t>
      </w:r>
      <w:r>
        <w:rPr>
          <w:rFonts w:ascii="Cambria Math" w:hAnsi="Cambria Math"/>
          <w:sz w:val="24"/>
          <w:vertAlign w:val="subscript"/>
        </w:rPr>
        <w:t>i</w:t>
      </w:r>
      <w:r>
        <w:rPr>
          <w:rFonts w:ascii="Cambria Math" w:hAnsi="Cambria Math"/>
          <w:sz w:val="24"/>
        </w:rPr>
        <w:t xml:space="preserve"> − θ</w:t>
      </w:r>
      <w:r>
        <w:rPr>
          <w:rFonts w:ascii="Cambria Math" w:hAnsi="Cambria Math"/>
          <w:sz w:val="24"/>
          <w:vertAlign w:val="subscript"/>
        </w:rPr>
        <w:t>w</w:t>
      </w:r>
      <w:r>
        <w:rPr>
          <w:rFonts w:ascii="Cambria Math" w:hAnsi="Cambria Math"/>
          <w:sz w:val="24"/>
        </w:rPr>
        <w:t>) − ṁc</w:t>
      </w:r>
      <w:r>
        <w:rPr>
          <w:rFonts w:ascii="Cambria Math" w:hAnsi="Cambria Math"/>
          <w:sz w:val="24"/>
          <w:vertAlign w:val="subscript"/>
        </w:rPr>
        <w:t>p</w:t>
      </w:r>
      <w:r>
        <w:rPr>
          <w:rFonts w:ascii="Cambria Math" w:hAnsi="Cambria Math"/>
          <w:sz w:val="24"/>
        </w:rPr>
        <w:t>·(θ</w:t>
      </w:r>
      <w:r>
        <w:rPr>
          <w:rFonts w:ascii="Cambria Math" w:hAnsi="Cambria Math"/>
          <w:sz w:val="24"/>
          <w:vertAlign w:val="subscript"/>
        </w:rPr>
        <w:t>w</w:t>
      </w:r>
      <w:r>
        <w:rPr>
          <w:rFonts w:ascii="Cambria Math" w:hAnsi="Cambria Math"/>
          <w:sz w:val="24"/>
        </w:rPr>
        <w:t xml:space="preserve"> − θ</w:t>
      </w:r>
      <w:r>
        <w:rPr>
          <w:rFonts w:ascii="Cambria Math" w:hAnsi="Cambria Math"/>
          <w:sz w:val="24"/>
          <w:vertAlign w:val="subscript"/>
        </w:rPr>
        <w:t>in</w:t>
      </w:r>
      <w:r>
        <w:rPr>
          <w:rFonts w:ascii="Cambria Math" w:hAnsi="Cambria Math"/>
          <w:sz w:val="24"/>
        </w:rPr>
        <w:t>) − C</w:t>
      </w:r>
      <w:r>
        <w:rPr>
          <w:rFonts w:ascii="Cambria Math" w:hAnsi="Cambria Math"/>
          <w:sz w:val="24"/>
          <w:vertAlign w:val="subscript"/>
        </w:rPr>
        <w:t>w</w:t>
      </w:r>
      <w:r>
        <w:rPr>
          <w:rFonts w:ascii="Cambria Math" w:hAnsi="Cambria Math"/>
          <w:sz w:val="24"/>
        </w:rPr>
        <w:t>·Ṫ</w:t>
      </w:r>
      <w:r>
        <w:rPr>
          <w:rFonts w:ascii="Cambria Math" w:hAnsi="Cambria Math"/>
          <w:sz w:val="24"/>
          <w:vertAlign w:val="subscript"/>
        </w:rPr>
        <w:t>a</w:t>
      </w:r>
      <w:r>
        <w:rPr>
          <w:sz w:val="20"/>
        </w:rPr>
        <w:tab/>
        <w:tab/>
        <w:t>(5b)</w:t>
      </w:r>
    </w:p>
    <w:p>
      <w:pPr>
        <w:spacing w:before="160" w:after="160"/>
        <w:jc w:val="center"/>
      </w:pPr>
      <w:r>
        <w:rPr>
          <w:rFonts w:ascii="Cambria Math" w:hAnsi="Cambria Math"/>
          <w:sz w:val="24"/>
        </w:rPr>
        <w:t>C</w:t>
      </w:r>
      <w:r>
        <w:rPr>
          <w:rFonts w:ascii="Cambria Math" w:hAnsi="Cambria Math"/>
          <w:sz w:val="24"/>
          <w:vertAlign w:val="subscript"/>
        </w:rPr>
        <w:t>e</w:t>
      </w:r>
      <w:r>
        <w:rPr>
          <w:rFonts w:ascii="Cambria Math" w:hAnsi="Cambria Math"/>
          <w:sz w:val="24"/>
        </w:rPr>
        <w:t>·dθ</w:t>
      </w:r>
      <w:r>
        <w:rPr>
          <w:rFonts w:ascii="Cambria Math" w:hAnsi="Cambria Math"/>
          <w:sz w:val="24"/>
          <w:vertAlign w:val="subscript"/>
        </w:rPr>
        <w:t>e</w:t>
      </w:r>
      <w:r>
        <w:rPr>
          <w:rFonts w:ascii="Cambria Math" w:hAnsi="Cambria Math"/>
          <w:sz w:val="24"/>
        </w:rPr>
        <w:t>/dt = P</w:t>
      </w:r>
      <w:r>
        <w:rPr>
          <w:rFonts w:ascii="Cambria Math" w:hAnsi="Cambria Math"/>
          <w:sz w:val="24"/>
          <w:vertAlign w:val="subscript"/>
        </w:rPr>
        <w:t>e</w:t>
      </w:r>
      <w:r>
        <w:rPr>
          <w:rFonts w:ascii="Cambria Math" w:hAnsi="Cambria Math"/>
          <w:sz w:val="24"/>
        </w:rPr>
        <w:t xml:space="preserve"> + G</w:t>
      </w:r>
      <w:r>
        <w:rPr>
          <w:rFonts w:ascii="Cambria Math" w:hAnsi="Cambria Math"/>
          <w:sz w:val="24"/>
          <w:vertAlign w:val="subscript"/>
        </w:rPr>
        <w:t>gap</w:t>
      </w:r>
      <w:r>
        <w:rPr>
          <w:rFonts w:ascii="Cambria Math" w:hAnsi="Cambria Math"/>
          <w:sz w:val="24"/>
        </w:rPr>
        <w:t>·(θ</w:t>
      </w:r>
      <w:r>
        <w:rPr>
          <w:rFonts w:ascii="Cambria Math" w:hAnsi="Cambria Math"/>
          <w:sz w:val="24"/>
          <w:vertAlign w:val="subscript"/>
        </w:rPr>
        <w:t>i</w:t>
      </w:r>
      <w:r>
        <w:rPr>
          <w:rFonts w:ascii="Cambria Math" w:hAnsi="Cambria Math"/>
          <w:sz w:val="24"/>
        </w:rPr>
        <w:t xml:space="preserve"> − θ</w:t>
      </w:r>
      <w:r>
        <w:rPr>
          <w:rFonts w:ascii="Cambria Math" w:hAnsi="Cambria Math"/>
          <w:sz w:val="24"/>
          <w:vertAlign w:val="subscript"/>
        </w:rPr>
        <w:t>e</w:t>
      </w:r>
      <w:r>
        <w:rPr>
          <w:rFonts w:ascii="Cambria Math" w:hAnsi="Cambria Math"/>
          <w:sz w:val="24"/>
        </w:rPr>
        <w:t>) − G</w:t>
      </w:r>
      <w:r>
        <w:rPr>
          <w:rFonts w:ascii="Cambria Math" w:hAnsi="Cambria Math"/>
          <w:sz w:val="24"/>
          <w:vertAlign w:val="subscript"/>
        </w:rPr>
        <w:t>out</w:t>
      </w:r>
      <w:r>
        <w:rPr>
          <w:rFonts w:ascii="Cambria Math" w:hAnsi="Cambria Math"/>
          <w:sz w:val="24"/>
        </w:rPr>
        <w:t>·θ</w:t>
      </w:r>
      <w:r>
        <w:rPr>
          <w:rFonts w:ascii="Cambria Math" w:hAnsi="Cambria Math"/>
          <w:sz w:val="24"/>
          <w:vertAlign w:val="subscript"/>
        </w:rPr>
        <w:t>e</w:t>
      </w:r>
      <w:r>
        <w:rPr>
          <w:rFonts w:ascii="Cambria Math" w:hAnsi="Cambria Math"/>
          <w:sz w:val="24"/>
        </w:rPr>
        <w:t xml:space="preserve"> − C</w:t>
      </w:r>
      <w:r>
        <w:rPr>
          <w:rFonts w:ascii="Cambria Math" w:hAnsi="Cambria Math"/>
          <w:sz w:val="24"/>
          <w:vertAlign w:val="subscript"/>
        </w:rPr>
        <w:t>e</w:t>
      </w:r>
      <w:r>
        <w:rPr>
          <w:rFonts w:ascii="Cambria Math" w:hAnsi="Cambria Math"/>
          <w:sz w:val="24"/>
        </w:rPr>
        <w:t>·Ṫ</w:t>
      </w:r>
      <w:r>
        <w:rPr>
          <w:rFonts w:ascii="Cambria Math" w:hAnsi="Cambria Math"/>
          <w:sz w:val="24"/>
          <w:vertAlign w:val="subscript"/>
        </w:rPr>
        <w:t>a</w:t>
      </w:r>
      <w:r>
        <w:rPr>
          <w:sz w:val="20"/>
        </w:rPr>
        <w:tab/>
        <w:tab/>
        <w:t>(5c)</w:t>
      </w:r>
    </w:p>
    <w:p>
      <w:pPr>
        <w:spacing w:before="160" w:after="160"/>
        <w:jc w:val="center"/>
      </w:pPr>
      <w:r>
        <w:rPr>
          <w:rFonts w:ascii="Cambria Math" w:hAnsi="Cambria Math"/>
          <w:sz w:val="24"/>
        </w:rPr>
        <w:t>P</w:t>
      </w:r>
      <w:r>
        <w:rPr>
          <w:rFonts w:ascii="Cambria Math" w:hAnsi="Cambria Math"/>
          <w:sz w:val="24"/>
          <w:vertAlign w:val="subscript"/>
        </w:rPr>
        <w:t>meas</w:t>
      </w:r>
      <w:r>
        <w:rPr>
          <w:rFonts w:ascii="Cambria Math" w:hAnsi="Cambria Math"/>
          <w:sz w:val="24"/>
        </w:rPr>
        <w:t xml:space="preserve"> = ṁc</w:t>
      </w:r>
      <w:r>
        <w:rPr>
          <w:rFonts w:ascii="Cambria Math" w:hAnsi="Cambria Math"/>
          <w:sz w:val="24"/>
          <w:vertAlign w:val="subscript"/>
        </w:rPr>
        <w:t>p</w:t>
      </w:r>
      <w:r>
        <w:rPr>
          <w:rFonts w:ascii="Cambria Math" w:hAnsi="Cambria Math"/>
          <w:sz w:val="24"/>
        </w:rPr>
        <w:t>·(θ</w:t>
      </w:r>
      <w:r>
        <w:rPr>
          <w:rFonts w:ascii="Cambria Math" w:hAnsi="Cambria Math"/>
          <w:sz w:val="24"/>
          <w:vertAlign w:val="subscript"/>
        </w:rPr>
        <w:t>w</w:t>
      </w:r>
      <w:r>
        <w:rPr>
          <w:rFonts w:ascii="Cambria Math" w:hAnsi="Cambria Math"/>
          <w:sz w:val="24"/>
        </w:rPr>
        <w:t xml:space="preserve"> − θ</w:t>
      </w:r>
      <w:r>
        <w:rPr>
          <w:rFonts w:ascii="Cambria Math" w:hAnsi="Cambria Math"/>
          <w:sz w:val="24"/>
          <w:vertAlign w:val="subscript"/>
        </w:rPr>
        <w:t>in</w:t>
      </w:r>
      <w:r>
        <w:rPr>
          <w:rFonts w:ascii="Cambria Math" w:hAnsi="Cambria Math"/>
          <w:sz w:val="24"/>
        </w:rPr>
        <w:t>) − P</w:t>
      </w:r>
      <w:r>
        <w:rPr>
          <w:rFonts w:ascii="Cambria Math" w:hAnsi="Cambria Math"/>
          <w:sz w:val="24"/>
          <w:vertAlign w:val="subscript"/>
        </w:rPr>
        <w:t>aux</w:t>
      </w:r>
      <w:r>
        <w:rPr>
          <w:sz w:val="20"/>
        </w:rPr>
        <w:tab/>
        <w:tab/>
        <w:t>(5d)</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548"/>
            <w:shd w:val="clear" w:color="auto" w:fill="DEEAF6"/>
          </w:tcPr>
          <w:p>
            <w:pPr>
              <w:spacing w:after="20" w:before="20"/>
            </w:pPr>
            <w:r/>
            <w:r>
              <w:rPr>
                <w:b/>
                <w:sz w:val="18"/>
              </w:rPr>
              <w:t>Symbol</w:t>
            </w:r>
          </w:p>
        </w:tc>
        <w:tc>
          <w:tcPr>
            <w:tcW w:type="dxa" w:w="6449"/>
            <w:shd w:val="clear" w:color="auto" w:fill="DEEAF6"/>
          </w:tcPr>
          <w:p>
            <w:pPr>
              <w:spacing w:after="20" w:before="20"/>
            </w:pPr>
            <w:r/>
            <w:r>
              <w:rPr>
                <w:b/>
                <w:sz w:val="18"/>
              </w:rPr>
              <w:t>Meaning</w:t>
            </w:r>
          </w:p>
        </w:tc>
        <w:tc>
          <w:tcPr>
            <w:tcW w:type="dxa" w:w="1032"/>
            <w:shd w:val="clear" w:color="auto" w:fill="DEEAF6"/>
          </w:tcPr>
          <w:p>
            <w:pPr>
              <w:spacing w:after="20" w:before="20"/>
            </w:pPr>
            <w:r/>
            <w:r>
              <w:rPr>
                <w:b/>
                <w:sz w:val="18"/>
              </w:rPr>
              <w:t>Unit</w:t>
            </w:r>
          </w:p>
        </w:tc>
      </w:tr>
      <w:tr>
        <w:tc>
          <w:tcPr>
            <w:tcW w:type="dxa" w:w="1548"/>
          </w:tcPr>
          <w:p>
            <w:pPr>
              <w:spacing w:after="20" w:before="20"/>
            </w:pPr>
            <w:r/>
            <w:r>
              <w:rPr>
                <w:sz w:val="18"/>
              </w:rPr>
              <w:t>θ</w:t>
            </w:r>
            <w:r>
              <w:rPr>
                <w:sz w:val="18"/>
                <w:vertAlign w:val="subscript"/>
              </w:rPr>
              <w:t>i</w:t>
            </w:r>
          </w:p>
        </w:tc>
        <w:tc>
          <w:tcPr>
            <w:tcW w:type="dxa" w:w="6449"/>
          </w:tcPr>
          <w:p>
            <w:pPr>
              <w:spacing w:after="20" w:before="20"/>
            </w:pPr>
            <w:r/>
            <w:r>
              <w:rPr>
                <w:sz w:val="18"/>
              </w:rPr>
              <w:t>Chamber air, above ambient</w:t>
            </w:r>
          </w:p>
        </w:tc>
        <w:tc>
          <w:tcPr>
            <w:tcW w:type="dxa" w:w="1032"/>
          </w:tcPr>
          <w:p>
            <w:pPr>
              <w:spacing w:after="20" w:before="20"/>
            </w:pPr>
            <w:r/>
            <w:r>
              <w:rPr>
                <w:sz w:val="18"/>
              </w:rPr>
              <w:t>K</w:t>
            </w:r>
          </w:p>
        </w:tc>
      </w:tr>
      <w:tr>
        <w:tc>
          <w:tcPr>
            <w:tcW w:type="dxa" w:w="1548"/>
          </w:tcPr>
          <w:p>
            <w:pPr>
              <w:spacing w:after="20" w:before="20"/>
            </w:pPr>
            <w:r/>
            <w:r>
              <w:rPr>
                <w:sz w:val="18"/>
              </w:rPr>
              <w:t>θ</w:t>
            </w:r>
            <w:r>
              <w:rPr>
                <w:sz w:val="18"/>
                <w:vertAlign w:val="subscript"/>
              </w:rPr>
              <w:t>w</w:t>
            </w:r>
          </w:p>
        </w:tc>
        <w:tc>
          <w:tcPr>
            <w:tcW w:type="dxa" w:w="6449"/>
          </w:tcPr>
          <w:p>
            <w:pPr>
              <w:spacing w:after="20" w:before="20"/>
            </w:pPr>
            <w:r/>
            <w:r>
              <w:rPr>
                <w:sz w:val="18"/>
              </w:rPr>
              <w:t>Water side — resident loop water, radiator core, DUT mass</w:t>
            </w:r>
          </w:p>
        </w:tc>
        <w:tc>
          <w:tcPr>
            <w:tcW w:type="dxa" w:w="1032"/>
          </w:tcPr>
          <w:p>
            <w:pPr>
              <w:spacing w:after="20" w:before="20"/>
            </w:pPr>
            <w:r/>
            <w:r>
              <w:rPr>
                <w:sz w:val="18"/>
              </w:rPr>
              <w:t>K</w:t>
            </w:r>
          </w:p>
        </w:tc>
      </w:tr>
      <w:tr>
        <w:tc>
          <w:tcPr>
            <w:tcW w:type="dxa" w:w="1548"/>
          </w:tcPr>
          <w:p>
            <w:pPr>
              <w:spacing w:after="20" w:before="20"/>
            </w:pPr>
            <w:r/>
            <w:r>
              <w:rPr>
                <w:sz w:val="18"/>
              </w:rPr>
              <w:t>θ</w:t>
            </w:r>
            <w:r>
              <w:rPr>
                <w:sz w:val="18"/>
                <w:vertAlign w:val="subscript"/>
              </w:rPr>
              <w:t>e</w:t>
            </w:r>
          </w:p>
        </w:tc>
        <w:tc>
          <w:tcPr>
            <w:tcW w:type="dxa" w:w="6449"/>
          </w:tcPr>
          <w:p>
            <w:pPr>
              <w:spacing w:after="20" w:before="20"/>
            </w:pPr>
            <w:r/>
            <w:r>
              <w:rPr>
                <w:sz w:val="18"/>
              </w:rPr>
              <w:t>Guard gap air</w:t>
            </w:r>
          </w:p>
        </w:tc>
        <w:tc>
          <w:tcPr>
            <w:tcW w:type="dxa" w:w="1032"/>
          </w:tcPr>
          <w:p>
            <w:pPr>
              <w:spacing w:after="20" w:before="20"/>
            </w:pPr>
            <w:r/>
            <w:r>
              <w:rPr>
                <w:sz w:val="18"/>
              </w:rPr>
              <w:t>K</w:t>
            </w:r>
          </w:p>
        </w:tc>
      </w:tr>
      <w:tr>
        <w:tc>
          <w:tcPr>
            <w:tcW w:type="dxa" w:w="1548"/>
          </w:tcPr>
          <w:p>
            <w:pPr>
              <w:spacing w:after="20" w:before="20"/>
            </w:pPr>
            <w:r/>
            <w:r>
              <w:rPr>
                <w:sz w:val="18"/>
              </w:rPr>
              <w:t>θ</w:t>
            </w:r>
            <w:r>
              <w:rPr>
                <w:sz w:val="18"/>
                <w:vertAlign w:val="subscript"/>
              </w:rPr>
              <w:t>in</w:t>
            </w:r>
          </w:p>
        </w:tc>
        <w:tc>
          <w:tcPr>
            <w:tcW w:type="dxa" w:w="6449"/>
          </w:tcPr>
          <w:p>
            <w:pPr>
              <w:spacing w:after="20" w:before="20"/>
            </w:pPr>
            <w:r/>
            <w:r>
              <w:rPr>
                <w:sz w:val="18"/>
              </w:rPr>
              <w:t>Water inlet temperature from the reject loop</w:t>
            </w:r>
          </w:p>
        </w:tc>
        <w:tc>
          <w:tcPr>
            <w:tcW w:type="dxa" w:w="1032"/>
          </w:tcPr>
          <w:p>
            <w:pPr>
              <w:spacing w:after="20" w:before="20"/>
            </w:pPr>
            <w:r/>
            <w:r>
              <w:rPr>
                <w:sz w:val="18"/>
              </w:rPr>
              <w:t>K</w:t>
            </w:r>
          </w:p>
        </w:tc>
      </w:tr>
      <w:tr>
        <w:tc>
          <w:tcPr>
            <w:tcW w:type="dxa" w:w="1548"/>
          </w:tcPr>
          <w:p>
            <w:pPr>
              <w:spacing w:after="20" w:before="20"/>
            </w:pPr>
            <w:r/>
            <w:r>
              <w:rPr>
                <w:sz w:val="18"/>
              </w:rPr>
              <w:t>P</w:t>
            </w:r>
            <w:r>
              <w:rPr>
                <w:sz w:val="18"/>
                <w:vertAlign w:val="subscript"/>
              </w:rPr>
              <w:t>DUT</w:t>
            </w:r>
          </w:p>
        </w:tc>
        <w:tc>
          <w:tcPr>
            <w:tcW w:type="dxa" w:w="6449"/>
          </w:tcPr>
          <w:p>
            <w:pPr>
              <w:spacing w:after="20" w:before="20"/>
            </w:pPr>
            <w:r/>
            <w:r>
              <w:rPr>
                <w:sz w:val="18"/>
              </w:rPr>
              <w:t>The measurand — the DUT's dissipation</w:t>
            </w:r>
          </w:p>
        </w:tc>
        <w:tc>
          <w:tcPr>
            <w:tcW w:type="dxa" w:w="1032"/>
          </w:tcPr>
          <w:p>
            <w:pPr>
              <w:spacing w:after="20" w:before="20"/>
            </w:pPr>
            <w:r/>
            <w:r>
              <w:rPr>
                <w:sz w:val="18"/>
              </w:rPr>
              <w:t>W</w:t>
            </w:r>
          </w:p>
        </w:tc>
      </w:tr>
      <w:tr>
        <w:tc>
          <w:tcPr>
            <w:tcW w:type="dxa" w:w="1548"/>
          </w:tcPr>
          <w:p>
            <w:pPr>
              <w:spacing w:after="20" w:before="20"/>
            </w:pPr>
            <w:r/>
            <w:r>
              <w:rPr>
                <w:sz w:val="18"/>
              </w:rPr>
              <w:t>P</w:t>
            </w:r>
            <w:r>
              <w:rPr>
                <w:sz w:val="18"/>
                <w:vertAlign w:val="subscript"/>
              </w:rPr>
              <w:t>aux</w:t>
            </w:r>
          </w:p>
        </w:tc>
        <w:tc>
          <w:tcPr>
            <w:tcW w:type="dxa" w:w="6449"/>
          </w:tcPr>
          <w:p>
            <w:pPr>
              <w:spacing w:after="20" w:before="20"/>
            </w:pPr>
            <w:r/>
            <w:r>
              <w:rPr>
                <w:sz w:val="18"/>
              </w:rPr>
              <w:t>Metered auxiliaries inside B1 — chamber fans, preheat resistor</w:t>
            </w:r>
          </w:p>
        </w:tc>
        <w:tc>
          <w:tcPr>
            <w:tcW w:type="dxa" w:w="1032"/>
          </w:tcPr>
          <w:p>
            <w:pPr>
              <w:spacing w:after="20" w:before="20"/>
            </w:pPr>
            <w:r/>
            <w:r>
              <w:rPr>
                <w:sz w:val="18"/>
              </w:rPr>
              <w:t>W</w:t>
            </w:r>
          </w:p>
        </w:tc>
      </w:tr>
      <w:tr>
        <w:tc>
          <w:tcPr>
            <w:tcW w:type="dxa" w:w="1548"/>
          </w:tcPr>
          <w:p>
            <w:pPr>
              <w:spacing w:after="20" w:before="20"/>
            </w:pPr>
            <w:r/>
            <w:r>
              <w:rPr>
                <w:sz w:val="18"/>
              </w:rPr>
              <w:t>P</w:t>
            </w:r>
            <w:r>
              <w:rPr>
                <w:sz w:val="18"/>
                <w:vertAlign w:val="subscript"/>
              </w:rPr>
              <w:t>e</w:t>
            </w:r>
          </w:p>
        </w:tc>
        <w:tc>
          <w:tcPr>
            <w:tcW w:type="dxa" w:w="6449"/>
          </w:tcPr>
          <w:p>
            <w:pPr>
              <w:spacing w:after="20" w:before="20"/>
            </w:pPr>
            <w:r/>
            <w:r>
              <w:rPr>
                <w:sz w:val="18"/>
              </w:rPr>
              <w:t>Guard heater — the null actuator</w:t>
            </w:r>
          </w:p>
        </w:tc>
        <w:tc>
          <w:tcPr>
            <w:tcW w:type="dxa" w:w="1032"/>
          </w:tcPr>
          <w:p>
            <w:pPr>
              <w:spacing w:after="20" w:before="20"/>
            </w:pPr>
            <w:r/>
            <w:r>
              <w:rPr>
                <w:sz w:val="18"/>
              </w:rPr>
              <w:t>W</w:t>
            </w:r>
          </w:p>
        </w:tc>
      </w:tr>
      <w:tr>
        <w:tc>
          <w:tcPr>
            <w:tcW w:type="dxa" w:w="1548"/>
          </w:tcPr>
          <w:p>
            <w:pPr>
              <w:spacing w:after="20" w:before="20"/>
            </w:pPr>
            <w:r/>
            <w:r>
              <w:rPr>
                <w:sz w:val="18"/>
              </w:rPr>
              <w:t>α</w:t>
            </w:r>
          </w:p>
        </w:tc>
        <w:tc>
          <w:tcPr>
            <w:tcW w:type="dxa" w:w="6449"/>
          </w:tcPr>
          <w:p>
            <w:pPr>
              <w:spacing w:after="20" w:before="20"/>
            </w:pPr>
            <w:r/>
            <w:r>
              <w:rPr>
                <w:sz w:val="18"/>
              </w:rPr>
              <w:t xml:space="preserve">Fraction of the DUT's loss reaching the water directly rather than via the chamber air. </w:t>
            </w:r>
            <w:r>
              <w:rPr>
                <w:b/>
                <w:sz w:val="18"/>
              </w:rPr>
              <w:t>α = 0 for the built rig</w:t>
            </w:r>
          </w:p>
        </w:tc>
        <w:tc>
          <w:tcPr>
            <w:tcW w:type="dxa" w:w="1032"/>
          </w:tcPr>
          <w:p>
            <w:pPr>
              <w:spacing w:after="20" w:before="20"/>
            </w:pPr>
            <w:r/>
            <w:r>
              <w:rPr>
                <w:sz w:val="18"/>
              </w:rPr>
              <w:t>—</w:t>
            </w:r>
          </w:p>
        </w:tc>
      </w:tr>
      <w:tr>
        <w:tc>
          <w:tcPr>
            <w:tcW w:type="dxa" w:w="1548"/>
          </w:tcPr>
          <w:p>
            <w:pPr>
              <w:spacing w:after="20" w:before="20"/>
            </w:pPr>
            <w:r/>
            <w:r>
              <w:rPr>
                <w:sz w:val="18"/>
              </w:rPr>
              <w:t>C</w:t>
            </w:r>
            <w:r>
              <w:rPr>
                <w:sz w:val="18"/>
                <w:vertAlign w:val="subscript"/>
              </w:rPr>
              <w:t>i</w:t>
            </w:r>
            <w:r>
              <w:rPr>
                <w:sz w:val="18"/>
              </w:rPr>
              <w:t>, C</w:t>
            </w:r>
            <w:r>
              <w:rPr>
                <w:sz w:val="18"/>
                <w:vertAlign w:val="subscript"/>
              </w:rPr>
              <w:t>w</w:t>
            </w:r>
            <w:r>
              <w:rPr>
                <w:sz w:val="18"/>
              </w:rPr>
              <w:t>, C</w:t>
            </w:r>
            <w:r>
              <w:rPr>
                <w:sz w:val="18"/>
                <w:vertAlign w:val="subscript"/>
              </w:rPr>
              <w:t>e</w:t>
            </w:r>
          </w:p>
        </w:tc>
        <w:tc>
          <w:tcPr>
            <w:tcW w:type="dxa" w:w="6449"/>
          </w:tcPr>
          <w:p>
            <w:pPr>
              <w:spacing w:after="20" w:before="20"/>
            </w:pPr>
            <w:r/>
            <w:r>
              <w:rPr>
                <w:sz w:val="18"/>
              </w:rPr>
              <w:t>Capacitances of the three nodes</w:t>
            </w:r>
          </w:p>
        </w:tc>
        <w:tc>
          <w:tcPr>
            <w:tcW w:type="dxa" w:w="1032"/>
          </w:tcPr>
          <w:p>
            <w:pPr>
              <w:spacing w:after="20" w:before="20"/>
            </w:pPr>
            <w:r/>
            <w:r>
              <w:rPr>
                <w:sz w:val="18"/>
              </w:rPr>
              <w:t>J/K</w:t>
            </w:r>
          </w:p>
        </w:tc>
      </w:tr>
      <w:tr>
        <w:tc>
          <w:tcPr>
            <w:tcW w:type="dxa" w:w="1548"/>
          </w:tcPr>
          <w:p>
            <w:pPr>
              <w:spacing w:after="20" w:before="20"/>
            </w:pPr>
            <w:r/>
            <w:r>
              <w:rPr>
                <w:sz w:val="18"/>
              </w:rPr>
              <w:t>UA</w:t>
            </w:r>
            <w:r>
              <w:rPr>
                <w:sz w:val="18"/>
                <w:vertAlign w:val="subscript"/>
              </w:rPr>
              <w:t>rad</w:t>
            </w:r>
          </w:p>
        </w:tc>
        <w:tc>
          <w:tcPr>
            <w:tcW w:type="dxa" w:w="6449"/>
          </w:tcPr>
          <w:p>
            <w:pPr>
              <w:spacing w:after="20" w:before="20"/>
            </w:pPr>
            <w:r/>
            <w:r>
              <w:rPr>
                <w:sz w:val="18"/>
              </w:rPr>
              <w:t>Chamber air ↔ water bridge through the pickup radiator</w:t>
            </w:r>
          </w:p>
        </w:tc>
        <w:tc>
          <w:tcPr>
            <w:tcW w:type="dxa" w:w="1032"/>
          </w:tcPr>
          <w:p>
            <w:pPr>
              <w:spacing w:after="20" w:before="20"/>
            </w:pPr>
            <w:r/>
            <w:r>
              <w:rPr>
                <w:sz w:val="18"/>
              </w:rPr>
              <w:t>W/K</w:t>
            </w:r>
          </w:p>
        </w:tc>
      </w:tr>
      <w:tr>
        <w:tc>
          <w:tcPr>
            <w:tcW w:type="dxa" w:w="1548"/>
          </w:tcPr>
          <w:p>
            <w:pPr>
              <w:spacing w:after="20" w:before="20"/>
            </w:pPr>
            <w:r/>
            <w:r>
              <w:rPr>
                <w:sz w:val="18"/>
              </w:rPr>
              <w:t>G</w:t>
            </w:r>
            <w:r>
              <w:rPr>
                <w:sz w:val="18"/>
                <w:vertAlign w:val="subscript"/>
              </w:rPr>
              <w:t>gap</w:t>
            </w:r>
          </w:p>
        </w:tc>
        <w:tc>
          <w:tcPr>
            <w:tcW w:type="dxa" w:w="6449"/>
          </w:tcPr>
          <w:p>
            <w:pPr>
              <w:spacing w:after="20" w:before="20"/>
            </w:pPr>
            <w:r/>
            <w:r>
              <w:rPr>
                <w:sz w:val="18"/>
              </w:rPr>
              <w:t xml:space="preserve">Chamber → gap. </w:t>
            </w:r>
            <w:r>
              <w:rPr>
                <w:b/>
                <w:sz w:val="18"/>
              </w:rPr>
              <w:t>The leak</w:t>
            </w:r>
          </w:p>
        </w:tc>
        <w:tc>
          <w:tcPr>
            <w:tcW w:type="dxa" w:w="1032"/>
          </w:tcPr>
          <w:p>
            <w:pPr>
              <w:spacing w:after="20" w:before="20"/>
            </w:pPr>
            <w:r/>
            <w:r>
              <w:rPr>
                <w:sz w:val="18"/>
              </w:rPr>
              <w:t>W/K</w:t>
            </w:r>
          </w:p>
        </w:tc>
      </w:tr>
      <w:tr>
        <w:tc>
          <w:tcPr>
            <w:tcW w:type="dxa" w:w="1548"/>
          </w:tcPr>
          <w:p>
            <w:pPr>
              <w:spacing w:after="20" w:before="20"/>
            </w:pPr>
            <w:r/>
            <w:r>
              <w:rPr>
                <w:sz w:val="18"/>
              </w:rPr>
              <w:t>G</w:t>
            </w:r>
            <w:r>
              <w:rPr>
                <w:sz w:val="18"/>
                <w:vertAlign w:val="subscript"/>
              </w:rPr>
              <w:t>out</w:t>
            </w:r>
          </w:p>
        </w:tc>
        <w:tc>
          <w:tcPr>
            <w:tcW w:type="dxa" w:w="6449"/>
          </w:tcPr>
          <w:p>
            <w:pPr>
              <w:spacing w:after="20" w:before="20"/>
            </w:pPr>
            <w:r/>
            <w:r>
              <w:rPr>
                <w:sz w:val="18"/>
              </w:rPr>
              <w:t>Gap → ambient. Unmetered, and harmless</w:t>
            </w:r>
          </w:p>
        </w:tc>
        <w:tc>
          <w:tcPr>
            <w:tcW w:type="dxa" w:w="1032"/>
          </w:tcPr>
          <w:p>
            <w:pPr>
              <w:spacing w:after="20" w:before="20"/>
            </w:pPr>
            <w:r/>
            <w:r>
              <w:rPr>
                <w:sz w:val="18"/>
              </w:rPr>
              <w:t>W/K</w:t>
            </w:r>
          </w:p>
        </w:tc>
      </w:tr>
      <w:tr>
        <w:tc>
          <w:tcPr>
            <w:tcW w:type="dxa" w:w="1548"/>
          </w:tcPr>
          <w:p>
            <w:pPr>
              <w:spacing w:after="20" w:before="20"/>
            </w:pPr>
            <w:r/>
            <w:r>
              <w:rPr>
                <w:sz w:val="18"/>
              </w:rPr>
              <w:t>ṁc</w:t>
            </w:r>
            <w:r>
              <w:rPr>
                <w:sz w:val="18"/>
                <w:vertAlign w:val="subscript"/>
              </w:rPr>
              <w:t>p</w:t>
            </w:r>
          </w:p>
        </w:tc>
        <w:tc>
          <w:tcPr>
            <w:tcW w:type="dxa" w:w="6449"/>
          </w:tcPr>
          <w:p>
            <w:pPr>
              <w:spacing w:after="20" w:before="20"/>
            </w:pPr>
            <w:r/>
            <w:r>
              <w:rPr>
                <w:sz w:val="18"/>
              </w:rPr>
              <w:t>Advection through the water loop — the meter and the drain</w:t>
            </w:r>
          </w:p>
        </w:tc>
        <w:tc>
          <w:tcPr>
            <w:tcW w:type="dxa" w:w="1032"/>
          </w:tcPr>
          <w:p>
            <w:pPr>
              <w:spacing w:after="20" w:before="20"/>
            </w:pPr>
            <w:r/>
            <w:r>
              <w:rPr>
                <w:sz w:val="18"/>
              </w:rPr>
              <w:t>W/K</w:t>
            </w:r>
          </w:p>
        </w:tc>
      </w:tr>
      <w:tr>
        <w:tc>
          <w:tcPr>
            <w:tcW w:type="dxa" w:w="1548"/>
          </w:tcPr>
          <w:p>
            <w:pPr>
              <w:spacing w:after="20" w:before="20"/>
            </w:pPr>
            <w:r/>
            <w:r>
              <w:rPr>
                <w:sz w:val="18"/>
              </w:rPr>
              <w:t>Ṫ</w:t>
            </w:r>
            <w:r>
              <w:rPr>
                <w:sz w:val="18"/>
                <w:vertAlign w:val="subscript"/>
              </w:rPr>
              <w:t>a</w:t>
            </w:r>
          </w:p>
        </w:tc>
        <w:tc>
          <w:tcPr>
            <w:tcW w:type="dxa" w:w="6449"/>
          </w:tcPr>
          <w:p>
            <w:pPr>
              <w:spacing w:after="20" w:before="20"/>
            </w:pPr>
            <w:r/>
            <w:r>
              <w:rPr>
                <w:sz w:val="18"/>
              </w:rPr>
              <w:t>Ambient drift rate</w:t>
            </w:r>
          </w:p>
        </w:tc>
        <w:tc>
          <w:tcPr>
            <w:tcW w:type="dxa" w:w="1032"/>
          </w:tcPr>
          <w:p>
            <w:pPr>
              <w:spacing w:after="20" w:before="20"/>
            </w:pPr>
            <w:r/>
            <w:r>
              <w:rPr>
                <w:sz w:val="18"/>
              </w:rPr>
              <w:t>K/s</w:t>
            </w:r>
          </w:p>
        </w:tc>
      </w:tr>
    </w:tbl>
    <w:p>
      <w:pPr>
        <w:spacing w:before="60" w:after="200"/>
        <w:jc w:val="left"/>
      </w:pPr>
      <w:r>
        <w:rPr>
          <w:i/>
          <w:sz w:val="18"/>
        </w:rPr>
        <w:t>Table 11. Symbols in the node equations.</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Three derivatives, three states</w:t>
            </w:r>
          </w:p>
          <w:p>
            <w:pPr>
              <w:spacing w:after="40"/>
            </w:pPr>
            <w:r>
              <w:rPr>
                <w:sz w:val="19"/>
              </w:rPr>
              <w:t>Only equations (5a)–(5c) carry a d/dt, so the model has exactly three states. Equation (5d) has none — it is a pure algebraic readout and belongs in the output matrix, never in the dynamics. This distinction is the one most often collapsed by mistake, and getting it wrong makes the reading appear to have dynamics it does not have.</w:t>
            </w:r>
          </w:p>
        </w:tc>
      </w:tr>
    </w:tbl>
    <w:p>
      <w:pPr>
        <w:spacing w:after="80"/>
      </w:pPr>
    </w:p>
    <w:p>
      <w:pPr>
        <w:spacing w:after="120"/>
      </w:pPr>
      <w:r>
        <w:t xml:space="preserve">One identity in (5b) and (5d) is worth pointing at, because it is why the instrument works at all: </w:t>
      </w:r>
      <w:r>
        <w:rPr>
          <w:b/>
        </w:rPr>
        <w:t>the water node's drain term and the meter's output are the same signal.</w:t>
      </w:r>
      <w:r>
        <w:t xml:space="preserve"> ṁc</w:t>
      </w:r>
      <w:r>
        <w:rPr>
          <w:vertAlign w:val="subscript"/>
        </w:rPr>
        <w:t>p</w:t>
      </w:r>
      <w:r>
        <w:t>·(θ</w:t>
      </w:r>
      <w:r>
        <w:rPr>
          <w:vertAlign w:val="subscript"/>
        </w:rPr>
        <w:t>w</w:t>
      </w:r>
      <w:r>
        <w:t xml:space="preserve"> − θ</w:t>
      </w:r>
      <w:r>
        <w:rPr>
          <w:vertAlign w:val="subscript"/>
        </w:rPr>
        <w:t>in</w:t>
      </w:r>
      <w:r>
        <w:t>) is simultaneously the plant's advection loss and the reported reading. That is also why θ</w:t>
      </w:r>
      <w:r>
        <w:rPr>
          <w:vertAlign w:val="subscript"/>
        </w:rPr>
        <w:t>w</w:t>
      </w:r>
      <w:r>
        <w:t xml:space="preserve"> must be a state — the reading is a capacitor voltage being observed, not an unknown being solved for.</w:t>
      </w:r>
    </w:p>
    <w:p>
      <w:pPr>
        <w:pStyle w:val="Heading2"/>
      </w:pPr>
      <w:r>
        <w:t>The conductances</w:t>
      </w:r>
    </w:p>
    <w:p>
      <w:pPr>
        <w:spacing w:after="120"/>
      </w:pPr>
      <w:r>
        <w:t>Each conductance is a series/parallel assembly of the standard mechanisms.</w:t>
      </w:r>
    </w:p>
    <w:p>
      <w:pPr>
        <w:spacing w:before="160" w:after="160"/>
        <w:jc w:val="center"/>
      </w:pPr>
      <w:r>
        <w:rPr>
          <w:rFonts w:ascii="Cambria Math" w:hAnsi="Cambria Math"/>
          <w:sz w:val="24"/>
        </w:rPr>
        <w:t>G</w:t>
      </w:r>
      <w:r>
        <w:rPr>
          <w:rFonts w:ascii="Cambria Math" w:hAnsi="Cambria Math"/>
          <w:sz w:val="24"/>
          <w:vertAlign w:val="subscript"/>
        </w:rPr>
        <w:t>gap</w:t>
      </w:r>
      <w:r>
        <w:rPr>
          <w:rFonts w:ascii="Cambria Math" w:hAnsi="Cambria Math"/>
          <w:sz w:val="24"/>
        </w:rPr>
        <w:t xml:space="preserve"> = [ d</w:t>
      </w:r>
      <w:r>
        <w:rPr>
          <w:rFonts w:ascii="Cambria Math" w:hAnsi="Cambria Math"/>
          <w:sz w:val="24"/>
          <w:vertAlign w:val="subscript"/>
        </w:rPr>
        <w:t>in</w:t>
      </w:r>
      <w:r>
        <w:rPr>
          <w:rFonts w:ascii="Cambria Math" w:hAnsi="Cambria Math"/>
          <w:sz w:val="24"/>
        </w:rPr>
        <w:t>/(λ·A</w:t>
      </w:r>
      <w:r>
        <w:rPr>
          <w:rFonts w:ascii="Cambria Math" w:hAnsi="Cambria Math"/>
          <w:sz w:val="24"/>
          <w:vertAlign w:val="subscript"/>
        </w:rPr>
        <w:t>wall</w:t>
      </w:r>
      <w:r>
        <w:rPr>
          <w:rFonts w:ascii="Cambria Math" w:hAnsi="Cambria Math"/>
          <w:sz w:val="24"/>
        </w:rPr>
        <w:t>) + 1/((h</w:t>
      </w:r>
      <w:r>
        <w:rPr>
          <w:rFonts w:ascii="Cambria Math" w:hAnsi="Cambria Math"/>
          <w:sz w:val="24"/>
          <w:vertAlign w:val="subscript"/>
        </w:rPr>
        <w:t>gap</w:t>
      </w:r>
      <w:r>
        <w:rPr>
          <w:rFonts w:ascii="Cambria Math" w:hAnsi="Cambria Math"/>
          <w:sz w:val="24"/>
        </w:rPr>
        <w:t xml:space="preserve"> + h</w:t>
      </w:r>
      <w:r>
        <w:rPr>
          <w:rFonts w:ascii="Cambria Math" w:hAnsi="Cambria Math"/>
          <w:sz w:val="24"/>
          <w:vertAlign w:val="subscript"/>
        </w:rPr>
        <w:t>r</w:t>
      </w:r>
      <w:r>
        <w:rPr>
          <w:rFonts w:ascii="Cambria Math" w:hAnsi="Cambria Math"/>
          <w:sz w:val="24"/>
        </w:rPr>
        <w:t>)·A</w:t>
      </w:r>
      <w:r>
        <w:rPr>
          <w:rFonts w:ascii="Cambria Math" w:hAnsi="Cambria Math"/>
          <w:sz w:val="24"/>
          <w:vertAlign w:val="subscript"/>
        </w:rPr>
        <w:t>wall</w:t>
      </w:r>
      <w:r>
        <w:rPr>
          <w:rFonts w:ascii="Cambria Math" w:hAnsi="Cambria Math"/>
          <w:sz w:val="24"/>
        </w:rPr>
        <w:t>) ]⁻¹ + G</w:t>
      </w:r>
      <w:r>
        <w:rPr>
          <w:rFonts w:ascii="Cambria Math" w:hAnsi="Cambria Math"/>
          <w:sz w:val="24"/>
          <w:vertAlign w:val="subscript"/>
        </w:rPr>
        <w:t>seam</w:t>
      </w:r>
      <w:r>
        <w:rPr>
          <w:rFonts w:ascii="Cambria Math" w:hAnsi="Cambria Math"/>
          <w:sz w:val="24"/>
        </w:rPr>
        <w:t xml:space="preserve"> + G</w:t>
      </w:r>
      <w:r>
        <w:rPr>
          <w:rFonts w:ascii="Cambria Math" w:hAnsi="Cambria Math"/>
          <w:sz w:val="24"/>
          <w:vertAlign w:val="subscript"/>
        </w:rPr>
        <w:t>ft</w:t>
      </w:r>
      <w:r>
        <w:rPr>
          <w:rFonts w:ascii="Cambria Math" w:hAnsi="Cambria Math"/>
          <w:sz w:val="24"/>
        </w:rPr>
        <w:t xml:space="preserve"> + G</w:t>
      </w:r>
      <w:r>
        <w:rPr>
          <w:rFonts w:ascii="Cambria Math" w:hAnsi="Cambria Math"/>
          <w:sz w:val="24"/>
          <w:vertAlign w:val="subscript"/>
        </w:rPr>
        <w:t>wire</w:t>
      </w:r>
      <w:r>
        <w:rPr>
          <w:sz w:val="20"/>
        </w:rPr>
        <w:tab/>
        <w:tab/>
        <w:t>(6)</w:t>
      </w:r>
    </w:p>
    <w:p>
      <w:pPr>
        <w:spacing w:before="160" w:after="160"/>
        <w:jc w:val="center"/>
      </w:pPr>
      <w:r>
        <w:rPr>
          <w:rFonts w:ascii="Cambria Math" w:hAnsi="Cambria Math"/>
          <w:sz w:val="24"/>
        </w:rPr>
        <w:t>G</w:t>
      </w:r>
      <w:r>
        <w:rPr>
          <w:rFonts w:ascii="Cambria Math" w:hAnsi="Cambria Math"/>
          <w:sz w:val="24"/>
          <w:vertAlign w:val="subscript"/>
        </w:rPr>
        <w:t>out</w:t>
      </w:r>
      <w:r>
        <w:rPr>
          <w:rFonts w:ascii="Cambria Math" w:hAnsi="Cambria Math"/>
          <w:sz w:val="24"/>
        </w:rPr>
        <w:t xml:space="preserve"> = [ d</w:t>
      </w:r>
      <w:r>
        <w:rPr>
          <w:rFonts w:ascii="Cambria Math" w:hAnsi="Cambria Math"/>
          <w:sz w:val="24"/>
          <w:vertAlign w:val="subscript"/>
        </w:rPr>
        <w:t>out</w:t>
      </w:r>
      <w:r>
        <w:rPr>
          <w:rFonts w:ascii="Cambria Math" w:hAnsi="Cambria Math"/>
          <w:sz w:val="24"/>
        </w:rPr>
        <w:t>/(λ·A</w:t>
      </w:r>
      <w:r>
        <w:rPr>
          <w:rFonts w:ascii="Cambria Math" w:hAnsi="Cambria Math"/>
          <w:sz w:val="24"/>
          <w:vertAlign w:val="subscript"/>
        </w:rPr>
        <w:t>out</w:t>
      </w:r>
      <w:r>
        <w:rPr>
          <w:rFonts w:ascii="Cambria Math" w:hAnsi="Cambria Math"/>
          <w:sz w:val="24"/>
        </w:rPr>
        <w:t>) + 1/((h</w:t>
      </w:r>
      <w:r>
        <w:rPr>
          <w:rFonts w:ascii="Cambria Math" w:hAnsi="Cambria Math"/>
          <w:sz w:val="24"/>
          <w:vertAlign w:val="subscript"/>
        </w:rPr>
        <w:t>ext</w:t>
      </w:r>
      <w:r>
        <w:rPr>
          <w:rFonts w:ascii="Cambria Math" w:hAnsi="Cambria Math"/>
          <w:sz w:val="24"/>
        </w:rPr>
        <w:t xml:space="preserve"> + h</w:t>
      </w:r>
      <w:r>
        <w:rPr>
          <w:rFonts w:ascii="Cambria Math" w:hAnsi="Cambria Math"/>
          <w:sz w:val="24"/>
          <w:vertAlign w:val="subscript"/>
        </w:rPr>
        <w:t>r,ext</w:t>
      </w:r>
      <w:r>
        <w:rPr>
          <w:rFonts w:ascii="Cambria Math" w:hAnsi="Cambria Math"/>
          <w:sz w:val="24"/>
        </w:rPr>
        <w:t>)·A</w:t>
      </w:r>
      <w:r>
        <w:rPr>
          <w:rFonts w:ascii="Cambria Math" w:hAnsi="Cambria Math"/>
          <w:sz w:val="24"/>
          <w:vertAlign w:val="subscript"/>
        </w:rPr>
        <w:t>out</w:t>
      </w:r>
      <w:r>
        <w:rPr>
          <w:rFonts w:ascii="Cambria Math" w:hAnsi="Cambria Math"/>
          <w:sz w:val="24"/>
        </w:rPr>
        <w:t>) ]⁻¹</w:t>
      </w:r>
      <w:r>
        <w:rPr>
          <w:sz w:val="20"/>
        </w:rPr>
        <w:tab/>
        <w:tab/>
        <w:t>(7)</w:t>
      </w:r>
    </w:p>
    <w:p>
      <w:pPr>
        <w:spacing w:before="160" w:after="160"/>
        <w:jc w:val="center"/>
      </w:pPr>
      <w:r>
        <w:rPr>
          <w:rFonts w:ascii="Cambria Math" w:hAnsi="Cambria Math"/>
          <w:sz w:val="24"/>
        </w:rPr>
        <w:t>UA</w:t>
      </w:r>
      <w:r>
        <w:rPr>
          <w:rFonts w:ascii="Cambria Math" w:hAnsi="Cambria Math"/>
          <w:sz w:val="24"/>
          <w:vertAlign w:val="subscript"/>
        </w:rPr>
        <w:t>rad</w:t>
      </w:r>
      <w:r>
        <w:rPr>
          <w:rFonts w:ascii="Cambria Math" w:hAnsi="Cambria Math"/>
          <w:sz w:val="24"/>
        </w:rPr>
        <w:t xml:space="preserve"> = [ 1/(η</w:t>
      </w:r>
      <w:r>
        <w:rPr>
          <w:rFonts w:ascii="Cambria Math" w:hAnsi="Cambria Math"/>
          <w:sz w:val="24"/>
          <w:vertAlign w:val="subscript"/>
        </w:rPr>
        <w:t>o</w:t>
      </w:r>
      <w:r>
        <w:rPr>
          <w:rFonts w:ascii="Cambria Math" w:hAnsi="Cambria Math"/>
          <w:sz w:val="24"/>
        </w:rPr>
        <w:t>·h</w:t>
      </w:r>
      <w:r>
        <w:rPr>
          <w:rFonts w:ascii="Cambria Math" w:hAnsi="Cambria Math"/>
          <w:sz w:val="24"/>
          <w:vertAlign w:val="subscript"/>
        </w:rPr>
        <w:t>air</w:t>
      </w:r>
      <w:r>
        <w:rPr>
          <w:rFonts w:ascii="Cambria Math" w:hAnsi="Cambria Math"/>
          <w:sz w:val="24"/>
        </w:rPr>
        <w:t>·A</w:t>
      </w:r>
      <w:r>
        <w:rPr>
          <w:rFonts w:ascii="Cambria Math" w:hAnsi="Cambria Math"/>
          <w:sz w:val="24"/>
          <w:vertAlign w:val="subscript"/>
        </w:rPr>
        <w:t>air</w:t>
      </w:r>
      <w:r>
        <w:rPr>
          <w:rFonts w:ascii="Cambria Math" w:hAnsi="Cambria Math"/>
          <w:sz w:val="24"/>
        </w:rPr>
        <w:t>) + R</w:t>
      </w:r>
      <w:r>
        <w:rPr>
          <w:rFonts w:ascii="Cambria Math" w:hAnsi="Cambria Math"/>
          <w:sz w:val="24"/>
          <w:vertAlign w:val="subscript"/>
        </w:rPr>
        <w:t>wall</w:t>
      </w:r>
      <w:r>
        <w:rPr>
          <w:rFonts w:ascii="Cambria Math" w:hAnsi="Cambria Math"/>
          <w:sz w:val="24"/>
        </w:rPr>
        <w:t xml:space="preserve"> + 1/(h</w:t>
      </w:r>
      <w:r>
        <w:rPr>
          <w:rFonts w:ascii="Cambria Math" w:hAnsi="Cambria Math"/>
          <w:sz w:val="24"/>
          <w:vertAlign w:val="subscript"/>
        </w:rPr>
        <w:t>w</w:t>
      </w:r>
      <w:r>
        <w:rPr>
          <w:rFonts w:ascii="Cambria Math" w:hAnsi="Cambria Math"/>
          <w:sz w:val="24"/>
        </w:rPr>
        <w:t>·A</w:t>
      </w:r>
      <w:r>
        <w:rPr>
          <w:rFonts w:ascii="Cambria Math" w:hAnsi="Cambria Math"/>
          <w:sz w:val="24"/>
          <w:vertAlign w:val="subscript"/>
        </w:rPr>
        <w:t>water</w:t>
      </w:r>
      <w:r>
        <w:rPr>
          <w:rFonts w:ascii="Cambria Math" w:hAnsi="Cambria Math"/>
          <w:sz w:val="24"/>
        </w:rPr>
        <w:t>) ]⁻¹</w:t>
      </w:r>
      <w:r>
        <w:rPr>
          <w:sz w:val="20"/>
        </w:rPr>
        <w:tab/>
        <w:tab/>
        <w:t>(8)</w:t>
      </w:r>
    </w:p>
    <w:p>
      <w:pPr>
        <w:spacing w:before="160" w:after="160"/>
        <w:jc w:val="center"/>
      </w:pPr>
      <w:r>
        <w:rPr>
          <w:rFonts w:ascii="Cambria Math" w:hAnsi="Cambria Math"/>
          <w:sz w:val="24"/>
        </w:rPr>
        <w:t>h</w:t>
      </w:r>
      <w:r>
        <w:rPr>
          <w:rFonts w:ascii="Cambria Math" w:hAnsi="Cambria Math"/>
          <w:sz w:val="24"/>
          <w:vertAlign w:val="subscript"/>
        </w:rPr>
        <w:t>r</w:t>
      </w:r>
      <w:r>
        <w:rPr>
          <w:rFonts w:ascii="Cambria Math" w:hAnsi="Cambria Math"/>
          <w:sz w:val="24"/>
        </w:rPr>
        <w:t xml:space="preserve"> = 4·ε</w:t>
      </w:r>
      <w:r>
        <w:rPr>
          <w:rFonts w:ascii="Cambria Math" w:hAnsi="Cambria Math"/>
          <w:sz w:val="24"/>
          <w:vertAlign w:val="subscript"/>
        </w:rPr>
        <w:t>eff</w:t>
      </w:r>
      <w:r>
        <w:rPr>
          <w:rFonts w:ascii="Cambria Math" w:hAnsi="Cambria Math"/>
          <w:sz w:val="24"/>
        </w:rPr>
        <w:t>·σ·T̄³ ,    ε</w:t>
      </w:r>
      <w:r>
        <w:rPr>
          <w:rFonts w:ascii="Cambria Math" w:hAnsi="Cambria Math"/>
          <w:sz w:val="24"/>
          <w:vertAlign w:val="subscript"/>
        </w:rPr>
        <w:t>eff</w:t>
      </w:r>
      <w:r>
        <w:rPr>
          <w:rFonts w:ascii="Cambria Math" w:hAnsi="Cambria Math"/>
          <w:sz w:val="24"/>
        </w:rPr>
        <w:t xml:space="preserve"> = (1/ε</w:t>
      </w:r>
      <w:r>
        <w:rPr>
          <w:rFonts w:ascii="Cambria Math" w:hAnsi="Cambria Math"/>
          <w:sz w:val="24"/>
          <w:vertAlign w:val="subscript"/>
        </w:rPr>
        <w:t>1</w:t>
      </w:r>
      <w:r>
        <w:rPr>
          <w:rFonts w:ascii="Cambria Math" w:hAnsi="Cambria Math"/>
          <w:sz w:val="24"/>
        </w:rPr>
        <w:t xml:space="preserve"> + 1/ε</w:t>
      </w:r>
      <w:r>
        <w:rPr>
          <w:rFonts w:ascii="Cambria Math" w:hAnsi="Cambria Math"/>
          <w:sz w:val="24"/>
          <w:vertAlign w:val="subscript"/>
        </w:rPr>
        <w:t>2</w:t>
      </w:r>
      <w:r>
        <w:rPr>
          <w:rFonts w:ascii="Cambria Math" w:hAnsi="Cambria Math"/>
          <w:sz w:val="24"/>
        </w:rPr>
        <w:t xml:space="preserve"> − 1)⁻¹</w:t>
      </w:r>
      <w:r>
        <w:rPr>
          <w:sz w:val="20"/>
        </w:rPr>
        <w:tab/>
        <w:tab/>
        <w:t>(9)</w:t>
      </w:r>
    </w:p>
    <w:p>
      <w:pPr>
        <w:spacing w:after="120"/>
      </w:pPr>
      <w:r>
        <w:t>Equation (9) is the linearised radiation term, obtained by factoring T</w:t>
      </w:r>
      <w:r>
        <w:rPr>
          <w:vertAlign w:val="subscript"/>
        </w:rPr>
        <w:t>1</w:t>
      </w:r>
      <w:r>
        <w:t>⁴ − T</w:t>
      </w:r>
      <w:r>
        <w:rPr>
          <w:vertAlign w:val="subscript"/>
        </w:rPr>
        <w:t>2</w:t>
      </w:r>
      <w:r>
        <w:t>⁴ = (T</w:t>
      </w:r>
      <w:r>
        <w:rPr>
          <w:vertAlign w:val="subscript"/>
        </w:rPr>
        <w:t>1</w:t>
      </w:r>
      <w:r>
        <w:t>² + T</w:t>
      </w:r>
      <w:r>
        <w:rPr>
          <w:vertAlign w:val="subscript"/>
        </w:rPr>
        <w:t>2</w:t>
      </w:r>
      <w:r>
        <w:t>²)(T</w:t>
      </w:r>
      <w:r>
        <w:rPr>
          <w:vertAlign w:val="subscript"/>
        </w:rPr>
        <w:t>1</w:t>
      </w:r>
      <w:r>
        <w:t xml:space="preserve"> + T</w:t>
      </w:r>
      <w:r>
        <w:rPr>
          <w:vertAlign w:val="subscript"/>
        </w:rPr>
        <w:t>2</w:t>
      </w:r>
      <w:r>
        <w:t>)(T</w:t>
      </w:r>
      <w:r>
        <w:rPr>
          <w:vertAlign w:val="subscript"/>
        </w:rPr>
        <w:t>1</w:t>
      </w:r>
      <w:r>
        <w:t xml:space="preserve"> − T</w:t>
      </w:r>
      <w:r>
        <w:rPr>
          <w:vertAlign w:val="subscript"/>
        </w:rPr>
        <w:t>2</w:t>
      </w:r>
      <w:r>
        <w:t>) and freezing the bracket at 4T̄³. Over a 20–30 K band the error is a few percent of an already small term, and it is what keeps the whole model linear.</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The foil rule — the single most load-bearing material choice</w:t>
            </w:r>
          </w:p>
          <w:p>
            <w:pPr>
              <w:spacing w:after="40"/>
            </w:pPr>
            <w:r>
              <w:rPr>
                <w:sz w:val="19"/>
              </w:rPr>
              <w:t>Radiation across the gap runs skin-to-skin, in parallel with the foam's conduction, and it is the larger of the two if the skins are left bare. At T̄ = 320 K over the ≈0.6 m² gap: matte skins (ε ≈ 0.9 both sides) give ε</w:t>
            </w:r>
            <w:r>
              <w:rPr>
                <w:sz w:val="19"/>
                <w:vertAlign w:val="subscript"/>
              </w:rPr>
              <w:t>eff</w:t>
            </w:r>
            <w:r>
              <w:rPr>
                <w:sz w:val="19"/>
              </w:rPr>
              <w:t xml:space="preserve"> = 0.82, h</w:t>
            </w:r>
            <w:r>
              <w:rPr>
                <w:sz w:val="19"/>
                <w:vertAlign w:val="subscript"/>
              </w:rPr>
              <w:t>r</w:t>
            </w:r>
            <w:r>
              <w:rPr>
                <w:sz w:val="19"/>
              </w:rPr>
              <w:t xml:space="preserve"> ≈ 6.1 W/m²K and </w:t>
            </w:r>
            <w:r>
              <w:rPr>
                <w:b/>
                <w:sz w:val="19"/>
              </w:rPr>
              <w:t>G</w:t>
            </w:r>
            <w:r>
              <w:rPr>
                <w:b/>
                <w:sz w:val="19"/>
                <w:vertAlign w:val="subscript"/>
              </w:rPr>
              <w:t>rad</w:t>
            </w:r>
            <w:r>
              <w:rPr>
                <w:b/>
                <w:sz w:val="19"/>
              </w:rPr>
              <w:t xml:space="preserve"> ≈ 3.7 W/K</w:t>
            </w:r>
            <w:r>
              <w:rPr>
                <w:sz w:val="19"/>
              </w:rPr>
              <w:t xml:space="preserve"> — 6.5× the foam's own 0.56 W/K. Aluminium foil on both facing skins (ε ≈ 0.05) gives ε</w:t>
            </w:r>
            <w:r>
              <w:rPr>
                <w:sz w:val="19"/>
                <w:vertAlign w:val="subscript"/>
              </w:rPr>
              <w:t>eff</w:t>
            </w:r>
            <w:r>
              <w:rPr>
                <w:sz w:val="19"/>
              </w:rPr>
              <w:t xml:space="preserve"> = 0.026 and </w:t>
            </w:r>
            <w:r>
              <w:rPr>
                <w:b/>
                <w:sz w:val="19"/>
              </w:rPr>
              <w:t>G</w:t>
            </w:r>
            <w:r>
              <w:rPr>
                <w:b/>
                <w:sz w:val="19"/>
                <w:vertAlign w:val="subscript"/>
              </w:rPr>
              <w:t>rad</w:t>
            </w:r>
            <w:r>
              <w:rPr>
                <w:b/>
                <w:sz w:val="19"/>
              </w:rPr>
              <w:t xml:space="preserve"> ≈ 0.11 W/K</w:t>
            </w:r>
            <w:r>
              <w:rPr>
                <w:sz w:val="19"/>
              </w:rPr>
              <w:t>, about 30× less. This matters twice over. A perfect null cancels radiation along with everything else, but the null is never perfect, and the leak error is G</w:t>
            </w:r>
            <w:r>
              <w:rPr>
                <w:sz w:val="19"/>
                <w:vertAlign w:val="subscript"/>
              </w:rPr>
              <w:t>gap</w:t>
            </w:r>
            <w:r>
              <w:rPr>
                <w:sz w:val="19"/>
              </w:rPr>
              <w:t>·δT with G</w:t>
            </w:r>
            <w:r>
              <w:rPr>
                <w:sz w:val="19"/>
                <w:vertAlign w:val="subscript"/>
              </w:rPr>
              <w:t>gap</w:t>
            </w:r>
            <w:r>
              <w:rPr>
                <w:sz w:val="19"/>
              </w:rPr>
              <w:t xml:space="preserve"> </w:t>
            </w:r>
            <w:r>
              <w:rPr>
                <w:i/>
                <w:sz w:val="19"/>
              </w:rPr>
              <w:t>including</w:t>
            </w:r>
            <w:r>
              <w:rPr>
                <w:sz w:val="19"/>
              </w:rPr>
              <w:t xml:space="preserve"> G</w:t>
            </w:r>
            <w:r>
              <w:rPr>
                <w:sz w:val="19"/>
                <w:vertAlign w:val="subscript"/>
              </w:rPr>
              <w:t>rad</w:t>
            </w:r>
            <w:r>
              <w:rPr>
                <w:sz w:val="19"/>
              </w:rPr>
              <w:t xml:space="preserve"> — so matte skins make every millikelvin of control error about seven times more expensive. Worse, the servo holds the gap </w:t>
            </w:r>
            <w:r>
              <w:rPr>
                <w:b/>
                <w:sz w:val="19"/>
              </w:rPr>
              <w:t>air</w:t>
            </w:r>
            <w:r>
              <w:rPr>
                <w:sz w:val="19"/>
              </w:rPr>
              <w:t xml:space="preserve"> at T</w:t>
            </w:r>
            <w:r>
              <w:rPr>
                <w:sz w:val="19"/>
                <w:vertAlign w:val="subscript"/>
              </w:rPr>
              <w:t>i</w:t>
            </w:r>
            <w:r>
              <w:rPr>
                <w:sz w:val="19"/>
              </w:rPr>
              <w:t xml:space="preserve"> while radiation runs </w:t>
            </w:r>
            <w:r>
              <w:rPr>
                <w:b/>
                <w:sz w:val="19"/>
              </w:rPr>
              <w:t>skin to skin</w:t>
            </w:r>
            <w:r>
              <w:rPr>
                <w:sz w:val="19"/>
              </w:rPr>
              <w:t>, and the outer skin sits about 1 K below the gap air it feeds; with matte skins that alone leaks 3–4 W with a perfect air-side null, several times the entire budget. With foil, the same imperfection costs ~0.1 W.</w:t>
            </w:r>
          </w:p>
        </w:tc>
      </w:tr>
    </w:tbl>
    <w:p>
      <w:pPr>
        <w:spacing w:after="80"/>
      </w:pP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565"/>
            <w:shd w:val="clear" w:color="auto" w:fill="DEEAF6"/>
          </w:tcPr>
          <w:p>
            <w:pPr>
              <w:spacing w:after="20" w:before="20"/>
            </w:pPr>
            <w:r/>
            <w:r>
              <w:rPr>
                <w:b/>
                <w:sz w:val="18"/>
              </w:rPr>
              <w:t>Quantity</w:t>
            </w:r>
          </w:p>
        </w:tc>
        <w:tc>
          <w:tcPr>
            <w:tcW w:type="dxa" w:w="2648"/>
            <w:shd w:val="clear" w:color="auto" w:fill="DEEAF6"/>
          </w:tcPr>
          <w:p>
            <w:pPr>
              <w:spacing w:after="20" w:before="20"/>
            </w:pPr>
            <w:r/>
            <w:r>
              <w:rPr>
                <w:b/>
                <w:sz w:val="18"/>
              </w:rPr>
              <w:t>Design value</w:t>
            </w:r>
          </w:p>
        </w:tc>
        <w:tc>
          <w:tcPr>
            <w:tcW w:type="dxa" w:w="4815"/>
            <w:shd w:val="clear" w:color="auto" w:fill="DEEAF6"/>
          </w:tcPr>
          <w:p>
            <w:pPr>
              <w:spacing w:after="20" w:before="20"/>
            </w:pPr>
            <w:r/>
            <w:r>
              <w:rPr>
                <w:b/>
                <w:sz w:val="18"/>
              </w:rPr>
              <w:t>Where it comes from</w:t>
            </w:r>
          </w:p>
        </w:tc>
      </w:tr>
      <w:tr>
        <w:tc>
          <w:tcPr>
            <w:tcW w:type="dxa" w:w="1565"/>
          </w:tcPr>
          <w:p>
            <w:pPr>
              <w:spacing w:after="20" w:before="20"/>
            </w:pPr>
            <w:r/>
            <w:r>
              <w:rPr>
                <w:sz w:val="18"/>
              </w:rPr>
              <w:t>G</w:t>
            </w:r>
            <w:r>
              <w:rPr>
                <w:sz w:val="18"/>
                <w:vertAlign w:val="subscript"/>
              </w:rPr>
              <w:t>gap</w:t>
            </w:r>
          </w:p>
        </w:tc>
        <w:tc>
          <w:tcPr>
            <w:tcW w:type="dxa" w:w="2648"/>
          </w:tcPr>
          <w:p>
            <w:pPr>
              <w:spacing w:after="20" w:before="20"/>
            </w:pPr>
            <w:r/>
            <w:r>
              <w:rPr>
                <w:b/>
                <w:sz w:val="18"/>
              </w:rPr>
              <w:t>0.56 W/K</w:t>
            </w:r>
            <w:r>
              <w:rPr>
                <w:sz w:val="18"/>
              </w:rPr>
              <w:t xml:space="preserve"> ⇒ R</w:t>
            </w:r>
            <w:r>
              <w:rPr>
                <w:sz w:val="18"/>
                <w:vertAlign w:val="subscript"/>
              </w:rPr>
              <w:t>th(in)</w:t>
            </w:r>
            <w:r>
              <w:rPr>
                <w:sz w:val="18"/>
              </w:rPr>
              <w:t xml:space="preserve"> = 1.79 K/W</w:t>
            </w:r>
          </w:p>
        </w:tc>
        <w:tc>
          <w:tcPr>
            <w:tcW w:type="dxa" w:w="4815"/>
          </w:tcPr>
          <w:p>
            <w:pPr>
              <w:spacing w:after="20" w:before="20"/>
            </w:pPr>
            <w:r/>
            <w:r>
              <w:rPr>
                <w:sz w:val="18"/>
              </w:rPr>
              <w:t>XPS 50 mm, λ ≈ 0.035–0.04 W/m·K, A ≈ 0.6 m², foil-lined gap</w:t>
            </w:r>
          </w:p>
        </w:tc>
      </w:tr>
      <w:tr>
        <w:tc>
          <w:tcPr>
            <w:tcW w:type="dxa" w:w="1565"/>
          </w:tcPr>
          <w:p>
            <w:pPr>
              <w:spacing w:after="20" w:before="20"/>
            </w:pPr>
            <w:r/>
            <w:r>
              <w:rPr>
                <w:sz w:val="18"/>
              </w:rPr>
              <w:t>G</w:t>
            </w:r>
            <w:r>
              <w:rPr>
                <w:sz w:val="18"/>
                <w:vertAlign w:val="subscript"/>
              </w:rPr>
              <w:t>out</w:t>
            </w:r>
          </w:p>
        </w:tc>
        <w:tc>
          <w:tcPr>
            <w:tcW w:type="dxa" w:w="2648"/>
          </w:tcPr>
          <w:p>
            <w:pPr>
              <w:spacing w:after="20" w:before="20"/>
            </w:pPr>
            <w:r/>
            <w:r>
              <w:rPr>
                <w:b/>
                <w:sz w:val="18"/>
              </w:rPr>
              <w:t>0.45 W/K</w:t>
            </w:r>
          </w:p>
        </w:tc>
        <w:tc>
          <w:tcPr>
            <w:tcW w:type="dxa" w:w="4815"/>
          </w:tcPr>
          <w:p>
            <w:pPr>
              <w:spacing w:after="20" w:before="20"/>
            </w:pPr>
            <w:r/>
            <w:r>
              <w:rPr>
                <w:sz w:val="18"/>
              </w:rPr>
              <w:t>Outer shell, same class of construction</w:t>
            </w:r>
          </w:p>
        </w:tc>
      </w:tr>
      <w:tr>
        <w:tc>
          <w:tcPr>
            <w:tcW w:type="dxa" w:w="1565"/>
          </w:tcPr>
          <w:p>
            <w:pPr>
              <w:spacing w:after="20" w:before="20"/>
            </w:pPr>
            <w:r/>
            <w:r>
              <w:rPr>
                <w:sz w:val="18"/>
              </w:rPr>
              <w:t>UA</w:t>
            </w:r>
            <w:r>
              <w:rPr>
                <w:sz w:val="18"/>
                <w:vertAlign w:val="subscript"/>
              </w:rPr>
              <w:t>rad</w:t>
            </w:r>
          </w:p>
        </w:tc>
        <w:tc>
          <w:tcPr>
            <w:tcW w:type="dxa" w:w="2648"/>
          </w:tcPr>
          <w:p>
            <w:pPr>
              <w:spacing w:after="20" w:before="20"/>
            </w:pPr>
            <w:r/>
            <w:r>
              <w:rPr>
                <w:b/>
                <w:sz w:val="18"/>
              </w:rPr>
              <w:t>30 W/K</w:t>
            </w:r>
          </w:p>
        </w:tc>
        <w:tc>
          <w:tcPr>
            <w:tcW w:type="dxa" w:w="4815"/>
          </w:tcPr>
          <w:p>
            <w:pPr>
              <w:spacing w:after="20" w:before="20"/>
            </w:pPr>
            <w:r/>
            <w:r>
              <w:rPr>
                <w:sz w:val="18"/>
              </w:rPr>
              <w:t>PC-watercooling radiator with fans, air-side limited</w:t>
            </w:r>
          </w:p>
        </w:tc>
      </w:tr>
      <w:tr>
        <w:tc>
          <w:tcPr>
            <w:tcW w:type="dxa" w:w="1565"/>
          </w:tcPr>
          <w:p>
            <w:pPr>
              <w:spacing w:after="20" w:before="20"/>
            </w:pPr>
            <w:r/>
            <w:r>
              <w:rPr>
                <w:sz w:val="18"/>
              </w:rPr>
              <w:t>ṁc</w:t>
            </w:r>
            <w:r>
              <w:rPr>
                <w:sz w:val="18"/>
                <w:vertAlign w:val="subscript"/>
              </w:rPr>
              <w:t>p</w:t>
            </w:r>
          </w:p>
        </w:tc>
        <w:tc>
          <w:tcPr>
            <w:tcW w:type="dxa" w:w="2648"/>
          </w:tcPr>
          <w:p>
            <w:pPr>
              <w:spacing w:after="20" w:before="20"/>
            </w:pPr>
            <w:r/>
            <w:r>
              <w:rPr>
                <w:b/>
                <w:sz w:val="18"/>
              </w:rPr>
              <w:t>3–30 W/K</w:t>
            </w:r>
            <w:r>
              <w:rPr>
                <w:sz w:val="18"/>
              </w:rPr>
              <w:t xml:space="preserve"> design sweep (43–433 mL/min)</w:t>
            </w:r>
          </w:p>
        </w:tc>
        <w:tc>
          <w:tcPr>
            <w:tcW w:type="dxa" w:w="4815"/>
          </w:tcPr>
          <w:p>
            <w:pPr>
              <w:spacing w:after="20" w:before="20"/>
            </w:pPr>
            <w:r/>
            <w:r>
              <w:rPr>
                <w:sz w:val="18"/>
              </w:rPr>
              <w:t>Set per operating point from ṁ = P/(c</w:t>
            </w:r>
            <w:r>
              <w:rPr>
                <w:sz w:val="18"/>
                <w:vertAlign w:val="subscript"/>
              </w:rPr>
              <w:t>p</w:t>
            </w:r>
            <w:r>
              <w:rPr>
                <w:sz w:val="18"/>
              </w:rPr>
              <w:t>·ΔT</w:t>
            </w:r>
            <w:r>
              <w:rPr>
                <w:sz w:val="18"/>
                <w:vertAlign w:val="subscript"/>
              </w:rPr>
              <w:t>set</w:t>
            </w:r>
            <w:r>
              <w:rPr>
                <w:sz w:val="18"/>
              </w:rPr>
              <w:t>)</w:t>
            </w:r>
          </w:p>
        </w:tc>
      </w:tr>
      <w:tr>
        <w:tc>
          <w:tcPr>
            <w:tcW w:type="dxa" w:w="1565"/>
          </w:tcPr>
          <w:p>
            <w:pPr>
              <w:spacing w:after="20" w:before="20"/>
            </w:pPr>
            <w:r/>
            <w:r>
              <w:rPr>
                <w:sz w:val="18"/>
              </w:rPr>
              <w:t>h</w:t>
            </w:r>
            <w:r>
              <w:rPr>
                <w:sz w:val="18"/>
                <w:vertAlign w:val="subscript"/>
              </w:rPr>
              <w:t>gap</w:t>
            </w:r>
            <w:r>
              <w:rPr>
                <w:sz w:val="18"/>
              </w:rPr>
              <w:t>, h</w:t>
            </w:r>
            <w:r>
              <w:rPr>
                <w:sz w:val="18"/>
                <w:vertAlign w:val="subscript"/>
              </w:rPr>
              <w:t>ext</w:t>
            </w:r>
          </w:p>
        </w:tc>
        <w:tc>
          <w:tcPr>
            <w:tcW w:type="dxa" w:w="2648"/>
          </w:tcPr>
          <w:p>
            <w:pPr>
              <w:spacing w:after="20" w:before="20"/>
            </w:pPr>
            <w:r/>
            <w:r>
              <w:rPr>
                <w:sz w:val="18"/>
              </w:rPr>
              <w:t>5–15 W/m²K</w:t>
            </w:r>
          </w:p>
        </w:tc>
        <w:tc>
          <w:tcPr>
            <w:tcW w:type="dxa" w:w="4815"/>
          </w:tcPr>
          <w:p>
            <w:pPr>
              <w:spacing w:after="20" w:before="20"/>
            </w:pPr>
            <w:r/>
            <w:r>
              <w:rPr>
                <w:sz w:val="18"/>
              </w:rPr>
              <w:t>Fan-stirred and free air respectively — the softest numbers in the model, which is why commissioning measures the assembled G instead</w:t>
            </w:r>
          </w:p>
        </w:tc>
      </w:tr>
      <w:tr>
        <w:tc>
          <w:tcPr>
            <w:tcW w:type="dxa" w:w="1565"/>
          </w:tcPr>
          <w:p>
            <w:pPr>
              <w:spacing w:after="20" w:before="20"/>
            </w:pPr>
            <w:r/>
            <w:r>
              <w:rPr>
                <w:sz w:val="18"/>
              </w:rPr>
              <w:t>h</w:t>
            </w:r>
            <w:r>
              <w:rPr>
                <w:sz w:val="18"/>
                <w:vertAlign w:val="subscript"/>
              </w:rPr>
              <w:t>r</w:t>
            </w:r>
            <w:r>
              <w:rPr>
                <w:sz w:val="18"/>
              </w:rPr>
              <w:t>, foil-lined</w:t>
            </w:r>
          </w:p>
        </w:tc>
        <w:tc>
          <w:tcPr>
            <w:tcW w:type="dxa" w:w="2648"/>
          </w:tcPr>
          <w:p>
            <w:pPr>
              <w:spacing w:after="20" w:before="20"/>
            </w:pPr>
            <w:r/>
            <w:r>
              <w:rPr>
                <w:sz w:val="18"/>
              </w:rPr>
              <w:t>≈ 0.16 W/m²K</w:t>
            </w:r>
          </w:p>
        </w:tc>
        <w:tc>
          <w:tcPr>
            <w:tcW w:type="dxa" w:w="4815"/>
          </w:tcPr>
          <w:p>
            <w:pPr>
              <w:spacing w:after="20" w:before="20"/>
            </w:pPr>
            <w:r/>
            <w:r>
              <w:rPr>
                <w:sz w:val="18"/>
              </w:rPr>
              <w:t>Equation (9) with ε</w:t>
            </w:r>
            <w:r>
              <w:rPr>
                <w:sz w:val="18"/>
                <w:vertAlign w:val="subscript"/>
              </w:rPr>
              <w:t>eff</w:t>
            </w:r>
            <w:r>
              <w:rPr>
                <w:sz w:val="18"/>
              </w:rPr>
              <w:t xml:space="preserve"> = 0.026</w:t>
            </w:r>
          </w:p>
        </w:tc>
      </w:tr>
    </w:tbl>
    <w:p>
      <w:pPr>
        <w:spacing w:before="60" w:after="200"/>
        <w:jc w:val="left"/>
      </w:pPr>
      <w:r>
        <w:rPr>
          <w:i/>
          <w:sz w:val="18"/>
        </w:rPr>
        <w:t>Table 12. Conductance design values. Commissioning values override all of these.</w:t>
      </w:r>
    </w:p>
    <w:p>
      <w:pPr>
        <w:spacing w:after="120"/>
      </w:pPr>
      <w:r>
        <w:t xml:space="preserve">The ratio that makes the instrument work is </w:t>
      </w:r>
      <w:r>
        <w:rPr>
          <w:b/>
        </w:rPr>
        <w:t>UA</w:t>
      </w:r>
      <w:r>
        <w:rPr>
          <w:b/>
          <w:vertAlign w:val="subscript"/>
        </w:rPr>
        <w:t>rad</w:t>
      </w:r>
      <w:r>
        <w:rPr>
          <w:b/>
        </w:rPr>
        <w:t>/G</w:t>
      </w:r>
      <w:r>
        <w:rPr>
          <w:b/>
          <w:vertAlign w:val="subscript"/>
        </w:rPr>
        <w:t>gap</w:t>
      </w:r>
      <w:r>
        <w:rPr>
          <w:b/>
        </w:rPr>
        <w:t xml:space="preserve"> ≈ 54</w:t>
      </w:r>
      <w:r>
        <w:t>. The metered path is about fifty times stiffer than the leak path, so the thermal current divider already sends the overwhelming majority of the heat into the water before the guard does anything; the guard then removes what the divider would still have lost. It is also why θ</w:t>
      </w:r>
      <w:r>
        <w:rPr>
          <w:vertAlign w:val="subscript"/>
        </w:rPr>
        <w:t>i</w:t>
      </w:r>
      <w:r>
        <w:t xml:space="preserve"> is pinned close to θ</w:t>
      </w:r>
      <w:r>
        <w:rPr>
          <w:vertAlign w:val="subscript"/>
        </w:rPr>
        <w:t>w</w:t>
      </w:r>
      <w:r>
        <w:t>: a node tied to a rail through 30 W/K with only 0.56 W/K pulling elsewhere follows the rail.</w:t>
      </w:r>
    </w:p>
    <w:p>
      <w:pPr>
        <w:pStyle w:val="Heading2"/>
      </w:pPr>
      <w:r>
        <w:t>The capacitances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158"/>
            <w:shd w:val="clear" w:color="auto" w:fill="DEEAF6"/>
          </w:tcPr>
          <w:p>
            <w:pPr>
              <w:spacing w:after="20" w:before="20"/>
            </w:pPr>
            <w:r/>
            <w:r>
              <w:rPr>
                <w:b/>
                <w:sz w:val="18"/>
              </w:rPr>
              <w:t>Node</w:t>
            </w:r>
          </w:p>
        </w:tc>
        <w:tc>
          <w:tcPr>
            <w:tcW w:type="dxa" w:w="4167"/>
            <w:shd w:val="clear" w:color="auto" w:fill="DEEAF6"/>
          </w:tcPr>
          <w:p>
            <w:pPr>
              <w:spacing w:after="20" w:before="20"/>
            </w:pPr>
            <w:r/>
            <w:r>
              <w:rPr>
                <w:b/>
                <w:sz w:val="18"/>
              </w:rPr>
              <w:t>Contents</w:t>
            </w:r>
          </w:p>
        </w:tc>
        <w:tc>
          <w:tcPr>
            <w:tcW w:type="dxa" w:w="1621"/>
            <w:shd w:val="clear" w:color="auto" w:fill="DEEAF6"/>
          </w:tcPr>
          <w:p>
            <w:pPr>
              <w:spacing w:after="20" w:before="20"/>
            </w:pPr>
            <w:r/>
            <w:r>
              <w:rPr>
                <w:b/>
                <w:sz w:val="18"/>
              </w:rPr>
              <w:t>Design value</w:t>
            </w:r>
          </w:p>
        </w:tc>
        <w:tc>
          <w:tcPr>
            <w:tcW w:type="dxa" w:w="2084"/>
            <w:shd w:val="clear" w:color="auto" w:fill="DEEAF6"/>
          </w:tcPr>
          <w:p>
            <w:pPr>
              <w:spacing w:after="20" w:before="20"/>
            </w:pPr>
            <w:r/>
            <w:r>
              <w:rPr>
                <w:b/>
                <w:sz w:val="18"/>
              </w:rPr>
              <w:t>Expected range</w:t>
            </w:r>
          </w:p>
        </w:tc>
      </w:tr>
      <w:tr>
        <w:tc>
          <w:tcPr>
            <w:tcW w:type="dxa" w:w="1158"/>
          </w:tcPr>
          <w:p>
            <w:pPr>
              <w:spacing w:after="20" w:before="20"/>
            </w:pPr>
            <w:r/>
            <w:r>
              <w:rPr>
                <w:sz w:val="18"/>
              </w:rPr>
              <w:t>C</w:t>
            </w:r>
            <w:r>
              <w:rPr>
                <w:sz w:val="18"/>
                <w:vertAlign w:val="subscript"/>
              </w:rPr>
              <w:t>i</w:t>
            </w:r>
          </w:p>
        </w:tc>
        <w:tc>
          <w:tcPr>
            <w:tcW w:type="dxa" w:w="4167"/>
          </w:tcPr>
          <w:p>
            <w:pPr>
              <w:spacing w:after="20" w:before="20"/>
            </w:pPr>
            <w:r/>
            <w:r>
              <w:rPr>
                <w:sz w:val="18"/>
              </w:rPr>
              <w:t>Chamber air (rigid box ⇒ c</w:t>
            </w:r>
            <w:r>
              <w:rPr>
                <w:sz w:val="18"/>
                <w:vertAlign w:val="subscript"/>
              </w:rPr>
              <w:t>v</w:t>
            </w:r>
            <w:r>
              <w:rPr>
                <w:sz w:val="18"/>
              </w:rPr>
              <w:t>, not c</w:t>
            </w:r>
            <w:r>
              <w:rPr>
                <w:sz w:val="18"/>
                <w:vertAlign w:val="subscript"/>
              </w:rPr>
              <w:t>p</w:t>
            </w:r>
            <w:r>
              <w:rPr>
                <w:sz w:val="18"/>
              </w:rPr>
              <w:t>), participating foam skin, fixtures, looms</w:t>
            </w:r>
          </w:p>
        </w:tc>
        <w:tc>
          <w:tcPr>
            <w:tcW w:type="dxa" w:w="1621"/>
          </w:tcPr>
          <w:p>
            <w:pPr>
              <w:spacing w:after="20" w:before="20"/>
            </w:pPr>
            <w:r/>
            <w:r>
              <w:rPr>
                <w:sz w:val="18"/>
              </w:rPr>
              <w:t>650 J/K</w:t>
            </w:r>
          </w:p>
        </w:tc>
        <w:tc>
          <w:tcPr>
            <w:tcW w:type="dxa" w:w="2084"/>
          </w:tcPr>
          <w:p>
            <w:pPr>
              <w:spacing w:after="20" w:before="20"/>
            </w:pPr>
            <w:r/>
            <w:r>
              <w:rPr>
                <w:sz w:val="18"/>
              </w:rPr>
              <w:t>0.3–1.0 kJ/K</w:t>
            </w:r>
          </w:p>
        </w:tc>
      </w:tr>
      <w:tr>
        <w:tc>
          <w:tcPr>
            <w:tcW w:type="dxa" w:w="1158"/>
          </w:tcPr>
          <w:p>
            <w:pPr>
              <w:spacing w:after="20" w:before="20"/>
            </w:pPr>
            <w:r/>
            <w:r>
              <w:rPr>
                <w:sz w:val="18"/>
              </w:rPr>
              <w:t>C</w:t>
            </w:r>
            <w:r>
              <w:rPr>
                <w:sz w:val="18"/>
                <w:vertAlign w:val="subscript"/>
              </w:rPr>
              <w:t>w</w:t>
            </w:r>
          </w:p>
        </w:tc>
        <w:tc>
          <w:tcPr>
            <w:tcW w:type="dxa" w:w="4167"/>
          </w:tcPr>
          <w:p>
            <w:pPr>
              <w:spacing w:after="20" w:before="20"/>
            </w:pPr>
            <w:r/>
            <w:r>
              <w:rPr>
                <w:sz w:val="18"/>
              </w:rPr>
              <w:t>Resident loop water inside B1, radiator core, DUT mass (coupled through the baseplate)</w:t>
            </w:r>
          </w:p>
        </w:tc>
        <w:tc>
          <w:tcPr>
            <w:tcW w:type="dxa" w:w="1621"/>
          </w:tcPr>
          <w:p>
            <w:pPr>
              <w:spacing w:after="20" w:before="20"/>
            </w:pPr>
            <w:r/>
            <w:r>
              <w:rPr>
                <w:sz w:val="18"/>
              </w:rPr>
              <w:t>1 800 J/K</w:t>
            </w:r>
          </w:p>
        </w:tc>
        <w:tc>
          <w:tcPr>
            <w:tcW w:type="dxa" w:w="2084"/>
          </w:tcPr>
          <w:p>
            <w:pPr>
              <w:spacing w:after="20" w:before="20"/>
            </w:pPr>
            <w:r/>
            <w:r>
              <w:rPr>
                <w:sz w:val="18"/>
              </w:rPr>
              <w:t>1.0–2.7 kJ/K</w:t>
            </w:r>
          </w:p>
        </w:tc>
      </w:tr>
      <w:tr>
        <w:tc>
          <w:tcPr>
            <w:tcW w:type="dxa" w:w="1158"/>
          </w:tcPr>
          <w:p>
            <w:pPr>
              <w:spacing w:after="20" w:before="20"/>
            </w:pPr>
            <w:r/>
            <w:r>
              <w:rPr>
                <w:sz w:val="18"/>
              </w:rPr>
              <w:t>C</w:t>
            </w:r>
            <w:r>
              <w:rPr>
                <w:sz w:val="18"/>
                <w:vertAlign w:val="subscript"/>
              </w:rPr>
              <w:t>e</w:t>
            </w:r>
          </w:p>
        </w:tc>
        <w:tc>
          <w:tcPr>
            <w:tcW w:type="dxa" w:w="4167"/>
          </w:tcPr>
          <w:p>
            <w:pPr>
              <w:spacing w:after="20" w:before="20"/>
            </w:pPr>
            <w:r/>
            <w:r>
              <w:rPr>
                <w:sz w:val="18"/>
              </w:rPr>
              <w:t>Gap air, both facing foam skins, foil, guard heater</w:t>
            </w:r>
          </w:p>
        </w:tc>
        <w:tc>
          <w:tcPr>
            <w:tcW w:type="dxa" w:w="1621"/>
          </w:tcPr>
          <w:p>
            <w:pPr>
              <w:spacing w:after="20" w:before="20"/>
            </w:pPr>
            <w:r/>
            <w:r>
              <w:rPr>
                <w:sz w:val="18"/>
              </w:rPr>
              <w:t>300 J/K</w:t>
            </w:r>
          </w:p>
        </w:tc>
        <w:tc>
          <w:tcPr>
            <w:tcW w:type="dxa" w:w="2084"/>
          </w:tcPr>
          <w:p>
            <w:pPr>
              <w:spacing w:after="20" w:before="20"/>
            </w:pPr>
            <w:r/>
            <w:r>
              <w:rPr>
                <w:sz w:val="18"/>
              </w:rPr>
              <w:t>0.1–0.5 kJ/K</w:t>
            </w:r>
          </w:p>
        </w:tc>
      </w:tr>
      <w:tr>
        <w:tc>
          <w:tcPr>
            <w:tcW w:type="dxa" w:w="1158"/>
          </w:tcPr>
          <w:p>
            <w:pPr>
              <w:spacing w:after="20" w:before="20"/>
            </w:pPr>
            <w:r/>
            <w:r>
              <w:rPr>
                <w:sz w:val="18"/>
              </w:rPr>
              <w:t>C</w:t>
            </w:r>
            <w:r>
              <w:rPr>
                <w:sz w:val="18"/>
                <w:vertAlign w:val="subscript"/>
              </w:rPr>
              <w:t>i</w:t>
            </w:r>
            <w:r>
              <w:rPr>
                <w:sz w:val="18"/>
              </w:rPr>
              <w:t xml:space="preserve"> + C</w:t>
            </w:r>
            <w:r>
              <w:rPr>
                <w:sz w:val="18"/>
                <w:vertAlign w:val="subscript"/>
              </w:rPr>
              <w:t>w</w:t>
            </w:r>
          </w:p>
        </w:tc>
        <w:tc>
          <w:tcPr>
            <w:tcW w:type="dxa" w:w="4167"/>
          </w:tcPr>
          <w:p>
            <w:pPr>
              <w:spacing w:after="20" w:before="20"/>
            </w:pPr>
            <w:r/>
            <w:r>
              <w:rPr>
                <w:b/>
                <w:sz w:val="18"/>
              </w:rPr>
              <w:t>The mass the meter has to sweep out</w:t>
            </w:r>
          </w:p>
        </w:tc>
        <w:tc>
          <w:tcPr>
            <w:tcW w:type="dxa" w:w="1621"/>
          </w:tcPr>
          <w:p>
            <w:pPr>
              <w:spacing w:after="20" w:before="20"/>
            </w:pPr>
            <w:r/>
            <w:r>
              <w:rPr>
                <w:b/>
                <w:sz w:val="18"/>
              </w:rPr>
              <w:t>2 450 J/K</w:t>
            </w:r>
          </w:p>
        </w:tc>
        <w:tc>
          <w:tcPr>
            <w:tcW w:type="dxa" w:w="2084"/>
          </w:tcPr>
          <w:p>
            <w:pPr>
              <w:spacing w:after="20" w:before="20"/>
            </w:pPr>
            <w:r/>
            <w:r>
              <w:rPr>
                <w:sz w:val="18"/>
              </w:rPr>
              <w:t>Sets the settling schedule and the steady gate</w:t>
            </w:r>
          </w:p>
        </w:tc>
      </w:tr>
    </w:tbl>
    <w:p>
      <w:pPr>
        <w:spacing w:before="60" w:after="200"/>
        <w:jc w:val="left"/>
      </w:pPr>
      <w:r>
        <w:rPr>
          <w:i/>
          <w:sz w:val="18"/>
        </w:rPr>
        <w:t>Table 13. Capacitance budget. Only the wall's inner slice participates on the run timescale — the participating depth is δ ≈ 2·√(a·t), saturating at the full thickness once the run is long enough.</w:t>
      </w:r>
    </w:p>
    <w:p>
      <w:pPr>
        <w:spacing w:after="120"/>
      </w:pPr>
      <w:r>
        <w:t>The foam wall's own distributed capacitance is real but is not one of the three states. It appears as an additional slow mode on top of the model, somewhere between 5.6 and 22 minutes depending on whether the slab is charged from one face or both — a factor of four that is still open and is the reason the first measurement point of a session takes hours while later points take minutes.</w:t>
      </w:r>
    </w:p>
    <w:p>
      <w:pPr>
        <w:pStyle w:val="Heading2"/>
      </w:pPr>
      <w:r>
        <w:t>The error budget</w:t>
      </w:r>
    </w:p>
    <w:p>
      <w:pPr>
        <w:spacing w:after="120"/>
      </w:pPr>
      <w:r>
        <w:t>Relaxing both gates and keeping the deviations as first-order terms gives the error ledger. Each term is owned by a different part of the design:</w:t>
      </w:r>
    </w:p>
    <w:p>
      <w:pPr>
        <w:spacing w:before="160" w:after="160"/>
        <w:jc w:val="center"/>
      </w:pPr>
      <w:r>
        <w:rPr>
          <w:rFonts w:ascii="Cambria Math" w:hAnsi="Cambria Math"/>
          <w:sz w:val="24"/>
        </w:rPr>
        <w:t>δP = G</w:t>
      </w:r>
      <w:r>
        <w:rPr>
          <w:rFonts w:ascii="Cambria Math" w:hAnsi="Cambria Math"/>
          <w:sz w:val="24"/>
          <w:vertAlign w:val="subscript"/>
        </w:rPr>
        <w:t>gap</w:t>
      </w:r>
      <w:r>
        <w:rPr>
          <w:rFonts w:ascii="Cambria Math" w:hAnsi="Cambria Math"/>
          <w:sz w:val="24"/>
        </w:rPr>
        <w:t>·δT</w:t>
      </w:r>
      <w:r>
        <w:rPr>
          <w:rFonts w:ascii="Cambria Math" w:hAnsi="Cambria Math"/>
          <w:sz w:val="24"/>
          <w:vertAlign w:val="subscript"/>
        </w:rPr>
        <w:t>null</w:t>
      </w:r>
      <w:r>
        <w:rPr>
          <w:rFonts w:ascii="Cambria Math" w:hAnsi="Cambria Math"/>
          <w:sz w:val="24"/>
        </w:rPr>
        <w:t xml:space="preserve"> + C·|dT</w:t>
      </w:r>
      <w:r>
        <w:rPr>
          <w:rFonts w:ascii="Cambria Math" w:hAnsi="Cambria Math"/>
          <w:sz w:val="24"/>
          <w:vertAlign w:val="subscript"/>
        </w:rPr>
        <w:t>i</w:t>
      </w:r>
      <w:r>
        <w:rPr>
          <w:rFonts w:ascii="Cambria Math" w:hAnsi="Cambria Math"/>
          <w:sz w:val="24"/>
        </w:rPr>
        <w:t>/dt| + c</w:t>
      </w:r>
      <w:r>
        <w:rPr>
          <w:rFonts w:ascii="Cambria Math" w:hAnsi="Cambria Math"/>
          <w:sz w:val="24"/>
          <w:vertAlign w:val="subscript"/>
        </w:rPr>
        <w:t>p,w</w:t>
      </w:r>
      <w:r>
        <w:rPr>
          <w:rFonts w:ascii="Cambria Math" w:hAnsi="Cambria Math"/>
          <w:sz w:val="24"/>
        </w:rPr>
        <w:t>ΔT</w:t>
      </w:r>
      <w:r>
        <w:rPr>
          <w:rFonts w:ascii="Cambria Math" w:hAnsi="Cambria Math"/>
          <w:sz w:val="24"/>
          <w:vertAlign w:val="subscript"/>
        </w:rPr>
        <w:t>w</w:t>
      </w:r>
      <w:r>
        <w:rPr>
          <w:rFonts w:ascii="Cambria Math" w:hAnsi="Cambria Math"/>
          <w:sz w:val="24"/>
        </w:rPr>
        <w:t>·δṁ + ṁc</w:t>
      </w:r>
      <w:r>
        <w:rPr>
          <w:rFonts w:ascii="Cambria Math" w:hAnsi="Cambria Math"/>
          <w:sz w:val="24"/>
          <w:vertAlign w:val="subscript"/>
        </w:rPr>
        <w:t>p,w</w:t>
      </w:r>
      <w:r>
        <w:rPr>
          <w:rFonts w:ascii="Cambria Math" w:hAnsi="Cambria Math"/>
          <w:sz w:val="24"/>
        </w:rPr>
        <w:t>·δ(ΔT</w:t>
      </w:r>
      <w:r>
        <w:rPr>
          <w:rFonts w:ascii="Cambria Math" w:hAnsi="Cambria Math"/>
          <w:sz w:val="24"/>
          <w:vertAlign w:val="subscript"/>
        </w:rPr>
        <w:t>w</w:t>
      </w:r>
      <w:r>
        <w:rPr>
          <w:rFonts w:ascii="Cambria Math" w:hAnsi="Cambria Math"/>
          <w:sz w:val="24"/>
        </w:rPr>
        <w:t>) + δP</w:t>
      </w:r>
      <w:r>
        <w:rPr>
          <w:rFonts w:ascii="Cambria Math" w:hAnsi="Cambria Math"/>
          <w:sz w:val="24"/>
          <w:vertAlign w:val="subscript"/>
        </w:rPr>
        <w:t>aux</w:t>
      </w:r>
      <w:r>
        <w:rPr>
          <w:rFonts w:ascii="Cambria Math" w:hAnsi="Cambria Math"/>
          <w:sz w:val="24"/>
        </w:rPr>
        <w:t xml:space="preserve"> + δP</w:t>
      </w:r>
      <w:r>
        <w:rPr>
          <w:rFonts w:ascii="Cambria Math" w:hAnsi="Cambria Math"/>
          <w:sz w:val="24"/>
          <w:vertAlign w:val="subscript"/>
        </w:rPr>
        <w:t>par</w:t>
      </w:r>
      <w:r>
        <w:rPr>
          <w:sz w:val="20"/>
        </w:rPr>
        <w:tab/>
        <w:tab/>
        <w:t>(10)</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3752"/>
            <w:shd w:val="clear" w:color="auto" w:fill="DEEAF6"/>
          </w:tcPr>
          <w:p>
            <w:pPr>
              <w:spacing w:after="20" w:before="20"/>
            </w:pPr>
            <w:r/>
            <w:r>
              <w:rPr>
                <w:b/>
                <w:sz w:val="18"/>
              </w:rPr>
              <w:t>Term</w:t>
            </w:r>
          </w:p>
        </w:tc>
        <w:tc>
          <w:tcPr>
            <w:tcW w:type="dxa" w:w="1759"/>
            <w:shd w:val="clear" w:color="auto" w:fill="DEEAF6"/>
          </w:tcPr>
          <w:p>
            <w:pPr>
              <w:spacing w:after="20" w:before="20"/>
            </w:pPr>
            <w:r/>
            <w:r>
              <w:rPr>
                <w:b/>
                <w:sz w:val="18"/>
              </w:rPr>
              <w:t>At 15 W, ΔT</w:t>
            </w:r>
            <w:r>
              <w:rPr>
                <w:b/>
                <w:sz w:val="18"/>
                <w:vertAlign w:val="subscript"/>
              </w:rPr>
              <w:t>w</w:t>
            </w:r>
            <w:r>
              <w:rPr>
                <w:b/>
                <w:sz w:val="18"/>
              </w:rPr>
              <w:t xml:space="preserve"> = 5 K</w:t>
            </w:r>
          </w:p>
        </w:tc>
        <w:tc>
          <w:tcPr>
            <w:tcW w:type="dxa" w:w="1759"/>
            <w:shd w:val="clear" w:color="auto" w:fill="DEEAF6"/>
          </w:tcPr>
          <w:p>
            <w:pPr>
              <w:spacing w:after="20" w:before="20"/>
            </w:pPr>
            <w:r/>
            <w:r>
              <w:rPr>
                <w:b/>
                <w:sz w:val="18"/>
              </w:rPr>
              <w:t>At 150 W, ΔT</w:t>
            </w:r>
            <w:r>
              <w:rPr>
                <w:b/>
                <w:sz w:val="18"/>
                <w:vertAlign w:val="subscript"/>
              </w:rPr>
              <w:t>w</w:t>
            </w:r>
            <w:r>
              <w:rPr>
                <w:b/>
                <w:sz w:val="18"/>
              </w:rPr>
              <w:t xml:space="preserve"> = 10 K</w:t>
            </w:r>
          </w:p>
        </w:tc>
        <w:tc>
          <w:tcPr>
            <w:tcW w:type="dxa" w:w="1759"/>
            <w:shd w:val="clear" w:color="auto" w:fill="DEEAF6"/>
          </w:tcPr>
          <w:p>
            <w:pPr>
              <w:spacing w:after="20" w:before="20"/>
            </w:pPr>
            <w:r/>
            <w:r>
              <w:rPr>
                <w:b/>
                <w:sz w:val="18"/>
              </w:rPr>
              <w:t>Owner</w:t>
            </w:r>
          </w:p>
        </w:tc>
      </w:tr>
      <w:tr>
        <w:tc>
          <w:tcPr>
            <w:tcW w:type="dxa" w:w="3752"/>
          </w:tcPr>
          <w:p>
            <w:pPr>
              <w:spacing w:after="20" w:before="20"/>
            </w:pPr>
            <w:r/>
            <w:r>
              <w:rPr>
                <w:sz w:val="18"/>
              </w:rPr>
              <w:t>Flow calibration, 0.5 % gravimetric</w:t>
            </w:r>
          </w:p>
        </w:tc>
        <w:tc>
          <w:tcPr>
            <w:tcW w:type="dxa" w:w="1759"/>
          </w:tcPr>
          <w:p>
            <w:pPr>
              <w:spacing w:after="20" w:before="20"/>
            </w:pPr>
            <w:r/>
            <w:r>
              <w:rPr>
                <w:sz w:val="18"/>
              </w:rPr>
              <w:t>0.08 W</w:t>
            </w:r>
          </w:p>
        </w:tc>
        <w:tc>
          <w:tcPr>
            <w:tcW w:type="dxa" w:w="1759"/>
          </w:tcPr>
          <w:p>
            <w:pPr>
              <w:spacing w:after="20" w:before="20"/>
            </w:pPr>
            <w:r/>
            <w:r>
              <w:rPr>
                <w:sz w:val="18"/>
              </w:rPr>
              <w:t>0.75 W</w:t>
            </w:r>
          </w:p>
        </w:tc>
        <w:tc>
          <w:tcPr>
            <w:tcW w:type="dxa" w:w="1759"/>
          </w:tcPr>
          <w:p>
            <w:pPr>
              <w:spacing w:after="20" w:before="20"/>
            </w:pPr>
            <w:r/>
            <w:r>
              <w:rPr>
                <w:sz w:val="18"/>
              </w:rPr>
              <w:t>Calibration</w:t>
            </w:r>
          </w:p>
        </w:tc>
      </w:tr>
      <w:tr>
        <w:tc>
          <w:tcPr>
            <w:tcW w:type="dxa" w:w="3752"/>
          </w:tcPr>
          <w:p>
            <w:pPr>
              <w:spacing w:after="20" w:before="20"/>
            </w:pPr>
            <w:r/>
            <w:r>
              <w:rPr>
                <w:sz w:val="18"/>
              </w:rPr>
              <w:t>ΔT pair, 20 mK matched after co-calibration</w:t>
            </w:r>
          </w:p>
        </w:tc>
        <w:tc>
          <w:tcPr>
            <w:tcW w:type="dxa" w:w="1759"/>
          </w:tcPr>
          <w:p>
            <w:pPr>
              <w:spacing w:after="20" w:before="20"/>
            </w:pPr>
            <w:r/>
            <w:r>
              <w:rPr>
                <w:sz w:val="18"/>
              </w:rPr>
              <w:t>0.06 W</w:t>
            </w:r>
          </w:p>
        </w:tc>
        <w:tc>
          <w:tcPr>
            <w:tcW w:type="dxa" w:w="1759"/>
          </w:tcPr>
          <w:p>
            <w:pPr>
              <w:spacing w:after="20" w:before="20"/>
            </w:pPr>
            <w:r/>
            <w:r>
              <w:rPr>
                <w:sz w:val="18"/>
              </w:rPr>
              <w:t>0.30 W</w:t>
            </w:r>
          </w:p>
        </w:tc>
        <w:tc>
          <w:tcPr>
            <w:tcW w:type="dxa" w:w="1759"/>
          </w:tcPr>
          <w:p>
            <w:pPr>
              <w:spacing w:after="20" w:before="20"/>
            </w:pPr>
            <w:r/>
            <w:r>
              <w:rPr>
                <w:sz w:val="18"/>
              </w:rPr>
              <w:t>Sensing</w:t>
            </w:r>
          </w:p>
        </w:tc>
      </w:tr>
      <w:tr>
        <w:tc>
          <w:tcPr>
            <w:tcW w:type="dxa" w:w="3752"/>
          </w:tcPr>
          <w:p>
            <w:pPr>
              <w:spacing w:after="20" w:before="20"/>
            </w:pPr>
            <w:r/>
            <w:r>
              <w:rPr>
                <w:sz w:val="18"/>
              </w:rPr>
              <w:t>c</w:t>
            </w:r>
            <w:r>
              <w:rPr>
                <w:sz w:val="18"/>
                <w:vertAlign w:val="subscript"/>
              </w:rPr>
              <w:t>p,w</w:t>
            </w:r>
            <w:r>
              <w:rPr>
                <w:sz w:val="18"/>
              </w:rPr>
              <w:t xml:space="preserve"> property, 0.1 %</w:t>
            </w:r>
          </w:p>
        </w:tc>
        <w:tc>
          <w:tcPr>
            <w:tcW w:type="dxa" w:w="1759"/>
          </w:tcPr>
          <w:p>
            <w:pPr>
              <w:spacing w:after="20" w:before="20"/>
            </w:pPr>
            <w:r/>
            <w:r>
              <w:rPr>
                <w:sz w:val="18"/>
              </w:rPr>
              <w:t>0.02 W</w:t>
            </w:r>
          </w:p>
        </w:tc>
        <w:tc>
          <w:tcPr>
            <w:tcW w:type="dxa" w:w="1759"/>
          </w:tcPr>
          <w:p>
            <w:pPr>
              <w:spacing w:after="20" w:before="20"/>
            </w:pPr>
            <w:r/>
            <w:r>
              <w:rPr>
                <w:sz w:val="18"/>
              </w:rPr>
              <w:t>0.15 W</w:t>
            </w:r>
          </w:p>
        </w:tc>
        <w:tc>
          <w:tcPr>
            <w:tcW w:type="dxa" w:w="1759"/>
          </w:tcPr>
          <w:p>
            <w:pPr>
              <w:spacing w:after="20" w:before="20"/>
            </w:pPr>
            <w:r/>
            <w:r>
              <w:rPr>
                <w:sz w:val="18"/>
              </w:rPr>
              <w:t>Property data</w:t>
            </w:r>
          </w:p>
        </w:tc>
      </w:tr>
      <w:tr>
        <w:tc>
          <w:tcPr>
            <w:tcW w:type="dxa" w:w="3752"/>
          </w:tcPr>
          <w:p>
            <w:pPr>
              <w:spacing w:after="20" w:before="20"/>
            </w:pPr>
            <w:r/>
            <w:r>
              <w:rPr>
                <w:sz w:val="18"/>
              </w:rPr>
              <w:t>Auxiliary V·I metering, 0.5 %</w:t>
            </w:r>
          </w:p>
        </w:tc>
        <w:tc>
          <w:tcPr>
            <w:tcW w:type="dxa" w:w="1759"/>
          </w:tcPr>
          <w:p>
            <w:pPr>
              <w:spacing w:after="20" w:before="20"/>
            </w:pPr>
            <w:r/>
            <w:r>
              <w:rPr>
                <w:sz w:val="18"/>
              </w:rPr>
              <w:t>0.03 W</w:t>
            </w:r>
          </w:p>
        </w:tc>
        <w:tc>
          <w:tcPr>
            <w:tcW w:type="dxa" w:w="1759"/>
          </w:tcPr>
          <w:p>
            <w:pPr>
              <w:spacing w:after="20" w:before="20"/>
            </w:pPr>
            <w:r/>
            <w:r>
              <w:rPr>
                <w:sz w:val="18"/>
              </w:rPr>
              <w:t>0.05 W</w:t>
            </w:r>
          </w:p>
        </w:tc>
        <w:tc>
          <w:tcPr>
            <w:tcW w:type="dxa" w:w="1759"/>
          </w:tcPr>
          <w:p>
            <w:pPr>
              <w:spacing w:after="20" w:before="20"/>
            </w:pPr>
            <w:r/>
            <w:r>
              <w:rPr>
                <w:sz w:val="18"/>
              </w:rPr>
              <w:t>Metering</w:t>
            </w:r>
          </w:p>
        </w:tc>
      </w:tr>
      <w:tr>
        <w:tc>
          <w:tcPr>
            <w:tcW w:type="dxa" w:w="3752"/>
          </w:tcPr>
          <w:p>
            <w:pPr>
              <w:spacing w:after="20" w:before="20"/>
            </w:pPr>
            <w:r/>
            <w:r>
              <w:rPr>
                <w:sz w:val="18"/>
              </w:rPr>
              <w:t>Guard null residual, 0.3 K × G</w:t>
            </w:r>
            <w:r>
              <w:rPr>
                <w:sz w:val="18"/>
                <w:vertAlign w:val="subscript"/>
              </w:rPr>
              <w:t>gap</w:t>
            </w:r>
            <w:r>
              <w:rPr>
                <w:sz w:val="18"/>
              </w:rPr>
              <w:t xml:space="preserve"> (foil-lined)</w:t>
            </w:r>
          </w:p>
        </w:tc>
        <w:tc>
          <w:tcPr>
            <w:tcW w:type="dxa" w:w="1759"/>
          </w:tcPr>
          <w:p>
            <w:pPr>
              <w:spacing w:after="20" w:before="20"/>
            </w:pPr>
            <w:r/>
            <w:r>
              <w:rPr>
                <w:sz w:val="18"/>
              </w:rPr>
              <w:t>0.17 W</w:t>
            </w:r>
          </w:p>
        </w:tc>
        <w:tc>
          <w:tcPr>
            <w:tcW w:type="dxa" w:w="1759"/>
          </w:tcPr>
          <w:p>
            <w:pPr>
              <w:spacing w:after="20" w:before="20"/>
            </w:pPr>
            <w:r/>
            <w:r>
              <w:rPr>
                <w:sz w:val="18"/>
              </w:rPr>
              <w:t>0.17 W</w:t>
            </w:r>
          </w:p>
        </w:tc>
        <w:tc>
          <w:tcPr>
            <w:tcW w:type="dxa" w:w="1759"/>
          </w:tcPr>
          <w:p>
            <w:pPr>
              <w:spacing w:after="20" w:before="20"/>
            </w:pPr>
            <w:r/>
            <w:r>
              <w:rPr>
                <w:b/>
                <w:sz w:val="18"/>
              </w:rPr>
              <w:t>Control loop</w:t>
            </w:r>
          </w:p>
        </w:tc>
      </w:tr>
      <w:tr>
        <w:tc>
          <w:tcPr>
            <w:tcW w:type="dxa" w:w="3752"/>
          </w:tcPr>
          <w:p>
            <w:pPr>
              <w:spacing w:after="20" w:before="20"/>
            </w:pPr>
            <w:r/>
            <w:r>
              <w:rPr>
                <w:sz w:val="18"/>
              </w:rPr>
              <w:t>Storage, 0.2 W slice</w:t>
            </w:r>
          </w:p>
        </w:tc>
        <w:tc>
          <w:tcPr>
            <w:tcW w:type="dxa" w:w="1759"/>
          </w:tcPr>
          <w:p>
            <w:pPr>
              <w:spacing w:after="20" w:before="20"/>
            </w:pPr>
            <w:r/>
            <w:r>
              <w:rPr>
                <w:sz w:val="18"/>
              </w:rPr>
              <w:t>0.20 W</w:t>
            </w:r>
          </w:p>
        </w:tc>
        <w:tc>
          <w:tcPr>
            <w:tcW w:type="dxa" w:w="1759"/>
          </w:tcPr>
          <w:p>
            <w:pPr>
              <w:spacing w:after="20" w:before="20"/>
            </w:pPr>
            <w:r/>
            <w:r>
              <w:rPr>
                <w:sz w:val="18"/>
              </w:rPr>
              <w:t>0.20 W</w:t>
            </w:r>
          </w:p>
        </w:tc>
        <w:tc>
          <w:tcPr>
            <w:tcW w:type="dxa" w:w="1759"/>
          </w:tcPr>
          <w:p>
            <w:pPr>
              <w:spacing w:after="20" w:before="20"/>
            </w:pPr>
            <w:r/>
            <w:r>
              <w:rPr>
                <w:sz w:val="18"/>
              </w:rPr>
              <w:t>Steady-state detector</w:t>
            </w:r>
          </w:p>
        </w:tc>
      </w:tr>
      <w:tr>
        <w:tc>
          <w:tcPr>
            <w:tcW w:type="dxa" w:w="3752"/>
          </w:tcPr>
          <w:p>
            <w:pPr>
              <w:spacing w:after="20" w:before="20"/>
            </w:pPr>
            <w:r/>
            <w:r>
              <w:rPr>
                <w:sz w:val="18"/>
              </w:rPr>
              <w:t>Parasitics — anchored cabling, sealed seams</w:t>
            </w:r>
          </w:p>
        </w:tc>
        <w:tc>
          <w:tcPr>
            <w:tcW w:type="dxa" w:w="1759"/>
          </w:tcPr>
          <w:p>
            <w:pPr>
              <w:spacing w:after="20" w:before="20"/>
            </w:pPr>
            <w:r/>
            <w:r>
              <w:rPr>
                <w:sz w:val="18"/>
              </w:rPr>
              <w:t>0.05 W</w:t>
            </w:r>
          </w:p>
        </w:tc>
        <w:tc>
          <w:tcPr>
            <w:tcW w:type="dxa" w:w="1759"/>
          </w:tcPr>
          <w:p>
            <w:pPr>
              <w:spacing w:after="20" w:before="20"/>
            </w:pPr>
            <w:r/>
            <w:r>
              <w:rPr>
                <w:sz w:val="18"/>
              </w:rPr>
              <w:t>0.10 W</w:t>
            </w:r>
          </w:p>
        </w:tc>
        <w:tc>
          <w:tcPr>
            <w:tcW w:type="dxa" w:w="1759"/>
          </w:tcPr>
          <w:p>
            <w:pPr>
              <w:spacing w:after="20" w:before="20"/>
            </w:pPr>
            <w:r/>
            <w:r>
              <w:rPr>
                <w:sz w:val="18"/>
              </w:rPr>
              <w:t>Build quality</w:t>
            </w:r>
          </w:p>
        </w:tc>
      </w:tr>
      <w:tr>
        <w:tc>
          <w:tcPr>
            <w:tcW w:type="dxa" w:w="3752"/>
          </w:tcPr>
          <w:p>
            <w:pPr>
              <w:spacing w:after="20" w:before="20"/>
            </w:pPr>
            <w:r/>
            <w:r>
              <w:rPr>
                <w:b/>
                <w:sz w:val="18"/>
              </w:rPr>
              <w:t>RSS total against P</w:t>
            </w:r>
            <w:r>
              <w:rPr>
                <w:b/>
                <w:sz w:val="18"/>
                <w:vertAlign w:val="subscript"/>
              </w:rPr>
              <w:t>acc</w:t>
            </w:r>
            <w:r>
              <w:rPr>
                <w:b/>
                <w:sz w:val="18"/>
              </w:rPr>
              <w:t xml:space="preserve"> = ±1 W</w:t>
            </w:r>
          </w:p>
        </w:tc>
        <w:tc>
          <w:tcPr>
            <w:tcW w:type="dxa" w:w="1759"/>
          </w:tcPr>
          <w:p>
            <w:pPr>
              <w:spacing w:after="20" w:before="20"/>
            </w:pPr>
            <w:r/>
            <w:r>
              <w:rPr>
                <w:b/>
                <w:sz w:val="18"/>
              </w:rPr>
              <w:t>≈ 0.29 W ✓</w:t>
            </w:r>
          </w:p>
        </w:tc>
        <w:tc>
          <w:tcPr>
            <w:tcW w:type="dxa" w:w="1759"/>
          </w:tcPr>
          <w:p>
            <w:pPr>
              <w:spacing w:after="20" w:before="20"/>
            </w:pPr>
            <w:r/>
            <w:r>
              <w:rPr>
                <w:b/>
                <w:sz w:val="18"/>
              </w:rPr>
              <w:t>≈ 0.87 W ✓ (tight)</w:t>
            </w:r>
          </w:p>
        </w:tc>
        <w:tc>
          <w:tcPr>
            <w:tcW w:type="dxa" w:w="1759"/>
          </w:tcPr>
          <w:p>
            <w:pPr>
              <w:spacing w:after="20" w:before="20"/>
            </w:pPr>
            <w:r/>
          </w:p>
        </w:tc>
      </w:tr>
    </w:tbl>
    <w:p>
      <w:pPr>
        <w:spacing w:before="60" w:after="200"/>
        <w:jc w:val="left"/>
      </w:pPr>
      <w:r>
        <w:rPr>
          <w:i/>
          <w:sz w:val="18"/>
        </w:rPr>
        <w:t>Table 14. Error budget at the two worst corners. The corners fail for different reasons: the cold corner is a null-plus-storage problem, owned by the control loops; the hot corner is a flow-calibration problem, owned by gravimetric rigour. Matte gap skins would put the null row at 1–4 W and sink both.</w:t>
      </w:r>
    </w:p>
    <w:p>
      <w:pPr>
        <w:spacing w:after="120"/>
      </w:pPr>
      <w:r>
        <w:t xml:space="preserve">Two properties of this budget are worth stating plainly. First, the </w:t>
      </w:r>
      <w:r>
        <w:rPr>
          <w:b/>
        </w:rPr>
        <w:t>common-mode error of the ΔT pair cancels</w:t>
      </w:r>
      <w:r>
        <w:t xml:space="preserve"> — only the pair mismatch after co-calibration survives, so absolute RTD accuracy is far less important than matching. Second, </w:t>
      </w:r>
      <w:r>
        <w:rPr>
          <w:b/>
        </w:rPr>
        <w:t>no control loop can fix a flow-calibration scale error</w:t>
      </w:r>
      <w:r>
        <w:t>: if the firmware computes with a nominal ṁc</w:t>
      </w:r>
      <w:r>
        <w:rPr>
          <w:vertAlign w:val="subscript"/>
        </w:rPr>
        <w:t>p</w:t>
      </w:r>
      <w:r>
        <w:t xml:space="preserve"> while the loop drains at the true one, the reading is biased in proportion, and a 0.5 % flow error is 0.75 W at 150 W regardless of how well the guard is tuned.</w:t>
      </w:r>
    </w:p>
    <w:p>
      <w:pPr>
        <w:pStyle w:val="Heading1"/>
      </w:pPr>
      <w:r>
        <w:t>State-Space Model and Guard Control Design</w:t>
      </w:r>
    </w:p>
    <w:p>
      <w:pPr>
        <w:spacing w:after="120"/>
      </w:pPr>
      <w:r>
        <w:t>The node equations of §5.3 are assembled into one state-space object. This is not a change of physics; it is the form that makes three questions answerable by inspection rather than by simulation: is the meter unbiased, how fast are the modes, and what does each error source cost in watts.</w:t>
      </w:r>
    </w:p>
    <w:p>
      <w:pPr>
        <w:pStyle w:val="Heading2"/>
      </w:pPr>
      <w:r>
        <w:t>States, inputs and output</w:t>
      </w:r>
    </w:p>
    <w:p>
      <w:pPr>
        <w:spacing w:before="160" w:after="160"/>
        <w:jc w:val="center"/>
      </w:pPr>
      <w:r>
        <w:rPr>
          <w:rFonts w:ascii="Cambria Math" w:hAnsi="Cambria Math"/>
          <w:sz w:val="24"/>
        </w:rPr>
        <w:t>x = [ θ</w:t>
      </w:r>
      <w:r>
        <w:rPr>
          <w:rFonts w:ascii="Cambria Math" w:hAnsi="Cambria Math"/>
          <w:sz w:val="24"/>
          <w:vertAlign w:val="subscript"/>
        </w:rPr>
        <w:t>i</w:t>
      </w:r>
      <w:r>
        <w:rPr>
          <w:rFonts w:ascii="Cambria Math" w:hAnsi="Cambria Math"/>
          <w:sz w:val="24"/>
        </w:rPr>
        <w:t xml:space="preserve"> , θ</w:t>
      </w:r>
      <w:r>
        <w:rPr>
          <w:rFonts w:ascii="Cambria Math" w:hAnsi="Cambria Math"/>
          <w:sz w:val="24"/>
          <w:vertAlign w:val="subscript"/>
        </w:rPr>
        <w:t>w</w:t>
      </w:r>
      <w:r>
        <w:rPr>
          <w:rFonts w:ascii="Cambria Math" w:hAnsi="Cambria Math"/>
          <w:sz w:val="24"/>
        </w:rPr>
        <w:t xml:space="preserve"> , θ</w:t>
      </w:r>
      <w:r>
        <w:rPr>
          <w:rFonts w:ascii="Cambria Math" w:hAnsi="Cambria Math"/>
          <w:sz w:val="24"/>
          <w:vertAlign w:val="subscript"/>
        </w:rPr>
        <w:t>e</w:t>
      </w:r>
      <w:r>
        <w:rPr>
          <w:rFonts w:ascii="Cambria Math" w:hAnsi="Cambria Math"/>
          <w:sz w:val="24"/>
        </w:rPr>
        <w:t xml:space="preserve"> ]ᵀ ,   u = [ P</w:t>
      </w:r>
      <w:r>
        <w:rPr>
          <w:rFonts w:ascii="Cambria Math" w:hAnsi="Cambria Math"/>
          <w:sz w:val="24"/>
          <w:vertAlign w:val="subscript"/>
        </w:rPr>
        <w:t>aux</w:t>
      </w:r>
      <w:r>
        <w:rPr>
          <w:rFonts w:ascii="Cambria Math" w:hAnsi="Cambria Math"/>
          <w:sz w:val="24"/>
        </w:rPr>
        <w:t xml:space="preserve"> , P</w:t>
      </w:r>
      <w:r>
        <w:rPr>
          <w:rFonts w:ascii="Cambria Math" w:hAnsi="Cambria Math"/>
          <w:sz w:val="24"/>
          <w:vertAlign w:val="subscript"/>
        </w:rPr>
        <w:t>e</w:t>
      </w:r>
      <w:r>
        <w:rPr>
          <w:rFonts w:ascii="Cambria Math" w:hAnsi="Cambria Math"/>
          <w:sz w:val="24"/>
        </w:rPr>
        <w:t xml:space="preserve"> ]ᵀ ,   d = [ P</w:t>
      </w:r>
      <w:r>
        <w:rPr>
          <w:rFonts w:ascii="Cambria Math" w:hAnsi="Cambria Math"/>
          <w:sz w:val="24"/>
          <w:vertAlign w:val="subscript"/>
        </w:rPr>
        <w:t>DUT</w:t>
      </w:r>
      <w:r>
        <w:rPr>
          <w:rFonts w:ascii="Cambria Math" w:hAnsi="Cambria Math"/>
          <w:sz w:val="24"/>
        </w:rPr>
        <w:t xml:space="preserve"> , θ</w:t>
      </w:r>
      <w:r>
        <w:rPr>
          <w:rFonts w:ascii="Cambria Math" w:hAnsi="Cambria Math"/>
          <w:sz w:val="24"/>
          <w:vertAlign w:val="subscript"/>
        </w:rPr>
        <w:t>in</w:t>
      </w:r>
      <w:r>
        <w:rPr>
          <w:rFonts w:ascii="Cambria Math" w:hAnsi="Cambria Math"/>
          <w:sz w:val="24"/>
        </w:rPr>
        <w:t xml:space="preserve"> , Ṫ</w:t>
      </w:r>
      <w:r>
        <w:rPr>
          <w:rFonts w:ascii="Cambria Math" w:hAnsi="Cambria Math"/>
          <w:sz w:val="24"/>
          <w:vertAlign w:val="subscript"/>
        </w:rPr>
        <w:t>a</w:t>
      </w:r>
      <w:r>
        <w:rPr>
          <w:rFonts w:ascii="Cambria Math" w:hAnsi="Cambria Math"/>
          <w:sz w:val="24"/>
        </w:rPr>
        <w:t xml:space="preserve"> ]ᵀ ,   y = P</w:t>
      </w:r>
      <w:r>
        <w:rPr>
          <w:rFonts w:ascii="Cambria Math" w:hAnsi="Cambria Math"/>
          <w:sz w:val="24"/>
          <w:vertAlign w:val="subscript"/>
        </w:rPr>
        <w:t>meas</w:t>
      </w:r>
    </w:p>
    <w:p>
      <w:pPr>
        <w:spacing w:after="120"/>
      </w:pPr>
      <w:r>
        <w:t xml:space="preserve">The split between u and d is the control-theoretic one: u is what the firmware can command, d is what it must suffer. </w:t>
      </w:r>
      <w:r>
        <w:rPr>
          <w:b/>
        </w:rPr>
        <w:t>P</w:t>
      </w:r>
      <w:r>
        <w:rPr>
          <w:b/>
          <w:vertAlign w:val="subscript"/>
        </w:rPr>
        <w:t>DUT</w:t>
      </w:r>
      <w:r>
        <w:rPr>
          <w:b/>
        </w:rPr>
        <w:t xml:space="preserve"> is a disturbance</w:t>
      </w:r>
      <w:r>
        <w:t xml:space="preserve"> — in control terms, a measurand that cannot be set is a disturbance, however central it is to the purpose of the instrument.</w:t>
      </w:r>
    </w:p>
    <w:p>
      <w:pPr>
        <w:spacing w:before="160" w:after="160"/>
        <w:jc w:val="center"/>
      </w:pPr>
      <w:r>
        <w:rPr>
          <w:rFonts w:ascii="Cambria Math" w:hAnsi="Cambria Math"/>
          <w:sz w:val="24"/>
        </w:rPr>
        <w:t>ẋ = A·x + B</w:t>
      </w:r>
      <w:r>
        <w:rPr>
          <w:rFonts w:ascii="Cambria Math" w:hAnsi="Cambria Math"/>
          <w:sz w:val="24"/>
          <w:vertAlign w:val="subscript"/>
        </w:rPr>
        <w:t>u</w:t>
      </w:r>
      <w:r>
        <w:rPr>
          <w:rFonts w:ascii="Cambria Math" w:hAnsi="Cambria Math"/>
          <w:sz w:val="24"/>
        </w:rPr>
        <w:t>·u + B</w:t>
      </w:r>
      <w:r>
        <w:rPr>
          <w:rFonts w:ascii="Cambria Math" w:hAnsi="Cambria Math"/>
          <w:sz w:val="24"/>
          <w:vertAlign w:val="subscript"/>
        </w:rPr>
        <w:t>d</w:t>
      </w:r>
      <w:r>
        <w:rPr>
          <w:rFonts w:ascii="Cambria Math" w:hAnsi="Cambria Math"/>
          <w:sz w:val="24"/>
        </w:rPr>
        <w:t>·d ,    y = C·x + D</w:t>
      </w:r>
      <w:r>
        <w:rPr>
          <w:rFonts w:ascii="Cambria Math" w:hAnsi="Cambria Math"/>
          <w:sz w:val="24"/>
          <w:vertAlign w:val="subscript"/>
        </w:rPr>
        <w:t>u</w:t>
      </w:r>
      <w:r>
        <w:rPr>
          <w:rFonts w:ascii="Cambria Math" w:hAnsi="Cambria Math"/>
          <w:sz w:val="24"/>
        </w:rPr>
        <w:t>·u + D</w:t>
      </w:r>
      <w:r>
        <w:rPr>
          <w:rFonts w:ascii="Cambria Math" w:hAnsi="Cambria Math"/>
          <w:sz w:val="24"/>
          <w:vertAlign w:val="subscript"/>
        </w:rPr>
        <w:t>d</w:t>
      </w:r>
      <w:r>
        <w:rPr>
          <w:rFonts w:ascii="Cambria Math" w:hAnsi="Cambria Math"/>
          <w:sz w:val="24"/>
        </w:rPr>
        <w:t>·d</w:t>
      </w:r>
      <w:r>
        <w:rPr>
          <w:sz w:val="20"/>
        </w:rPr>
        <w:tab/>
        <w:tab/>
        <w:t>(11)</w:t>
      </w:r>
    </w:p>
    <w:p>
      <w:pPr>
        <w:pStyle w:val="Heading2"/>
      </w:pPr>
      <w:r>
        <w:t>The matrices</w:t>
      </w:r>
    </w:p>
    <w:p>
      <w:pPr>
        <w:spacing w:after="120"/>
      </w:pPr>
      <w:r>
        <w:t>Each row is one node's balance law divided by that node's own capacitance; each column is the state or input it is differentiated against. That is the whole derivation.</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290"/>
            <w:shd w:val="clear" w:color="auto" w:fill="DEEAF6"/>
          </w:tcPr>
          <w:p>
            <w:pPr>
              <w:spacing w:after="20" w:before="20"/>
            </w:pPr>
            <w:r/>
            <w:r>
              <w:rPr>
                <w:b/>
                <w:sz w:val="18"/>
              </w:rPr>
              <w:t>A</w:t>
            </w:r>
          </w:p>
        </w:tc>
        <w:tc>
          <w:tcPr>
            <w:tcW w:type="dxa" w:w="2580"/>
            <w:shd w:val="clear" w:color="auto" w:fill="DEEAF6"/>
          </w:tcPr>
          <w:p>
            <w:pPr>
              <w:spacing w:after="20" w:before="20"/>
            </w:pPr>
            <w:r/>
            <w:r>
              <w:rPr>
                <w:b/>
                <w:sz w:val="18"/>
              </w:rPr>
              <w:t>θ</w:t>
            </w:r>
            <w:r>
              <w:rPr>
                <w:b/>
                <w:sz w:val="18"/>
                <w:vertAlign w:val="subscript"/>
              </w:rPr>
              <w:t>i</w:t>
            </w:r>
          </w:p>
        </w:tc>
        <w:tc>
          <w:tcPr>
            <w:tcW w:type="dxa" w:w="2580"/>
            <w:shd w:val="clear" w:color="auto" w:fill="DEEAF6"/>
          </w:tcPr>
          <w:p>
            <w:pPr>
              <w:spacing w:after="20" w:before="20"/>
            </w:pPr>
            <w:r/>
            <w:r>
              <w:rPr>
                <w:b/>
                <w:sz w:val="18"/>
              </w:rPr>
              <w:t>θ</w:t>
            </w:r>
            <w:r>
              <w:rPr>
                <w:b/>
                <w:sz w:val="18"/>
                <w:vertAlign w:val="subscript"/>
              </w:rPr>
              <w:t>w</w:t>
            </w:r>
          </w:p>
        </w:tc>
        <w:tc>
          <w:tcPr>
            <w:tcW w:type="dxa" w:w="2580"/>
            <w:shd w:val="clear" w:color="auto" w:fill="DEEAF6"/>
          </w:tcPr>
          <w:p>
            <w:pPr>
              <w:spacing w:after="20" w:before="20"/>
            </w:pPr>
            <w:r/>
            <w:r>
              <w:rPr>
                <w:b/>
                <w:sz w:val="18"/>
              </w:rPr>
              <w:t>θ</w:t>
            </w:r>
            <w:r>
              <w:rPr>
                <w:b/>
                <w:sz w:val="18"/>
                <w:vertAlign w:val="subscript"/>
              </w:rPr>
              <w:t>e</w:t>
            </w:r>
          </w:p>
        </w:tc>
      </w:tr>
      <w:tr>
        <w:tc>
          <w:tcPr>
            <w:tcW w:type="dxa" w:w="1290"/>
          </w:tcPr>
          <w:p>
            <w:pPr>
              <w:spacing w:after="20" w:before="20"/>
            </w:pPr>
            <w:r/>
            <w:r>
              <w:rPr>
                <w:b/>
                <w:sz w:val="18"/>
              </w:rPr>
              <w:t>air</w:t>
            </w:r>
          </w:p>
        </w:tc>
        <w:tc>
          <w:tcPr>
            <w:tcW w:type="dxa" w:w="2580"/>
          </w:tcPr>
          <w:p>
            <w:pPr>
              <w:spacing w:after="20" w:before="20"/>
            </w:pPr>
            <w:r/>
            <w:r>
              <w:rPr>
                <w:sz w:val="18"/>
              </w:rPr>
              <w:t>−(UA</w:t>
            </w:r>
            <w:r>
              <w:rPr>
                <w:sz w:val="18"/>
                <w:vertAlign w:val="subscript"/>
              </w:rPr>
              <w:t>rad</w:t>
            </w:r>
            <w:r>
              <w:rPr>
                <w:sz w:val="18"/>
              </w:rPr>
              <w:t xml:space="preserve"> + G</w:t>
            </w:r>
            <w:r>
              <w:rPr>
                <w:sz w:val="18"/>
                <w:vertAlign w:val="subscript"/>
              </w:rPr>
              <w:t>gap</w:t>
            </w:r>
            <w:r>
              <w:rPr>
                <w:sz w:val="18"/>
              </w:rPr>
              <w:t>)/C</w:t>
            </w:r>
            <w:r>
              <w:rPr>
                <w:sz w:val="18"/>
                <w:vertAlign w:val="subscript"/>
              </w:rPr>
              <w:t>i</w:t>
            </w:r>
          </w:p>
        </w:tc>
        <w:tc>
          <w:tcPr>
            <w:tcW w:type="dxa" w:w="2580"/>
          </w:tcPr>
          <w:p>
            <w:pPr>
              <w:spacing w:after="20" w:before="20"/>
            </w:pPr>
            <w:r/>
            <w:r>
              <w:rPr>
                <w:sz w:val="18"/>
              </w:rPr>
              <w:t>UA</w:t>
            </w:r>
            <w:r>
              <w:rPr>
                <w:sz w:val="18"/>
                <w:vertAlign w:val="subscript"/>
              </w:rPr>
              <w:t>rad</w:t>
            </w:r>
            <w:r>
              <w:rPr>
                <w:sz w:val="18"/>
              </w:rPr>
              <w:t>/C</w:t>
            </w:r>
            <w:r>
              <w:rPr>
                <w:sz w:val="18"/>
                <w:vertAlign w:val="subscript"/>
              </w:rPr>
              <w:t>i</w:t>
            </w:r>
          </w:p>
        </w:tc>
        <w:tc>
          <w:tcPr>
            <w:tcW w:type="dxa" w:w="2580"/>
          </w:tcPr>
          <w:p>
            <w:pPr>
              <w:spacing w:after="20" w:before="20"/>
            </w:pPr>
            <w:r/>
            <w:r>
              <w:rPr>
                <w:sz w:val="18"/>
              </w:rPr>
              <w:t>G</w:t>
            </w:r>
            <w:r>
              <w:rPr>
                <w:sz w:val="18"/>
                <w:vertAlign w:val="subscript"/>
              </w:rPr>
              <w:t>gap</w:t>
            </w:r>
            <w:r>
              <w:rPr>
                <w:sz w:val="18"/>
              </w:rPr>
              <w:t>/C</w:t>
            </w:r>
            <w:r>
              <w:rPr>
                <w:sz w:val="18"/>
                <w:vertAlign w:val="subscript"/>
              </w:rPr>
              <w:t>i</w:t>
            </w:r>
          </w:p>
        </w:tc>
      </w:tr>
      <w:tr>
        <w:tc>
          <w:tcPr>
            <w:tcW w:type="dxa" w:w="1290"/>
          </w:tcPr>
          <w:p>
            <w:pPr>
              <w:spacing w:after="20" w:before="20"/>
            </w:pPr>
            <w:r/>
            <w:r>
              <w:rPr>
                <w:b/>
                <w:sz w:val="18"/>
              </w:rPr>
              <w:t>water</w:t>
            </w:r>
          </w:p>
        </w:tc>
        <w:tc>
          <w:tcPr>
            <w:tcW w:type="dxa" w:w="2580"/>
          </w:tcPr>
          <w:p>
            <w:pPr>
              <w:spacing w:after="20" w:before="20"/>
            </w:pPr>
            <w:r/>
            <w:r>
              <w:rPr>
                <w:sz w:val="18"/>
              </w:rPr>
              <w:t>UA</w:t>
            </w:r>
            <w:r>
              <w:rPr>
                <w:sz w:val="18"/>
                <w:vertAlign w:val="subscript"/>
              </w:rPr>
              <w:t>rad</w:t>
            </w:r>
            <w:r>
              <w:rPr>
                <w:sz w:val="18"/>
              </w:rPr>
              <w:t>/C</w:t>
            </w:r>
            <w:r>
              <w:rPr>
                <w:sz w:val="18"/>
                <w:vertAlign w:val="subscript"/>
              </w:rPr>
              <w:t>w</w:t>
            </w:r>
          </w:p>
        </w:tc>
        <w:tc>
          <w:tcPr>
            <w:tcW w:type="dxa" w:w="2580"/>
          </w:tcPr>
          <w:p>
            <w:pPr>
              <w:spacing w:after="20" w:before="20"/>
            </w:pPr>
            <w:r/>
            <w:r>
              <w:rPr>
                <w:sz w:val="18"/>
              </w:rPr>
              <w:t>−(UA</w:t>
            </w:r>
            <w:r>
              <w:rPr>
                <w:sz w:val="18"/>
                <w:vertAlign w:val="subscript"/>
              </w:rPr>
              <w:t>rad</w:t>
            </w:r>
            <w:r>
              <w:rPr>
                <w:sz w:val="18"/>
              </w:rPr>
              <w:t xml:space="preserve"> + ṁc</w:t>
            </w:r>
            <w:r>
              <w:rPr>
                <w:sz w:val="18"/>
                <w:vertAlign w:val="subscript"/>
              </w:rPr>
              <w:t>p</w:t>
            </w:r>
            <w:r>
              <w:rPr>
                <w:sz w:val="18"/>
              </w:rPr>
              <w:t>)/C</w:t>
            </w:r>
            <w:r>
              <w:rPr>
                <w:sz w:val="18"/>
                <w:vertAlign w:val="subscript"/>
              </w:rPr>
              <w:t>w</w:t>
            </w:r>
          </w:p>
        </w:tc>
        <w:tc>
          <w:tcPr>
            <w:tcW w:type="dxa" w:w="2580"/>
          </w:tcPr>
          <w:p>
            <w:pPr>
              <w:spacing w:after="20" w:before="20"/>
            </w:pPr>
            <w:r/>
            <w:r>
              <w:rPr>
                <w:sz w:val="18"/>
              </w:rPr>
              <w:t>0</w:t>
            </w:r>
          </w:p>
        </w:tc>
      </w:tr>
      <w:tr>
        <w:tc>
          <w:tcPr>
            <w:tcW w:type="dxa" w:w="1290"/>
          </w:tcPr>
          <w:p>
            <w:pPr>
              <w:spacing w:after="20" w:before="20"/>
            </w:pPr>
            <w:r/>
            <w:r>
              <w:rPr>
                <w:b/>
                <w:sz w:val="18"/>
              </w:rPr>
              <w:t>guard</w:t>
            </w:r>
          </w:p>
        </w:tc>
        <w:tc>
          <w:tcPr>
            <w:tcW w:type="dxa" w:w="2580"/>
          </w:tcPr>
          <w:p>
            <w:pPr>
              <w:spacing w:after="20" w:before="20"/>
            </w:pPr>
            <w:r/>
            <w:r>
              <w:rPr>
                <w:sz w:val="18"/>
              </w:rPr>
              <w:t>G</w:t>
            </w:r>
            <w:r>
              <w:rPr>
                <w:sz w:val="18"/>
                <w:vertAlign w:val="subscript"/>
              </w:rPr>
              <w:t>gap</w:t>
            </w:r>
            <w:r>
              <w:rPr>
                <w:sz w:val="18"/>
              </w:rPr>
              <w:t>/C</w:t>
            </w:r>
            <w:r>
              <w:rPr>
                <w:sz w:val="18"/>
                <w:vertAlign w:val="subscript"/>
              </w:rPr>
              <w:t>e</w:t>
            </w:r>
          </w:p>
        </w:tc>
        <w:tc>
          <w:tcPr>
            <w:tcW w:type="dxa" w:w="2580"/>
          </w:tcPr>
          <w:p>
            <w:pPr>
              <w:spacing w:after="20" w:before="20"/>
            </w:pPr>
            <w:r/>
            <w:r>
              <w:rPr>
                <w:sz w:val="18"/>
              </w:rPr>
              <w:t>0</w:t>
            </w:r>
          </w:p>
        </w:tc>
        <w:tc>
          <w:tcPr>
            <w:tcW w:type="dxa" w:w="2580"/>
          </w:tcPr>
          <w:p>
            <w:pPr>
              <w:spacing w:after="20" w:before="20"/>
            </w:pPr>
            <w:r/>
            <w:r>
              <w:rPr>
                <w:sz w:val="18"/>
              </w:rPr>
              <w:t>−(G</w:t>
            </w:r>
            <w:r>
              <w:rPr>
                <w:sz w:val="18"/>
                <w:vertAlign w:val="subscript"/>
              </w:rPr>
              <w:t>gap</w:t>
            </w:r>
            <w:r>
              <w:rPr>
                <w:sz w:val="18"/>
              </w:rPr>
              <w:t xml:space="preserve"> + G</w:t>
            </w:r>
            <w:r>
              <w:rPr>
                <w:sz w:val="18"/>
                <w:vertAlign w:val="subscript"/>
              </w:rPr>
              <w:t>out</w:t>
            </w:r>
            <w:r>
              <w:rPr>
                <w:sz w:val="18"/>
              </w:rPr>
              <w:t>)/C</w:t>
            </w:r>
            <w:r>
              <w:rPr>
                <w:sz w:val="18"/>
                <w:vertAlign w:val="subscript"/>
              </w:rPr>
              <w:t>e</w:t>
            </w:r>
          </w:p>
        </w:tc>
      </w:tr>
    </w:tbl>
    <w:p>
      <w:pPr>
        <w:spacing w:before="60" w:after="200"/>
        <w:jc w:val="left"/>
      </w:pPr>
      <w:r>
        <w:rPr>
          <w:i/>
          <w:sz w:val="18"/>
        </w:rPr>
        <w:t>Table 15. The system matrix A. Every entry has units of s⁻¹.</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1328"/>
            <w:shd w:val="clear" w:color="auto" w:fill="DEEAF6"/>
          </w:tcPr>
          <w:p>
            <w:pPr>
              <w:spacing w:after="20" w:before="20"/>
            </w:pPr>
            <w:r/>
          </w:p>
        </w:tc>
        <w:tc>
          <w:tcPr>
            <w:tcW w:type="dxa" w:w="1593"/>
            <w:shd w:val="clear" w:color="auto" w:fill="DEEAF6"/>
          </w:tcPr>
          <w:p>
            <w:pPr>
              <w:spacing w:after="20" w:before="20"/>
            </w:pPr>
            <w:r/>
            <w:r>
              <w:rPr>
                <w:b/>
                <w:sz w:val="18"/>
              </w:rPr>
              <w:t>B</w:t>
            </w:r>
            <w:r>
              <w:rPr>
                <w:b/>
                <w:sz w:val="18"/>
                <w:vertAlign w:val="subscript"/>
              </w:rPr>
              <w:t>u</w:t>
            </w:r>
            <w:r>
              <w:rPr>
                <w:b/>
                <w:sz w:val="18"/>
              </w:rPr>
              <w:t xml:space="preserve"> : P</w:t>
            </w:r>
            <w:r>
              <w:rPr>
                <w:b/>
                <w:sz w:val="18"/>
                <w:vertAlign w:val="subscript"/>
              </w:rPr>
              <w:t>aux</w:t>
            </w:r>
          </w:p>
        </w:tc>
        <w:tc>
          <w:tcPr>
            <w:tcW w:type="dxa" w:w="1328"/>
            <w:shd w:val="clear" w:color="auto" w:fill="DEEAF6"/>
          </w:tcPr>
          <w:p>
            <w:pPr>
              <w:spacing w:after="20" w:before="20"/>
            </w:pPr>
            <w:r/>
            <w:r>
              <w:rPr>
                <w:b/>
                <w:sz w:val="18"/>
              </w:rPr>
              <w:t>B</w:t>
            </w:r>
            <w:r>
              <w:rPr>
                <w:b/>
                <w:sz w:val="18"/>
                <w:vertAlign w:val="subscript"/>
              </w:rPr>
              <w:t>u</w:t>
            </w:r>
            <w:r>
              <w:rPr>
                <w:b/>
                <w:sz w:val="18"/>
              </w:rPr>
              <w:t xml:space="preserve"> : P</w:t>
            </w:r>
            <w:r>
              <w:rPr>
                <w:b/>
                <w:sz w:val="18"/>
                <w:vertAlign w:val="subscript"/>
              </w:rPr>
              <w:t>e</w:t>
            </w:r>
          </w:p>
        </w:tc>
        <w:tc>
          <w:tcPr>
            <w:tcW w:type="dxa" w:w="1726"/>
            <w:shd w:val="clear" w:color="auto" w:fill="DEEAF6"/>
          </w:tcPr>
          <w:p>
            <w:pPr>
              <w:spacing w:after="20" w:before="20"/>
            </w:pPr>
            <w:r/>
            <w:r>
              <w:rPr>
                <w:b/>
                <w:sz w:val="18"/>
              </w:rPr>
              <w:t>B</w:t>
            </w:r>
            <w:r>
              <w:rPr>
                <w:b/>
                <w:sz w:val="18"/>
                <w:vertAlign w:val="subscript"/>
              </w:rPr>
              <w:t>d</w:t>
            </w:r>
            <w:r>
              <w:rPr>
                <w:b/>
                <w:sz w:val="18"/>
              </w:rPr>
              <w:t xml:space="preserve"> : P</w:t>
            </w:r>
            <w:r>
              <w:rPr>
                <w:b/>
                <w:sz w:val="18"/>
                <w:vertAlign w:val="subscript"/>
              </w:rPr>
              <w:t>DUT</w:t>
            </w:r>
          </w:p>
        </w:tc>
        <w:tc>
          <w:tcPr>
            <w:tcW w:type="dxa" w:w="1726"/>
            <w:shd w:val="clear" w:color="auto" w:fill="DEEAF6"/>
          </w:tcPr>
          <w:p>
            <w:pPr>
              <w:spacing w:after="20" w:before="20"/>
            </w:pPr>
            <w:r/>
            <w:r>
              <w:rPr>
                <w:b/>
                <w:sz w:val="18"/>
              </w:rPr>
              <w:t>B</w:t>
            </w:r>
            <w:r>
              <w:rPr>
                <w:b/>
                <w:sz w:val="18"/>
                <w:vertAlign w:val="subscript"/>
              </w:rPr>
              <w:t>d</w:t>
            </w:r>
            <w:r>
              <w:rPr>
                <w:b/>
                <w:sz w:val="18"/>
              </w:rPr>
              <w:t xml:space="preserve"> : θ</w:t>
            </w:r>
            <w:r>
              <w:rPr>
                <w:b/>
                <w:sz w:val="18"/>
                <w:vertAlign w:val="subscript"/>
              </w:rPr>
              <w:t>in</w:t>
            </w:r>
          </w:p>
        </w:tc>
        <w:tc>
          <w:tcPr>
            <w:tcW w:type="dxa" w:w="1328"/>
            <w:shd w:val="clear" w:color="auto" w:fill="DEEAF6"/>
          </w:tcPr>
          <w:p>
            <w:pPr>
              <w:spacing w:after="20" w:before="20"/>
            </w:pPr>
            <w:r/>
            <w:r>
              <w:rPr>
                <w:b/>
                <w:sz w:val="18"/>
              </w:rPr>
              <w:t>B</w:t>
            </w:r>
            <w:r>
              <w:rPr>
                <w:b/>
                <w:sz w:val="18"/>
                <w:vertAlign w:val="subscript"/>
              </w:rPr>
              <w:t>d</w:t>
            </w:r>
            <w:r>
              <w:rPr>
                <w:b/>
                <w:sz w:val="18"/>
              </w:rPr>
              <w:t xml:space="preserve"> : Ṫ</w:t>
            </w:r>
            <w:r>
              <w:rPr>
                <w:b/>
                <w:sz w:val="18"/>
                <w:vertAlign w:val="subscript"/>
              </w:rPr>
              <w:t>a</w:t>
            </w:r>
          </w:p>
        </w:tc>
      </w:tr>
      <w:tr>
        <w:tc>
          <w:tcPr>
            <w:tcW w:type="dxa" w:w="1328"/>
          </w:tcPr>
          <w:p>
            <w:pPr>
              <w:spacing w:after="20" w:before="20"/>
            </w:pPr>
            <w:r/>
            <w:r>
              <w:rPr>
                <w:b/>
                <w:sz w:val="18"/>
              </w:rPr>
              <w:t>air</w:t>
            </w:r>
          </w:p>
        </w:tc>
        <w:tc>
          <w:tcPr>
            <w:tcW w:type="dxa" w:w="1593"/>
          </w:tcPr>
          <w:p>
            <w:pPr>
              <w:spacing w:after="20" w:before="20"/>
            </w:pPr>
            <w:r/>
            <w:r>
              <w:rPr>
                <w:sz w:val="18"/>
              </w:rPr>
              <w:t>1/C</w:t>
            </w:r>
            <w:r>
              <w:rPr>
                <w:sz w:val="18"/>
                <w:vertAlign w:val="subscript"/>
              </w:rPr>
              <w:t>i</w:t>
            </w:r>
          </w:p>
        </w:tc>
        <w:tc>
          <w:tcPr>
            <w:tcW w:type="dxa" w:w="1328"/>
          </w:tcPr>
          <w:p>
            <w:pPr>
              <w:spacing w:after="20" w:before="20"/>
            </w:pPr>
            <w:r/>
            <w:r>
              <w:rPr>
                <w:sz w:val="18"/>
              </w:rPr>
              <w:t>0</w:t>
            </w:r>
          </w:p>
        </w:tc>
        <w:tc>
          <w:tcPr>
            <w:tcW w:type="dxa" w:w="1726"/>
          </w:tcPr>
          <w:p>
            <w:pPr>
              <w:spacing w:after="20" w:before="20"/>
            </w:pPr>
            <w:r/>
            <w:r>
              <w:rPr>
                <w:sz w:val="18"/>
              </w:rPr>
              <w:t>(1−α)/C</w:t>
            </w:r>
            <w:r>
              <w:rPr>
                <w:sz w:val="18"/>
                <w:vertAlign w:val="subscript"/>
              </w:rPr>
              <w:t>i</w:t>
            </w:r>
          </w:p>
        </w:tc>
        <w:tc>
          <w:tcPr>
            <w:tcW w:type="dxa" w:w="1726"/>
          </w:tcPr>
          <w:p>
            <w:pPr>
              <w:spacing w:after="20" w:before="20"/>
            </w:pPr>
            <w:r/>
            <w:r>
              <w:rPr>
                <w:sz w:val="18"/>
              </w:rPr>
              <w:t>0</w:t>
            </w:r>
          </w:p>
        </w:tc>
        <w:tc>
          <w:tcPr>
            <w:tcW w:type="dxa" w:w="1328"/>
          </w:tcPr>
          <w:p>
            <w:pPr>
              <w:spacing w:after="20" w:before="20"/>
            </w:pPr>
            <w:r/>
            <w:r>
              <w:rPr>
                <w:sz w:val="18"/>
              </w:rPr>
              <w:t>−1</w:t>
            </w:r>
          </w:p>
        </w:tc>
      </w:tr>
      <w:tr>
        <w:tc>
          <w:tcPr>
            <w:tcW w:type="dxa" w:w="1328"/>
          </w:tcPr>
          <w:p>
            <w:pPr>
              <w:spacing w:after="20" w:before="20"/>
            </w:pPr>
            <w:r/>
            <w:r>
              <w:rPr>
                <w:b/>
                <w:sz w:val="18"/>
              </w:rPr>
              <w:t>water</w:t>
            </w:r>
          </w:p>
        </w:tc>
        <w:tc>
          <w:tcPr>
            <w:tcW w:type="dxa" w:w="1593"/>
          </w:tcPr>
          <w:p>
            <w:pPr>
              <w:spacing w:after="20" w:before="20"/>
            </w:pPr>
            <w:r/>
            <w:r>
              <w:rPr>
                <w:sz w:val="18"/>
              </w:rPr>
              <w:t>0</w:t>
            </w:r>
          </w:p>
        </w:tc>
        <w:tc>
          <w:tcPr>
            <w:tcW w:type="dxa" w:w="1328"/>
          </w:tcPr>
          <w:p>
            <w:pPr>
              <w:spacing w:after="20" w:before="20"/>
            </w:pPr>
            <w:r/>
            <w:r>
              <w:rPr>
                <w:sz w:val="18"/>
              </w:rPr>
              <w:t>0</w:t>
            </w:r>
          </w:p>
        </w:tc>
        <w:tc>
          <w:tcPr>
            <w:tcW w:type="dxa" w:w="1726"/>
          </w:tcPr>
          <w:p>
            <w:pPr>
              <w:spacing w:after="20" w:before="20"/>
            </w:pPr>
            <w:r/>
            <w:r>
              <w:rPr>
                <w:sz w:val="18"/>
              </w:rPr>
              <w:t>α/C</w:t>
            </w:r>
            <w:r>
              <w:rPr>
                <w:sz w:val="18"/>
                <w:vertAlign w:val="subscript"/>
              </w:rPr>
              <w:t>w</w:t>
            </w:r>
          </w:p>
        </w:tc>
        <w:tc>
          <w:tcPr>
            <w:tcW w:type="dxa" w:w="1726"/>
          </w:tcPr>
          <w:p>
            <w:pPr>
              <w:spacing w:after="20" w:before="20"/>
            </w:pPr>
            <w:r/>
            <w:r>
              <w:rPr>
                <w:sz w:val="18"/>
              </w:rPr>
              <w:t>ṁc</w:t>
            </w:r>
            <w:r>
              <w:rPr>
                <w:sz w:val="18"/>
                <w:vertAlign w:val="subscript"/>
              </w:rPr>
              <w:t>p</w:t>
            </w:r>
            <w:r>
              <w:rPr>
                <w:sz w:val="18"/>
              </w:rPr>
              <w:t>/C</w:t>
            </w:r>
            <w:r>
              <w:rPr>
                <w:sz w:val="18"/>
                <w:vertAlign w:val="subscript"/>
              </w:rPr>
              <w:t>w</w:t>
            </w:r>
          </w:p>
        </w:tc>
        <w:tc>
          <w:tcPr>
            <w:tcW w:type="dxa" w:w="1328"/>
          </w:tcPr>
          <w:p>
            <w:pPr>
              <w:spacing w:after="20" w:before="20"/>
            </w:pPr>
            <w:r/>
            <w:r>
              <w:rPr>
                <w:sz w:val="18"/>
              </w:rPr>
              <w:t>−1</w:t>
            </w:r>
          </w:p>
        </w:tc>
      </w:tr>
      <w:tr>
        <w:tc>
          <w:tcPr>
            <w:tcW w:type="dxa" w:w="1328"/>
          </w:tcPr>
          <w:p>
            <w:pPr>
              <w:spacing w:after="20" w:before="20"/>
            </w:pPr>
            <w:r/>
            <w:r>
              <w:rPr>
                <w:b/>
                <w:sz w:val="18"/>
              </w:rPr>
              <w:t>guard</w:t>
            </w:r>
          </w:p>
        </w:tc>
        <w:tc>
          <w:tcPr>
            <w:tcW w:type="dxa" w:w="1593"/>
          </w:tcPr>
          <w:p>
            <w:pPr>
              <w:spacing w:after="20" w:before="20"/>
            </w:pPr>
            <w:r/>
            <w:r>
              <w:rPr>
                <w:sz w:val="18"/>
              </w:rPr>
              <w:t>0</w:t>
            </w:r>
          </w:p>
        </w:tc>
        <w:tc>
          <w:tcPr>
            <w:tcW w:type="dxa" w:w="1328"/>
          </w:tcPr>
          <w:p>
            <w:pPr>
              <w:spacing w:after="20" w:before="20"/>
            </w:pPr>
            <w:r/>
            <w:r>
              <w:rPr>
                <w:sz w:val="18"/>
              </w:rPr>
              <w:t>1/C</w:t>
            </w:r>
            <w:r>
              <w:rPr>
                <w:sz w:val="18"/>
                <w:vertAlign w:val="subscript"/>
              </w:rPr>
              <w:t>e</w:t>
            </w:r>
          </w:p>
        </w:tc>
        <w:tc>
          <w:tcPr>
            <w:tcW w:type="dxa" w:w="1726"/>
          </w:tcPr>
          <w:p>
            <w:pPr>
              <w:spacing w:after="20" w:before="20"/>
            </w:pPr>
            <w:r/>
            <w:r>
              <w:rPr>
                <w:sz w:val="18"/>
              </w:rPr>
              <w:t>0</w:t>
            </w:r>
          </w:p>
        </w:tc>
        <w:tc>
          <w:tcPr>
            <w:tcW w:type="dxa" w:w="1726"/>
          </w:tcPr>
          <w:p>
            <w:pPr>
              <w:spacing w:after="20" w:before="20"/>
            </w:pPr>
            <w:r/>
            <w:r>
              <w:rPr>
                <w:sz w:val="18"/>
              </w:rPr>
              <w:t>0</w:t>
            </w:r>
          </w:p>
        </w:tc>
        <w:tc>
          <w:tcPr>
            <w:tcW w:type="dxa" w:w="1328"/>
          </w:tcPr>
          <w:p>
            <w:pPr>
              <w:spacing w:after="20" w:before="20"/>
            </w:pPr>
            <w:r/>
            <w:r>
              <w:rPr>
                <w:sz w:val="18"/>
              </w:rPr>
              <w:t>−1</w:t>
            </w:r>
          </w:p>
        </w:tc>
      </w:tr>
    </w:tbl>
    <w:p>
      <w:pPr>
        <w:spacing w:before="60" w:after="200"/>
        <w:jc w:val="left"/>
      </w:pPr>
      <w:r>
        <w:rPr>
          <w:i/>
          <w:sz w:val="18"/>
        </w:rPr>
        <w:t>Table 16. The input matrices. The Ṫ</w:t>
      </w:r>
      <w:r>
        <w:rPr>
          <w:i/>
          <w:sz w:val="18"/>
          <w:vertAlign w:val="subscript"/>
        </w:rPr>
        <w:t>a</w:t>
      </w:r>
      <w:r>
        <w:rPr>
          <w:i/>
          <w:sz w:val="18"/>
        </w:rPr>
        <w:t xml:space="preserve"> column is −1 in every row: that is the deviation coordinate system moving under the model, not heat flowing through a conductance.</w:t>
      </w:r>
    </w:p>
    <w:p>
      <w:pPr>
        <w:spacing w:before="160" w:after="160"/>
        <w:jc w:val="center"/>
      </w:pPr>
      <w:r>
        <w:rPr>
          <w:rFonts w:ascii="Cambria Math" w:hAnsi="Cambria Math"/>
          <w:sz w:val="24"/>
        </w:rPr>
        <w:t>C = [ 0 , ṁc</w:t>
      </w:r>
      <w:r>
        <w:rPr>
          <w:rFonts w:ascii="Cambria Math" w:hAnsi="Cambria Math"/>
          <w:sz w:val="24"/>
          <w:vertAlign w:val="subscript"/>
        </w:rPr>
        <w:t>p</w:t>
      </w:r>
      <w:r>
        <w:rPr>
          <w:rFonts w:ascii="Cambria Math" w:hAnsi="Cambria Math"/>
          <w:sz w:val="24"/>
        </w:rPr>
        <w:t xml:space="preserve"> , 0 ] ,    D</w:t>
      </w:r>
      <w:r>
        <w:rPr>
          <w:rFonts w:ascii="Cambria Math" w:hAnsi="Cambria Math"/>
          <w:sz w:val="24"/>
          <w:vertAlign w:val="subscript"/>
        </w:rPr>
        <w:t>u</w:t>
      </w:r>
      <w:r>
        <w:rPr>
          <w:rFonts w:ascii="Cambria Math" w:hAnsi="Cambria Math"/>
          <w:sz w:val="24"/>
        </w:rPr>
        <w:t xml:space="preserve"> = [ −1 , 0 ] ,    D</w:t>
      </w:r>
      <w:r>
        <w:rPr>
          <w:rFonts w:ascii="Cambria Math" w:hAnsi="Cambria Math"/>
          <w:sz w:val="24"/>
          <w:vertAlign w:val="subscript"/>
        </w:rPr>
        <w:t>d</w:t>
      </w:r>
      <w:r>
        <w:rPr>
          <w:rFonts w:ascii="Cambria Math" w:hAnsi="Cambria Math"/>
          <w:sz w:val="24"/>
        </w:rPr>
        <w:t xml:space="preserve"> = [ 0 , −ṁc</w:t>
      </w:r>
      <w:r>
        <w:rPr>
          <w:rFonts w:ascii="Cambria Math" w:hAnsi="Cambria Math"/>
          <w:sz w:val="24"/>
          <w:vertAlign w:val="subscript"/>
        </w:rPr>
        <w:t>p</w:t>
      </w:r>
      <w:r>
        <w:rPr>
          <w:rFonts w:ascii="Cambria Math" w:hAnsi="Cambria Math"/>
          <w:sz w:val="24"/>
        </w:rPr>
        <w:t xml:space="preserve"> , 0 ]</w:t>
      </w:r>
      <w:r>
        <w:rPr>
          <w:sz w:val="20"/>
        </w:rPr>
        <w:tab/>
        <w:tab/>
        <w:t>(12)</w:t>
      </w:r>
    </w:p>
    <w:p>
      <w:pPr>
        <w:spacing w:after="120"/>
      </w:pPr>
      <w:r>
        <w:t>The two non-zero D entries are the auxiliary-power subtraction and the inlet-temperature subtraction. They bypass the integrators entirely, which is why noise on P</w:t>
      </w:r>
      <w:r>
        <w:rPr>
          <w:vertAlign w:val="subscript"/>
        </w:rPr>
        <w:t>aux</w:t>
      </w:r>
      <w:r>
        <w:t xml:space="preserve"> or on the inlet RTD appears in the reading instantly and unfiltered — a direct consequence of one matrix entry, and a reason to meter the auxiliaries well.</w:t>
      </w:r>
    </w:p>
    <w:p>
      <w:pPr>
        <w:spacing w:after="120"/>
      </w:pPr>
      <w:r>
        <w:t>Note that ṁc</w:t>
      </w:r>
      <w:r>
        <w:rPr>
          <w:vertAlign w:val="subscript"/>
        </w:rPr>
        <w:t>p</w:t>
      </w:r>
      <w:r>
        <w:t xml:space="preserve"> appears in </w:t>
      </w:r>
      <w:r>
        <w:rPr>
          <w:b/>
        </w:rPr>
        <w:t>four</w:t>
      </w:r>
      <w:r>
        <w:t xml:space="preserve"> places — inside A, inside B</w:t>
      </w:r>
      <w:r>
        <w:rPr>
          <w:vertAlign w:val="subscript"/>
        </w:rPr>
        <w:t>d</w:t>
      </w:r>
      <w:r>
        <w:t>, inside C and inside D</w:t>
      </w:r>
      <w:r>
        <w:rPr>
          <w:vertAlign w:val="subscript"/>
        </w:rPr>
        <w:t>d</w:t>
      </w:r>
      <w:r>
        <w:t>. It is one conductance with two ends: the water node's drain, the rail it drains to, and the meter that watches it.</w:t>
      </w:r>
    </w:p>
    <w:p>
      <w:pPr>
        <w:pStyle w:val="Heading2"/>
      </w:pPr>
      <w:r>
        <w:t>Structural audit</w:t>
      </w:r>
    </w:p>
    <w:p>
      <w:pPr>
        <w:spacing w:after="120"/>
      </w:pPr>
      <w:r>
        <w:t xml:space="preserve">Seven checks are run on A before any number is trusted. They catch wiring errors — signs, missing bridges, bad couplings — that no amount of simulation makes obvious. All seven are coded as assertions in </w:t>
      </w:r>
      <w:r>
        <w:rPr>
          <w:rFonts w:ascii="Consolas" w:hAnsi="Consolas"/>
          <w:sz w:val="19"/>
        </w:rPr>
        <w:t>calorimetry-ss.py: audit()</w:t>
      </w:r>
      <w:r>
        <w:t xml:space="preserve"> and run on every plant build.</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369"/>
            <w:shd w:val="clear" w:color="auto" w:fill="DEEAF6"/>
          </w:tcPr>
          <w:p>
            <w:pPr>
              <w:spacing w:after="20" w:before="20"/>
            </w:pPr>
            <w:r/>
            <w:r>
              <w:rPr>
                <w:b/>
                <w:sz w:val="17"/>
              </w:rPr>
              <w:t>#</w:t>
            </w:r>
          </w:p>
        </w:tc>
        <w:tc>
          <w:tcPr>
            <w:tcW w:type="dxa" w:w="2764"/>
            <w:shd w:val="clear" w:color="auto" w:fill="DEEAF6"/>
          </w:tcPr>
          <w:p>
            <w:pPr>
              <w:spacing w:after="20" w:before="20"/>
            </w:pPr>
            <w:r/>
            <w:r>
              <w:rPr>
                <w:b/>
                <w:sz w:val="17"/>
              </w:rPr>
              <w:t>Check</w:t>
            </w:r>
          </w:p>
        </w:tc>
        <w:tc>
          <w:tcPr>
            <w:tcW w:type="dxa" w:w="3132"/>
            <w:shd w:val="clear" w:color="auto" w:fill="DEEAF6"/>
          </w:tcPr>
          <w:p>
            <w:pPr>
              <w:spacing w:after="20" w:before="20"/>
            </w:pPr>
            <w:r/>
            <w:r>
              <w:rPr>
                <w:b/>
                <w:sz w:val="17"/>
              </w:rPr>
              <w:t>What it means</w:t>
            </w:r>
          </w:p>
        </w:tc>
        <w:tc>
          <w:tcPr>
            <w:tcW w:type="dxa" w:w="2764"/>
            <w:shd w:val="clear" w:color="auto" w:fill="DEEAF6"/>
          </w:tcPr>
          <w:p>
            <w:pPr>
              <w:spacing w:after="20" w:before="20"/>
            </w:pPr>
            <w:r/>
            <w:r>
              <w:rPr>
                <w:b/>
                <w:sz w:val="17"/>
              </w:rPr>
              <w:t>Catches</w:t>
            </w:r>
          </w:p>
        </w:tc>
      </w:tr>
      <w:tr>
        <w:tc>
          <w:tcPr>
            <w:tcW w:type="dxa" w:w="369"/>
          </w:tcPr>
          <w:p>
            <w:pPr>
              <w:spacing w:after="20" w:before="20"/>
            </w:pPr>
            <w:r/>
            <w:r>
              <w:rPr>
                <w:sz w:val="17"/>
              </w:rPr>
              <w:t>1</w:t>
            </w:r>
          </w:p>
        </w:tc>
        <w:tc>
          <w:tcPr>
            <w:tcW w:type="dxa" w:w="2764"/>
          </w:tcPr>
          <w:p>
            <w:pPr>
              <w:spacing w:after="20" w:before="20"/>
            </w:pPr>
            <w:r/>
            <w:r>
              <w:rPr>
                <w:sz w:val="17"/>
              </w:rPr>
              <w:t>All diagonal entries negative</w:t>
            </w:r>
          </w:p>
        </w:tc>
        <w:tc>
          <w:tcPr>
            <w:tcW w:type="dxa" w:w="3132"/>
          </w:tcPr>
          <w:p>
            <w:pPr>
              <w:spacing w:after="20" w:before="20"/>
            </w:pPr>
            <w:r/>
            <w:r>
              <w:rPr>
                <w:sz w:val="17"/>
              </w:rPr>
              <w:t>Every node decays on its own</w:t>
            </w:r>
          </w:p>
        </w:tc>
        <w:tc>
          <w:tcPr>
            <w:tcW w:type="dxa" w:w="2764"/>
          </w:tcPr>
          <w:p>
            <w:pPr>
              <w:spacing w:after="20" w:before="20"/>
            </w:pPr>
            <w:r/>
            <w:r>
              <w:rPr>
                <w:sz w:val="17"/>
              </w:rPr>
              <w:t>A sign error that makes the simulation diverge</w:t>
            </w:r>
          </w:p>
        </w:tc>
      </w:tr>
      <w:tr>
        <w:tc>
          <w:tcPr>
            <w:tcW w:type="dxa" w:w="369"/>
          </w:tcPr>
          <w:p>
            <w:pPr>
              <w:spacing w:after="20" w:before="20"/>
            </w:pPr>
            <w:r/>
            <w:r>
              <w:rPr>
                <w:sz w:val="17"/>
              </w:rPr>
              <w:t>2</w:t>
            </w:r>
          </w:p>
        </w:tc>
        <w:tc>
          <w:tcPr>
            <w:tcW w:type="dxa" w:w="2764"/>
          </w:tcPr>
          <w:p>
            <w:pPr>
              <w:spacing w:after="20" w:before="20"/>
            </w:pPr>
            <w:r/>
            <w:r>
              <w:rPr>
                <w:sz w:val="17"/>
              </w:rPr>
              <w:t>Row 1 sums to zero</w:t>
            </w:r>
          </w:p>
        </w:tc>
        <w:tc>
          <w:tcPr>
            <w:tcW w:type="dxa" w:w="3132"/>
          </w:tcPr>
          <w:p>
            <w:pPr>
              <w:spacing w:after="20" w:before="20"/>
            </w:pPr>
            <w:r/>
            <w:r>
              <w:rPr>
                <w:sz w:val="17"/>
              </w:rPr>
              <w:t>The air has no exit except through the water and the guard</w:t>
            </w:r>
          </w:p>
        </w:tc>
        <w:tc>
          <w:tcPr>
            <w:tcW w:type="dxa" w:w="2764"/>
          </w:tcPr>
          <w:p>
            <w:pPr>
              <w:spacing w:after="20" w:before="20"/>
            </w:pPr>
            <w:r/>
            <w:r>
              <w:rPr>
                <w:sz w:val="17"/>
              </w:rPr>
              <w:t>A missing path</w:t>
            </w:r>
          </w:p>
        </w:tc>
      </w:tr>
      <w:tr>
        <w:tc>
          <w:tcPr>
            <w:tcW w:type="dxa" w:w="369"/>
          </w:tcPr>
          <w:p>
            <w:pPr>
              <w:spacing w:after="20" w:before="20"/>
            </w:pPr>
            <w:r/>
            <w:r>
              <w:rPr>
                <w:sz w:val="17"/>
              </w:rPr>
              <w:t>3</w:t>
            </w:r>
          </w:p>
        </w:tc>
        <w:tc>
          <w:tcPr>
            <w:tcW w:type="dxa" w:w="2764"/>
          </w:tcPr>
          <w:p>
            <w:pPr>
              <w:spacing w:after="20" w:before="20"/>
            </w:pPr>
            <w:r/>
            <w:r>
              <w:rPr>
                <w:sz w:val="17"/>
              </w:rPr>
              <w:t>Row 2 sums to −ṁc</w:t>
            </w:r>
            <w:r>
              <w:rPr>
                <w:sz w:val="17"/>
                <w:vertAlign w:val="subscript"/>
              </w:rPr>
              <w:t>p</w:t>
            </w:r>
            <w:r>
              <w:rPr>
                <w:sz w:val="17"/>
              </w:rPr>
              <w:t>/C</w:t>
            </w:r>
            <w:r>
              <w:rPr>
                <w:sz w:val="17"/>
                <w:vertAlign w:val="subscript"/>
              </w:rPr>
              <w:t>w</w:t>
            </w:r>
          </w:p>
        </w:tc>
        <w:tc>
          <w:tcPr>
            <w:tcW w:type="dxa" w:w="3132"/>
          </w:tcPr>
          <w:p>
            <w:pPr>
              <w:spacing w:after="20" w:before="20"/>
            </w:pPr>
            <w:r/>
            <w:r>
              <w:rPr>
                <w:sz w:val="17"/>
              </w:rPr>
              <w:t xml:space="preserve">The water leaks to the inlet rail — </w:t>
            </w:r>
            <w:r>
              <w:rPr>
                <w:b/>
                <w:sz w:val="17"/>
              </w:rPr>
              <w:t>this is the metered exit</w:t>
            </w:r>
          </w:p>
        </w:tc>
        <w:tc>
          <w:tcPr>
            <w:tcW w:type="dxa" w:w="2764"/>
          </w:tcPr>
          <w:p>
            <w:pPr>
              <w:spacing w:after="20" w:before="20"/>
            </w:pPr>
            <w:r/>
            <w:r>
              <w:rPr>
                <w:sz w:val="17"/>
              </w:rPr>
              <w:t>A meter wired to the wrong rail</w:t>
            </w:r>
          </w:p>
        </w:tc>
      </w:tr>
      <w:tr>
        <w:tc>
          <w:tcPr>
            <w:tcW w:type="dxa" w:w="369"/>
          </w:tcPr>
          <w:p>
            <w:pPr>
              <w:spacing w:after="20" w:before="20"/>
            </w:pPr>
            <w:r/>
            <w:r>
              <w:rPr>
                <w:sz w:val="17"/>
              </w:rPr>
              <w:t>4</w:t>
            </w:r>
          </w:p>
        </w:tc>
        <w:tc>
          <w:tcPr>
            <w:tcW w:type="dxa" w:w="2764"/>
          </w:tcPr>
          <w:p>
            <w:pPr>
              <w:spacing w:after="20" w:before="20"/>
            </w:pPr>
            <w:r/>
            <w:r>
              <w:rPr>
                <w:sz w:val="17"/>
              </w:rPr>
              <w:t>Row 3 sums to −G</w:t>
            </w:r>
            <w:r>
              <w:rPr>
                <w:sz w:val="17"/>
                <w:vertAlign w:val="subscript"/>
              </w:rPr>
              <w:t>out</w:t>
            </w:r>
            <w:r>
              <w:rPr>
                <w:sz w:val="17"/>
              </w:rPr>
              <w:t>/C</w:t>
            </w:r>
            <w:r>
              <w:rPr>
                <w:sz w:val="17"/>
                <w:vertAlign w:val="subscript"/>
              </w:rPr>
              <w:t>e</w:t>
            </w:r>
          </w:p>
        </w:tc>
        <w:tc>
          <w:tcPr>
            <w:tcW w:type="dxa" w:w="3132"/>
          </w:tcPr>
          <w:p>
            <w:pPr>
              <w:spacing w:after="20" w:before="20"/>
            </w:pPr>
            <w:r/>
            <w:r>
              <w:rPr>
                <w:sz w:val="17"/>
              </w:rPr>
              <w:t xml:space="preserve">The guard leaks to ambient — </w:t>
            </w:r>
            <w:r>
              <w:rPr>
                <w:b/>
                <w:sz w:val="17"/>
              </w:rPr>
              <w:t>this is the unmetered exit, and the whole error term</w:t>
            </w:r>
          </w:p>
        </w:tc>
        <w:tc>
          <w:tcPr>
            <w:tcW w:type="dxa" w:w="2764"/>
          </w:tcPr>
          <w:p>
            <w:pPr>
              <w:spacing w:after="20" w:before="20"/>
            </w:pPr>
            <w:r/>
            <w:r>
              <w:rPr>
                <w:sz w:val="17"/>
              </w:rPr>
              <w:t>A guard accidentally modelled as sealed</w:t>
            </w:r>
          </w:p>
        </w:tc>
      </w:tr>
      <w:tr>
        <w:tc>
          <w:tcPr>
            <w:tcW w:type="dxa" w:w="369"/>
          </w:tcPr>
          <w:p>
            <w:pPr>
              <w:spacing w:after="20" w:before="20"/>
            </w:pPr>
            <w:r/>
            <w:r>
              <w:rPr>
                <w:sz w:val="17"/>
              </w:rPr>
              <w:t>5</w:t>
            </w:r>
          </w:p>
        </w:tc>
        <w:tc>
          <w:tcPr>
            <w:tcW w:type="dxa" w:w="2764"/>
          </w:tcPr>
          <w:p>
            <w:pPr>
              <w:spacing w:after="20" w:before="20"/>
            </w:pPr>
            <w:r/>
            <w:r>
              <w:rPr>
                <w:sz w:val="17"/>
              </w:rPr>
              <w:t>C</w:t>
            </w:r>
            <w:r>
              <w:rPr>
                <w:sz w:val="17"/>
                <w:vertAlign w:val="subscript"/>
              </w:rPr>
              <w:t>i</w:t>
            </w:r>
            <w:r>
              <w:rPr>
                <w:sz w:val="17"/>
              </w:rPr>
              <w:t>·a</w:t>
            </w:r>
            <w:r>
              <w:rPr>
                <w:sz w:val="17"/>
                <w:vertAlign w:val="subscript"/>
              </w:rPr>
              <w:t>12</w:t>
            </w:r>
            <w:r>
              <w:rPr>
                <w:sz w:val="17"/>
              </w:rPr>
              <w:t xml:space="preserve"> = C</w:t>
            </w:r>
            <w:r>
              <w:rPr>
                <w:sz w:val="17"/>
                <w:vertAlign w:val="subscript"/>
              </w:rPr>
              <w:t>w</w:t>
            </w:r>
            <w:r>
              <w:rPr>
                <w:sz w:val="17"/>
              </w:rPr>
              <w:t>·a</w:t>
            </w:r>
            <w:r>
              <w:rPr>
                <w:sz w:val="17"/>
                <w:vertAlign w:val="subscript"/>
              </w:rPr>
              <w:t>21</w:t>
            </w:r>
            <w:r>
              <w:rPr>
                <w:sz w:val="17"/>
              </w:rPr>
              <w:t xml:space="preserve"> = UA</w:t>
            </w:r>
            <w:r>
              <w:rPr>
                <w:sz w:val="17"/>
                <w:vertAlign w:val="subscript"/>
              </w:rPr>
              <w:t>rad</w:t>
            </w:r>
            <w:r>
              <w:rPr>
                <w:sz w:val="17"/>
              </w:rPr>
              <w:t>; C</w:t>
            </w:r>
            <w:r>
              <w:rPr>
                <w:sz w:val="17"/>
                <w:vertAlign w:val="subscript"/>
              </w:rPr>
              <w:t>i</w:t>
            </w:r>
            <w:r>
              <w:rPr>
                <w:sz w:val="17"/>
              </w:rPr>
              <w:t>·a</w:t>
            </w:r>
            <w:r>
              <w:rPr>
                <w:sz w:val="17"/>
                <w:vertAlign w:val="subscript"/>
              </w:rPr>
              <w:t>13</w:t>
            </w:r>
            <w:r>
              <w:rPr>
                <w:sz w:val="17"/>
              </w:rPr>
              <w:t xml:space="preserve"> = C</w:t>
            </w:r>
            <w:r>
              <w:rPr>
                <w:sz w:val="17"/>
                <w:vertAlign w:val="subscript"/>
              </w:rPr>
              <w:t>e</w:t>
            </w:r>
            <w:r>
              <w:rPr>
                <w:sz w:val="17"/>
              </w:rPr>
              <w:t>·a</w:t>
            </w:r>
            <w:r>
              <w:rPr>
                <w:sz w:val="17"/>
                <w:vertAlign w:val="subscript"/>
              </w:rPr>
              <w:t>31</w:t>
            </w:r>
            <w:r>
              <w:rPr>
                <w:sz w:val="17"/>
              </w:rPr>
              <w:t xml:space="preserve"> = G</w:t>
            </w:r>
            <w:r>
              <w:rPr>
                <w:sz w:val="17"/>
                <w:vertAlign w:val="subscript"/>
              </w:rPr>
              <w:t>gap</w:t>
            </w:r>
          </w:p>
        </w:tc>
        <w:tc>
          <w:tcPr>
            <w:tcW w:type="dxa" w:w="3132"/>
          </w:tcPr>
          <w:p>
            <w:pPr>
              <w:spacing w:after="20" w:before="20"/>
            </w:pPr>
            <w:r/>
            <w:r>
              <w:rPr>
                <w:sz w:val="17"/>
              </w:rPr>
              <w:t>Each shared bridge appears twice, with opposite signs, weighted by its own capacitance</w:t>
            </w:r>
          </w:p>
        </w:tc>
        <w:tc>
          <w:tcPr>
            <w:tcW w:type="dxa" w:w="2764"/>
          </w:tcPr>
          <w:p>
            <w:pPr>
              <w:spacing w:after="20" w:before="20"/>
            </w:pPr>
            <w:r/>
            <w:r>
              <w:rPr>
                <w:sz w:val="17"/>
              </w:rPr>
              <w:t>Energy created at a coupling — the most common multi-node wiring error</w:t>
            </w:r>
          </w:p>
        </w:tc>
      </w:tr>
      <w:tr>
        <w:tc>
          <w:tcPr>
            <w:tcW w:type="dxa" w:w="369"/>
          </w:tcPr>
          <w:p>
            <w:pPr>
              <w:spacing w:after="20" w:before="20"/>
            </w:pPr>
            <w:r/>
            <w:r>
              <w:rPr>
                <w:sz w:val="17"/>
              </w:rPr>
              <w:t>6</w:t>
            </w:r>
          </w:p>
        </w:tc>
        <w:tc>
          <w:tcPr>
            <w:tcW w:type="dxa" w:w="2764"/>
          </w:tcPr>
          <w:p>
            <w:pPr>
              <w:spacing w:after="20" w:before="20"/>
            </w:pPr>
            <w:r/>
            <w:r>
              <w:rPr>
                <w:sz w:val="17"/>
              </w:rPr>
              <w:t>a</w:t>
            </w:r>
            <w:r>
              <w:rPr>
                <w:sz w:val="17"/>
                <w:vertAlign w:val="subscript"/>
              </w:rPr>
              <w:t>23</w:t>
            </w:r>
            <w:r>
              <w:rPr>
                <w:sz w:val="17"/>
              </w:rPr>
              <w:t xml:space="preserve"> = a</w:t>
            </w:r>
            <w:r>
              <w:rPr>
                <w:sz w:val="17"/>
                <w:vertAlign w:val="subscript"/>
              </w:rPr>
              <w:t>32</w:t>
            </w:r>
            <w:r>
              <w:rPr>
                <w:sz w:val="17"/>
              </w:rPr>
              <w:t xml:space="preserve"> = 0</w:t>
            </w:r>
          </w:p>
        </w:tc>
        <w:tc>
          <w:tcPr>
            <w:tcW w:type="dxa" w:w="3132"/>
          </w:tcPr>
          <w:p>
            <w:pPr>
              <w:spacing w:after="20" w:before="20"/>
            </w:pPr>
            <w:r/>
            <w:r>
              <w:rPr>
                <w:sz w:val="17"/>
              </w:rPr>
              <w:t>Water and guard do not touch directly</w:t>
            </w:r>
          </w:p>
        </w:tc>
        <w:tc>
          <w:tcPr>
            <w:tcW w:type="dxa" w:w="2764"/>
          </w:tcPr>
          <w:p>
            <w:pPr>
              <w:spacing w:after="20" w:before="20"/>
            </w:pPr>
            <w:r/>
            <w:r>
              <w:rPr>
                <w:sz w:val="17"/>
              </w:rPr>
              <w:t>A spurious coupling</w:t>
            </w:r>
          </w:p>
        </w:tc>
      </w:tr>
      <w:tr>
        <w:tc>
          <w:tcPr>
            <w:tcW w:type="dxa" w:w="369"/>
          </w:tcPr>
          <w:p>
            <w:pPr>
              <w:spacing w:after="20" w:before="20"/>
            </w:pPr>
            <w:r/>
            <w:r>
              <w:rPr>
                <w:sz w:val="17"/>
              </w:rPr>
              <w:t>7</w:t>
            </w:r>
          </w:p>
        </w:tc>
        <w:tc>
          <w:tcPr>
            <w:tcW w:type="dxa" w:w="2764"/>
          </w:tcPr>
          <w:p>
            <w:pPr>
              <w:spacing w:after="20" w:before="20"/>
            </w:pPr>
            <w:r/>
            <w:r>
              <w:rPr>
                <w:sz w:val="17"/>
              </w:rPr>
              <w:t>All eigenvalues real and negative</w:t>
            </w:r>
          </w:p>
        </w:tc>
        <w:tc>
          <w:tcPr>
            <w:tcW w:type="dxa" w:w="3132"/>
          </w:tcPr>
          <w:p>
            <w:pPr>
              <w:spacing w:after="20" w:before="20"/>
            </w:pPr>
            <w:r/>
            <w:r>
              <w:rPr>
                <w:sz w:val="17"/>
              </w:rPr>
              <w:t>A purely dissipative single-domain network cannot oscillate</w:t>
            </w:r>
          </w:p>
        </w:tc>
        <w:tc>
          <w:tcPr>
            <w:tcW w:type="dxa" w:w="2764"/>
          </w:tcPr>
          <w:p>
            <w:pPr>
              <w:spacing w:after="20" w:before="20"/>
            </w:pPr>
            <w:r/>
            <w:r>
              <w:rPr>
                <w:sz w:val="17"/>
              </w:rPr>
              <w:t xml:space="preserve">A sign error anywhere. </w:t>
            </w:r>
            <w:r>
              <w:rPr>
                <w:b/>
                <w:sz w:val="17"/>
              </w:rPr>
              <w:t>Only valid open-loop</w:t>
            </w:r>
            <w:r>
              <w:rPr>
                <w:sz w:val="17"/>
              </w:rPr>
              <w:t xml:space="preserve"> — see §6.7</w:t>
            </w:r>
          </w:p>
        </w:tc>
      </w:tr>
    </w:tbl>
    <w:p>
      <w:pPr>
        <w:spacing w:before="60" w:after="200"/>
        <w:jc w:val="left"/>
      </w:pPr>
      <w:r>
        <w:rPr>
          <w:i/>
          <w:sz w:val="18"/>
        </w:rPr>
        <w:t>Table 17. The structural audit.</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Two non-zero row sums means two ways out of the boundary</w:t>
            </w:r>
          </w:p>
          <w:p>
            <w:pPr>
              <w:spacing w:after="40"/>
            </w:pPr>
            <w:r>
              <w:rPr>
                <w:sz w:val="19"/>
              </w:rPr>
              <w:t>One of them is measured; the other is the error term. That single sentence is the entire physics of a calorimeter, and it is legible in the row sums of A before a single number is entered.</w:t>
            </w:r>
          </w:p>
        </w:tc>
      </w:tr>
    </w:tbl>
    <w:p>
      <w:pPr>
        <w:spacing w:after="80"/>
      </w:pPr>
    </w:p>
    <w:p>
      <w:pPr>
        <w:pStyle w:val="Heading2"/>
      </w:pPr>
      <w:r>
        <w:t>Modes</w:t>
      </w:r>
    </w:p>
    <w:p>
      <w:pPr>
        <w:spacing w:after="120"/>
      </w:pPr>
      <w:r>
        <w:t>At the 150 W / 10 K operating point (ṁc</w:t>
      </w:r>
      <w:r>
        <w:rPr>
          <w:vertAlign w:val="subscript"/>
        </w:rPr>
        <w:t>p</w:t>
      </w:r>
      <w:r>
        <w:t xml:space="preserve"> = 15 W/K, 216 mL/min) the system matrix and its modes are:</w:t>
      </w:r>
    </w:p>
    <w:p>
      <w:pPr>
        <w:spacing w:after="0" w:before="0" w:line="240" w:lineRule="auto"/>
        <w:ind w:left="288"/>
      </w:pPr>
      <w:r>
        <w:rPr>
          <w:rFonts w:ascii="Consolas" w:hAnsi="Consolas"/>
          <w:sz w:val="18"/>
        </w:rPr>
        <w:t>A =  [ -0.047015   0.046154   0.000862 ]</w:t>
      </w:r>
    </w:p>
    <w:p>
      <w:pPr>
        <w:spacing w:after="0" w:before="0" w:line="240" w:lineRule="auto"/>
        <w:ind w:left="288"/>
      </w:pPr>
      <w:r>
        <w:rPr>
          <w:rFonts w:ascii="Consolas" w:hAnsi="Consolas"/>
          <w:sz w:val="18"/>
        </w:rPr>
        <w:t xml:space="preserve">     [  0.016667  -0.025000   0.000000 ]   s^-1</w:t>
      </w:r>
    </w:p>
    <w:p>
      <w:pPr>
        <w:spacing w:after="160" w:before="0" w:line="240" w:lineRule="auto"/>
        <w:ind w:left="288"/>
      </w:pPr>
      <w:r>
        <w:rPr>
          <w:rFonts w:ascii="Consolas" w:hAnsi="Consolas"/>
          <w:sz w:val="18"/>
        </w:rPr>
        <w:t xml:space="preserve">     [  0.001867   0.000000  -0.003367 ]</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967"/>
            <w:shd w:val="clear" w:color="auto" w:fill="DEEAF6"/>
          </w:tcPr>
          <w:p>
            <w:pPr>
              <w:spacing w:after="20" w:before="20"/>
            </w:pPr>
            <w:r/>
            <w:r>
              <w:rPr>
                <w:b/>
                <w:sz w:val="18"/>
              </w:rPr>
              <w:t>Mode</w:t>
            </w:r>
          </w:p>
        </w:tc>
        <w:tc>
          <w:tcPr>
            <w:tcW w:type="dxa" w:w="1075"/>
            <w:shd w:val="clear" w:color="auto" w:fill="DEEAF6"/>
          </w:tcPr>
          <w:p>
            <w:pPr>
              <w:spacing w:after="20" w:before="20"/>
            </w:pPr>
            <w:r/>
            <w:r>
              <w:rPr>
                <w:b/>
                <w:sz w:val="18"/>
              </w:rPr>
              <w:t>τ</w:t>
            </w:r>
          </w:p>
        </w:tc>
        <w:tc>
          <w:tcPr>
            <w:tcW w:type="dxa" w:w="2150"/>
            <w:shd w:val="clear" w:color="auto" w:fill="DEEAF6"/>
          </w:tcPr>
          <w:p>
            <w:pPr>
              <w:spacing w:after="20" w:before="20"/>
            </w:pPr>
            <w:r/>
            <w:r>
              <w:rPr>
                <w:b/>
                <w:sz w:val="18"/>
              </w:rPr>
              <w:t>Eigenvector [θ</w:t>
            </w:r>
            <w:r>
              <w:rPr>
                <w:b/>
                <w:sz w:val="18"/>
                <w:vertAlign w:val="subscript"/>
              </w:rPr>
              <w:t>i</w:t>
            </w:r>
            <w:r>
              <w:rPr>
                <w:b/>
                <w:sz w:val="18"/>
              </w:rPr>
              <w:t>, θ</w:t>
            </w:r>
            <w:r>
              <w:rPr>
                <w:b/>
                <w:sz w:val="18"/>
                <w:vertAlign w:val="subscript"/>
              </w:rPr>
              <w:t>w</w:t>
            </w:r>
            <w:r>
              <w:rPr>
                <w:b/>
                <w:sz w:val="18"/>
              </w:rPr>
              <w:t>, θ</w:t>
            </w:r>
            <w:r>
              <w:rPr>
                <w:b/>
                <w:sz w:val="18"/>
                <w:vertAlign w:val="subscript"/>
              </w:rPr>
              <w:t>e</w:t>
            </w:r>
            <w:r>
              <w:rPr>
                <w:b/>
                <w:sz w:val="18"/>
              </w:rPr>
              <w:t>]</w:t>
            </w:r>
          </w:p>
        </w:tc>
        <w:tc>
          <w:tcPr>
            <w:tcW w:type="dxa" w:w="4837"/>
            <w:shd w:val="clear" w:color="auto" w:fill="DEEAF6"/>
          </w:tcPr>
          <w:p>
            <w:pPr>
              <w:spacing w:after="20" w:before="20"/>
            </w:pPr>
            <w:r/>
            <w:r>
              <w:rPr>
                <w:b/>
                <w:sz w:val="18"/>
              </w:rPr>
              <w:t>What it physically is</w:t>
            </w:r>
          </w:p>
        </w:tc>
      </w:tr>
      <w:tr>
        <w:tc>
          <w:tcPr>
            <w:tcW w:type="dxa" w:w="967"/>
          </w:tcPr>
          <w:p>
            <w:pPr>
              <w:spacing w:after="20" w:before="20"/>
            </w:pPr>
            <w:r/>
            <w:r>
              <w:rPr>
                <w:sz w:val="18"/>
              </w:rPr>
              <w:t>Fast</w:t>
            </w:r>
          </w:p>
        </w:tc>
        <w:tc>
          <w:tcPr>
            <w:tcW w:type="dxa" w:w="1075"/>
          </w:tcPr>
          <w:p>
            <w:pPr>
              <w:spacing w:after="20" w:before="20"/>
            </w:pPr>
            <w:r/>
            <w:r>
              <w:rPr>
                <w:b/>
                <w:sz w:val="18"/>
              </w:rPr>
              <w:t>15.2 s</w:t>
            </w:r>
          </w:p>
        </w:tc>
        <w:tc>
          <w:tcPr>
            <w:tcW w:type="dxa" w:w="2150"/>
          </w:tcPr>
          <w:p>
            <w:pPr>
              <w:spacing w:after="20" w:before="20"/>
            </w:pPr>
            <w:r/>
            <w:r>
              <w:rPr>
                <w:sz w:val="18"/>
              </w:rPr>
              <w:t>[+1.000, −0.408, −0.030]</w:t>
            </w:r>
          </w:p>
        </w:tc>
        <w:tc>
          <w:tcPr>
            <w:tcW w:type="dxa" w:w="4837"/>
          </w:tcPr>
          <w:p>
            <w:pPr>
              <w:spacing w:after="20" w:before="20"/>
            </w:pPr>
            <w:r/>
            <w:r>
              <w:rPr>
                <w:sz w:val="18"/>
              </w:rPr>
              <w:t xml:space="preserve">Air and water </w:t>
            </w:r>
            <w:r>
              <w:rPr>
                <w:b/>
                <w:sz w:val="18"/>
              </w:rPr>
              <w:t>exchanging</w:t>
            </w:r>
            <w:r>
              <w:rPr>
                <w:sz w:val="18"/>
              </w:rPr>
              <w:t xml:space="preserve"> across the radiator — opposite signs, guard uninvolved. In circuit terms, the two capacitors in series across the radiator bridge</w:t>
            </w:r>
          </w:p>
        </w:tc>
      </w:tr>
      <w:tr>
        <w:tc>
          <w:tcPr>
            <w:tcW w:type="dxa" w:w="967"/>
          </w:tcPr>
          <w:p>
            <w:pPr>
              <w:spacing w:after="20" w:before="20"/>
            </w:pPr>
            <w:r/>
            <w:r>
              <w:rPr>
                <w:sz w:val="18"/>
              </w:rPr>
              <w:t>Mid</w:t>
            </w:r>
          </w:p>
        </w:tc>
        <w:tc>
          <w:tcPr>
            <w:tcW w:type="dxa" w:w="1075"/>
          </w:tcPr>
          <w:p>
            <w:pPr>
              <w:spacing w:after="20" w:before="20"/>
            </w:pPr>
            <w:r/>
            <w:r>
              <w:rPr>
                <w:b/>
                <w:sz w:val="18"/>
              </w:rPr>
              <w:t>157.8 s</w:t>
            </w:r>
          </w:p>
        </w:tc>
        <w:tc>
          <w:tcPr>
            <w:tcW w:type="dxa" w:w="2150"/>
          </w:tcPr>
          <w:p>
            <w:pPr>
              <w:spacing w:after="20" w:before="20"/>
            </w:pPr>
            <w:r/>
            <w:r>
              <w:rPr>
                <w:sz w:val="18"/>
              </w:rPr>
              <w:t>[+1.000, +0.893, −0.628]</w:t>
            </w:r>
          </w:p>
        </w:tc>
        <w:tc>
          <w:tcPr>
            <w:tcW w:type="dxa" w:w="4837"/>
          </w:tcPr>
          <w:p>
            <w:pPr>
              <w:spacing w:after="20" w:before="20"/>
            </w:pPr>
            <w:r/>
            <w:r>
              <w:rPr>
                <w:sz w:val="18"/>
              </w:rPr>
              <w:t xml:space="preserve">Air and water </w:t>
            </w:r>
            <w:r>
              <w:rPr>
                <w:b/>
                <w:sz w:val="18"/>
              </w:rPr>
              <w:t>moving together</w:t>
            </w:r>
            <w:r>
              <w:rPr>
                <w:sz w:val="18"/>
              </w:rPr>
              <w:t>, draining through the water bus. The two capacitors in parallel, discharging through the advection conductance</w:t>
            </w:r>
          </w:p>
        </w:tc>
      </w:tr>
      <w:tr>
        <w:tc>
          <w:tcPr>
            <w:tcW w:type="dxa" w:w="967"/>
          </w:tcPr>
          <w:p>
            <w:pPr>
              <w:spacing w:after="20" w:before="20"/>
            </w:pPr>
            <w:r/>
            <w:r>
              <w:rPr>
                <w:sz w:val="18"/>
              </w:rPr>
              <w:t>Slow</w:t>
            </w:r>
          </w:p>
        </w:tc>
        <w:tc>
          <w:tcPr>
            <w:tcW w:type="dxa" w:w="1075"/>
          </w:tcPr>
          <w:p>
            <w:pPr>
              <w:spacing w:after="20" w:before="20"/>
            </w:pPr>
            <w:r/>
            <w:r>
              <w:rPr>
                <w:b/>
                <w:sz w:val="18"/>
              </w:rPr>
              <w:t>314.5 s</w:t>
            </w:r>
          </w:p>
        </w:tc>
        <w:tc>
          <w:tcPr>
            <w:tcW w:type="dxa" w:w="2150"/>
          </w:tcPr>
          <w:p>
            <w:pPr>
              <w:spacing w:after="20" w:before="20"/>
            </w:pPr>
            <w:r/>
            <w:r>
              <w:rPr>
                <w:sz w:val="18"/>
              </w:rPr>
              <w:t>[+0.100, +0.077, +1.000]</w:t>
            </w:r>
          </w:p>
        </w:tc>
        <w:tc>
          <w:tcPr>
            <w:tcW w:type="dxa" w:w="4837"/>
          </w:tcPr>
          <w:p>
            <w:pPr>
              <w:spacing w:after="20" w:before="20"/>
            </w:pPr>
            <w:r/>
            <w:r>
              <w:rPr>
                <w:sz w:val="18"/>
              </w:rPr>
              <w:t>The guard shell charging against ambient — almost entirely θ</w:t>
            </w:r>
            <w:r>
              <w:rPr>
                <w:sz w:val="18"/>
                <w:vertAlign w:val="subscript"/>
              </w:rPr>
              <w:t>e</w:t>
            </w:r>
          </w:p>
        </w:tc>
      </w:tr>
    </w:tbl>
    <w:p>
      <w:pPr>
        <w:spacing w:before="60" w:after="200"/>
        <w:jc w:val="left"/>
      </w:pPr>
      <w:r>
        <w:rPr>
          <w:i/>
          <w:sz w:val="18"/>
        </w:rPr>
        <w:t>Table 18. Modes at ṁc</w:t>
      </w:r>
      <w:r>
        <w:rPr>
          <w:i/>
          <w:sz w:val="18"/>
          <w:vertAlign w:val="subscript"/>
        </w:rPr>
        <w:t>p</w:t>
      </w:r>
      <w:r>
        <w:rPr>
          <w:i/>
          <w:sz w:val="18"/>
        </w:rPr>
        <w:t xml:space="preserve"> = 15 W/K. All three eigenvalues are real and negative, as they must be for a passive single-domain network.</w:t>
      </w:r>
    </w:p>
    <w:p>
      <w:pPr>
        <w:spacing w:after="120"/>
      </w:pPr>
      <w:r>
        <w:t xml:space="preserve">The eigenvectors are the point of the exercise. Three time constants alone say "one fast thing, one medium thing, one slow thing"; the eigenvectors say </w:t>
      </w:r>
      <w:r>
        <w:rPr>
          <w:b/>
        </w:rPr>
        <w:t>which physical process each one is</w:t>
      </w:r>
      <w:r>
        <w:t>, and immediately that the five-minute mode is the guard shell rather than the measurement. Note also that the modal time constants are not the per-node C/ΣG figures (21 s, 40 s, 297 s): the fast mode is faster than either node alone and the mid mode is slower than both. Coupled nodes have modes, not individual time constants.</w:t>
      </w:r>
    </w:p>
    <w:p>
      <w:pPr>
        <w:pStyle w:val="Heading2"/>
      </w:pPr>
      <w:r>
        <w:t>The measurement, as a DC gain</w:t>
      </w:r>
    </w:p>
    <w:p>
      <w:pPr>
        <w:spacing w:after="120"/>
      </w:pPr>
      <w:r>
        <w:t xml:space="preserve">The whole instrument reduces to one question: </w:t>
      </w:r>
      <w:r>
        <w:rPr>
          <w:b/>
        </w:rPr>
        <w:t>is the zero-frequency gain of the P</w:t>
      </w:r>
      <w:r>
        <w:rPr>
          <w:b/>
          <w:vertAlign w:val="subscript"/>
        </w:rPr>
        <w:t>DUT</w:t>
      </w:r>
      <w:r>
        <w:rPr>
          <w:b/>
        </w:rPr>
        <w:t xml:space="preserve"> → P</w:t>
      </w:r>
      <w:r>
        <w:rPr>
          <w:b/>
          <w:vertAlign w:val="subscript"/>
        </w:rPr>
        <w:t>meas</w:t>
      </w:r>
      <w:r>
        <w:rPr>
          <w:b/>
        </w:rPr>
        <w:t xml:space="preserve"> channel equal to one?</w:t>
      </w:r>
      <w:r>
        <w:t xml:space="preserve"> With the guard open, it is not.</w:t>
      </w:r>
    </w:p>
    <w:p>
      <w:pPr>
        <w:spacing w:before="160" w:after="160"/>
        <w:jc w:val="center"/>
      </w:pPr>
      <w:r>
        <w:rPr>
          <w:rFonts w:ascii="Cambria Math" w:hAnsi="Cambria Math"/>
          <w:sz w:val="24"/>
        </w:rPr>
        <w:t>G(0) = −C·A⁻¹·B + D</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1389"/>
            <w:shd w:val="clear" w:color="auto" w:fill="DEEAF6"/>
          </w:tcPr>
          <w:p>
            <w:pPr>
              <w:spacing w:after="20" w:before="20"/>
            </w:pPr>
            <w:r/>
            <w:r>
              <w:rPr>
                <w:b/>
                <w:sz w:val="18"/>
              </w:rPr>
              <w:t>ṁc</w:t>
            </w:r>
            <w:r>
              <w:rPr>
                <w:b/>
                <w:sz w:val="18"/>
                <w:vertAlign w:val="subscript"/>
              </w:rPr>
              <w:t>p</w:t>
            </w:r>
            <w:r>
              <w:rPr>
                <w:b/>
                <w:sz w:val="18"/>
              </w:rPr>
              <w:t xml:space="preserve"> [W/K]</w:t>
            </w:r>
          </w:p>
        </w:tc>
        <w:tc>
          <w:tcPr>
            <w:tcW w:type="dxa" w:w="1389"/>
            <w:shd w:val="clear" w:color="auto" w:fill="DEEAF6"/>
          </w:tcPr>
          <w:p>
            <w:pPr>
              <w:spacing w:after="20" w:before="20"/>
            </w:pPr>
            <w:r/>
            <w:r>
              <w:rPr>
                <w:b/>
                <w:sz w:val="18"/>
              </w:rPr>
              <w:t>Flow [mL/min]</w:t>
            </w:r>
          </w:p>
        </w:tc>
        <w:tc>
          <w:tcPr>
            <w:tcW w:type="dxa" w:w="1852"/>
            <w:shd w:val="clear" w:color="auto" w:fill="DEEAF6"/>
          </w:tcPr>
          <w:p>
            <w:pPr>
              <w:spacing w:after="20" w:before="20"/>
            </w:pPr>
            <w:r/>
            <w:r>
              <w:rPr>
                <w:b/>
                <w:sz w:val="18"/>
              </w:rPr>
              <w:t xml:space="preserve">DC gain, guard </w:t>
            </w:r>
            <w:r>
              <w:rPr>
                <w:b/>
                <w:sz w:val="18"/>
              </w:rPr>
              <w:t>open</w:t>
            </w:r>
          </w:p>
        </w:tc>
        <w:tc>
          <w:tcPr>
            <w:tcW w:type="dxa" w:w="1158"/>
            <w:shd w:val="clear" w:color="auto" w:fill="DEEAF6"/>
          </w:tcPr>
          <w:p>
            <w:pPr>
              <w:spacing w:after="20" w:before="20"/>
            </w:pPr>
            <w:r/>
            <w:r>
              <w:rPr>
                <w:b/>
                <w:sz w:val="18"/>
              </w:rPr>
              <w:t>Deficit ε</w:t>
            </w:r>
          </w:p>
        </w:tc>
        <w:tc>
          <w:tcPr>
            <w:tcW w:type="dxa" w:w="1852"/>
            <w:shd w:val="clear" w:color="auto" w:fill="DEEAF6"/>
          </w:tcPr>
          <w:p>
            <w:pPr>
              <w:spacing w:after="20" w:before="20"/>
            </w:pPr>
            <w:r/>
            <w:r>
              <w:rPr>
                <w:b/>
                <w:sz w:val="18"/>
              </w:rPr>
              <w:t>Leakage-divider formula</w:t>
            </w:r>
          </w:p>
        </w:tc>
        <w:tc>
          <w:tcPr>
            <w:tcW w:type="dxa" w:w="1389"/>
            <w:shd w:val="clear" w:color="auto" w:fill="DEEAF6"/>
          </w:tcPr>
          <w:p>
            <w:pPr>
              <w:spacing w:after="20" w:before="20"/>
            </w:pPr>
            <w:r/>
            <w:r>
              <w:rPr>
                <w:b/>
                <w:sz w:val="18"/>
              </w:rPr>
              <w:t>Agreement</w:t>
            </w:r>
          </w:p>
        </w:tc>
      </w:tr>
      <w:tr>
        <w:tc>
          <w:tcPr>
            <w:tcW w:type="dxa" w:w="1389"/>
          </w:tcPr>
          <w:p>
            <w:pPr>
              <w:spacing w:after="20" w:before="20"/>
            </w:pPr>
            <w:r/>
            <w:r>
              <w:rPr>
                <w:sz w:val="18"/>
              </w:rPr>
              <w:t>3.00</w:t>
            </w:r>
          </w:p>
        </w:tc>
        <w:tc>
          <w:tcPr>
            <w:tcW w:type="dxa" w:w="1389"/>
          </w:tcPr>
          <w:p>
            <w:pPr>
              <w:spacing w:after="20" w:before="20"/>
            </w:pPr>
            <w:r/>
            <w:r>
              <w:rPr>
                <w:sz w:val="18"/>
              </w:rPr>
              <w:t>43</w:t>
            </w:r>
          </w:p>
        </w:tc>
        <w:tc>
          <w:tcPr>
            <w:tcW w:type="dxa" w:w="1852"/>
          </w:tcPr>
          <w:p>
            <w:pPr>
              <w:spacing w:after="20" w:before="20"/>
            </w:pPr>
            <w:r/>
            <w:r>
              <w:rPr>
                <w:sz w:val="18"/>
              </w:rPr>
              <w:t>0.916183</w:t>
            </w:r>
          </w:p>
        </w:tc>
        <w:tc>
          <w:tcPr>
            <w:tcW w:type="dxa" w:w="1158"/>
          </w:tcPr>
          <w:p>
            <w:pPr>
              <w:spacing w:after="20" w:before="20"/>
            </w:pPr>
            <w:r/>
            <w:r>
              <w:rPr>
                <w:sz w:val="18"/>
              </w:rPr>
              <w:t>8.38 %</w:t>
            </w:r>
          </w:p>
        </w:tc>
        <w:tc>
          <w:tcPr>
            <w:tcW w:type="dxa" w:w="1852"/>
          </w:tcPr>
          <w:p>
            <w:pPr>
              <w:spacing w:after="20" w:before="20"/>
            </w:pPr>
            <w:r/>
            <w:r>
              <w:rPr>
                <w:sz w:val="18"/>
              </w:rPr>
              <w:t>0.083817</w:t>
            </w:r>
          </w:p>
        </w:tc>
        <w:tc>
          <w:tcPr>
            <w:tcW w:type="dxa" w:w="1389"/>
          </w:tcPr>
          <w:p>
            <w:pPr>
              <w:spacing w:after="20" w:before="20"/>
            </w:pPr>
            <w:r/>
            <w:r>
              <w:rPr>
                <w:sz w:val="18"/>
              </w:rPr>
              <w:t>1.6 × 10⁻¹⁵</w:t>
            </w:r>
          </w:p>
        </w:tc>
      </w:tr>
      <w:tr>
        <w:tc>
          <w:tcPr>
            <w:tcW w:type="dxa" w:w="1389"/>
          </w:tcPr>
          <w:p>
            <w:pPr>
              <w:spacing w:after="20" w:before="20"/>
            </w:pPr>
            <w:r/>
            <w:r>
              <w:rPr>
                <w:sz w:val="18"/>
              </w:rPr>
              <w:t>5.00</w:t>
            </w:r>
          </w:p>
        </w:tc>
        <w:tc>
          <w:tcPr>
            <w:tcW w:type="dxa" w:w="1389"/>
          </w:tcPr>
          <w:p>
            <w:pPr>
              <w:spacing w:after="20" w:before="20"/>
            </w:pPr>
            <w:r/>
            <w:r>
              <w:rPr>
                <w:sz w:val="18"/>
              </w:rPr>
              <w:t>72</w:t>
            </w:r>
          </w:p>
        </w:tc>
        <w:tc>
          <w:tcPr>
            <w:tcW w:type="dxa" w:w="1852"/>
          </w:tcPr>
          <w:p>
            <w:pPr>
              <w:spacing w:after="20" w:before="20"/>
            </w:pPr>
            <w:r/>
            <w:r>
              <w:rPr>
                <w:sz w:val="18"/>
              </w:rPr>
              <w:t>0.944985</w:t>
            </w:r>
          </w:p>
        </w:tc>
        <w:tc>
          <w:tcPr>
            <w:tcW w:type="dxa" w:w="1158"/>
          </w:tcPr>
          <w:p>
            <w:pPr>
              <w:spacing w:after="20" w:before="20"/>
            </w:pPr>
            <w:r/>
            <w:r>
              <w:rPr>
                <w:sz w:val="18"/>
              </w:rPr>
              <w:t>5.50 %</w:t>
            </w:r>
          </w:p>
        </w:tc>
        <w:tc>
          <w:tcPr>
            <w:tcW w:type="dxa" w:w="1852"/>
          </w:tcPr>
          <w:p>
            <w:pPr>
              <w:spacing w:after="20" w:before="20"/>
            </w:pPr>
            <w:r/>
            <w:r>
              <w:rPr>
                <w:sz w:val="18"/>
              </w:rPr>
              <w:t>0.055015</w:t>
            </w:r>
          </w:p>
        </w:tc>
        <w:tc>
          <w:tcPr>
            <w:tcW w:type="dxa" w:w="1389"/>
          </w:tcPr>
          <w:p>
            <w:pPr>
              <w:spacing w:after="20" w:before="20"/>
            </w:pPr>
            <w:r/>
            <w:r>
              <w:rPr>
                <w:sz w:val="18"/>
              </w:rPr>
              <w:t>9.2 × 10⁻¹⁶</w:t>
            </w:r>
          </w:p>
        </w:tc>
      </w:tr>
      <w:tr>
        <w:tc>
          <w:tcPr>
            <w:tcW w:type="dxa" w:w="1389"/>
          </w:tcPr>
          <w:p>
            <w:pPr>
              <w:spacing w:after="20" w:before="20"/>
            </w:pPr>
            <w:r/>
            <w:r>
              <w:rPr>
                <w:sz w:val="18"/>
              </w:rPr>
              <w:t>7.50</w:t>
            </w:r>
          </w:p>
        </w:tc>
        <w:tc>
          <w:tcPr>
            <w:tcW w:type="dxa" w:w="1389"/>
          </w:tcPr>
          <w:p>
            <w:pPr>
              <w:spacing w:after="20" w:before="20"/>
            </w:pPr>
            <w:r/>
            <w:r>
              <w:rPr>
                <w:sz w:val="18"/>
              </w:rPr>
              <w:t>108</w:t>
            </w:r>
          </w:p>
        </w:tc>
        <w:tc>
          <w:tcPr>
            <w:tcW w:type="dxa" w:w="1852"/>
          </w:tcPr>
          <w:p>
            <w:pPr>
              <w:spacing w:after="20" w:before="20"/>
            </w:pPr>
            <w:r/>
            <w:r>
              <w:rPr>
                <w:sz w:val="18"/>
              </w:rPr>
              <w:t>0.960076</w:t>
            </w:r>
          </w:p>
        </w:tc>
        <w:tc>
          <w:tcPr>
            <w:tcW w:type="dxa" w:w="1158"/>
          </w:tcPr>
          <w:p>
            <w:pPr>
              <w:spacing w:after="20" w:before="20"/>
            </w:pPr>
            <w:r/>
            <w:r>
              <w:rPr>
                <w:sz w:val="18"/>
              </w:rPr>
              <w:t>3.99 %</w:t>
            </w:r>
          </w:p>
        </w:tc>
        <w:tc>
          <w:tcPr>
            <w:tcW w:type="dxa" w:w="1852"/>
          </w:tcPr>
          <w:p>
            <w:pPr>
              <w:spacing w:after="20" w:before="20"/>
            </w:pPr>
            <w:r/>
            <w:r>
              <w:rPr>
                <w:sz w:val="18"/>
              </w:rPr>
              <w:t>0.039924</w:t>
            </w:r>
          </w:p>
        </w:tc>
        <w:tc>
          <w:tcPr>
            <w:tcW w:type="dxa" w:w="1389"/>
          </w:tcPr>
          <w:p>
            <w:pPr>
              <w:spacing w:after="20" w:before="20"/>
            </w:pPr>
            <w:r/>
            <w:r>
              <w:rPr>
                <w:sz w:val="18"/>
              </w:rPr>
              <w:t>8.2 × 10⁻¹⁶</w:t>
            </w:r>
          </w:p>
        </w:tc>
      </w:tr>
      <w:tr>
        <w:tc>
          <w:tcPr>
            <w:tcW w:type="dxa" w:w="1389"/>
          </w:tcPr>
          <w:p>
            <w:pPr>
              <w:spacing w:after="20" w:before="20"/>
            </w:pPr>
            <w:r/>
            <w:r>
              <w:rPr>
                <w:sz w:val="18"/>
              </w:rPr>
              <w:t>10.00</w:t>
            </w:r>
          </w:p>
        </w:tc>
        <w:tc>
          <w:tcPr>
            <w:tcW w:type="dxa" w:w="1389"/>
          </w:tcPr>
          <w:p>
            <w:pPr>
              <w:spacing w:after="20" w:before="20"/>
            </w:pPr>
            <w:r/>
            <w:r>
              <w:rPr>
                <w:sz w:val="18"/>
              </w:rPr>
              <w:t>144</w:t>
            </w:r>
          </w:p>
        </w:tc>
        <w:tc>
          <w:tcPr>
            <w:tcW w:type="dxa" w:w="1852"/>
          </w:tcPr>
          <w:p>
            <w:pPr>
              <w:spacing w:after="20" w:before="20"/>
            </w:pPr>
            <w:r/>
            <w:r>
              <w:rPr>
                <w:sz w:val="18"/>
              </w:rPr>
              <w:t>0.967804</w:t>
            </w:r>
          </w:p>
        </w:tc>
        <w:tc>
          <w:tcPr>
            <w:tcW w:type="dxa" w:w="1158"/>
          </w:tcPr>
          <w:p>
            <w:pPr>
              <w:spacing w:after="20" w:before="20"/>
            </w:pPr>
            <w:r/>
            <w:r>
              <w:rPr>
                <w:sz w:val="18"/>
              </w:rPr>
              <w:t>3.22 %</w:t>
            </w:r>
          </w:p>
        </w:tc>
        <w:tc>
          <w:tcPr>
            <w:tcW w:type="dxa" w:w="1852"/>
          </w:tcPr>
          <w:p>
            <w:pPr>
              <w:spacing w:after="20" w:before="20"/>
            </w:pPr>
            <w:r/>
            <w:r>
              <w:rPr>
                <w:sz w:val="18"/>
              </w:rPr>
              <w:t>0.032196</w:t>
            </w:r>
          </w:p>
        </w:tc>
        <w:tc>
          <w:tcPr>
            <w:tcW w:type="dxa" w:w="1389"/>
          </w:tcPr>
          <w:p>
            <w:pPr>
              <w:spacing w:after="20" w:before="20"/>
            </w:pPr>
            <w:r/>
            <w:r>
              <w:rPr>
                <w:sz w:val="18"/>
              </w:rPr>
              <w:t>3.8 × 10⁻¹⁶</w:t>
            </w:r>
          </w:p>
        </w:tc>
      </w:tr>
      <w:tr>
        <w:tc>
          <w:tcPr>
            <w:tcW w:type="dxa" w:w="1389"/>
          </w:tcPr>
          <w:p>
            <w:pPr>
              <w:spacing w:after="20" w:before="20"/>
            </w:pPr>
            <w:r/>
            <w:r>
              <w:rPr>
                <w:sz w:val="18"/>
              </w:rPr>
              <w:t>15.00</w:t>
            </w:r>
          </w:p>
        </w:tc>
        <w:tc>
          <w:tcPr>
            <w:tcW w:type="dxa" w:w="1389"/>
          </w:tcPr>
          <w:p>
            <w:pPr>
              <w:spacing w:after="20" w:before="20"/>
            </w:pPr>
            <w:r/>
            <w:r>
              <w:rPr>
                <w:sz w:val="18"/>
              </w:rPr>
              <w:t>216</w:t>
            </w:r>
          </w:p>
        </w:tc>
        <w:tc>
          <w:tcPr>
            <w:tcW w:type="dxa" w:w="1852"/>
          </w:tcPr>
          <w:p>
            <w:pPr>
              <w:spacing w:after="20" w:before="20"/>
            </w:pPr>
            <w:r/>
            <w:r>
              <w:rPr>
                <w:sz w:val="18"/>
              </w:rPr>
              <w:t>0.975657</w:t>
            </w:r>
          </w:p>
        </w:tc>
        <w:tc>
          <w:tcPr>
            <w:tcW w:type="dxa" w:w="1158"/>
          </w:tcPr>
          <w:p>
            <w:pPr>
              <w:spacing w:after="20" w:before="20"/>
            </w:pPr>
            <w:r/>
            <w:r>
              <w:rPr>
                <w:sz w:val="18"/>
              </w:rPr>
              <w:t>2.43 %</w:t>
            </w:r>
          </w:p>
        </w:tc>
        <w:tc>
          <w:tcPr>
            <w:tcW w:type="dxa" w:w="1852"/>
          </w:tcPr>
          <w:p>
            <w:pPr>
              <w:spacing w:after="20" w:before="20"/>
            </w:pPr>
            <w:r/>
            <w:r>
              <w:rPr>
                <w:sz w:val="18"/>
              </w:rPr>
              <w:t>0.024343</w:t>
            </w:r>
          </w:p>
        </w:tc>
        <w:tc>
          <w:tcPr>
            <w:tcW w:type="dxa" w:w="1389"/>
          </w:tcPr>
          <w:p>
            <w:pPr>
              <w:spacing w:after="20" w:before="20"/>
            </w:pPr>
            <w:r/>
            <w:r>
              <w:rPr>
                <w:sz w:val="18"/>
              </w:rPr>
              <w:t>1.0 × 10⁻¹⁶</w:t>
            </w:r>
          </w:p>
        </w:tc>
      </w:tr>
      <w:tr>
        <w:tc>
          <w:tcPr>
            <w:tcW w:type="dxa" w:w="1389"/>
          </w:tcPr>
          <w:p>
            <w:pPr>
              <w:spacing w:after="20" w:before="20"/>
            </w:pPr>
            <w:r/>
            <w:r>
              <w:rPr>
                <w:sz w:val="18"/>
              </w:rPr>
              <w:t>20.00</w:t>
            </w:r>
          </w:p>
        </w:tc>
        <w:tc>
          <w:tcPr>
            <w:tcW w:type="dxa" w:w="1389"/>
          </w:tcPr>
          <w:p>
            <w:pPr>
              <w:spacing w:after="20" w:before="20"/>
            </w:pPr>
            <w:r/>
            <w:r>
              <w:rPr>
                <w:sz w:val="18"/>
              </w:rPr>
              <w:t>289</w:t>
            </w:r>
          </w:p>
        </w:tc>
        <w:tc>
          <w:tcPr>
            <w:tcW w:type="dxa" w:w="1852"/>
          </w:tcPr>
          <w:p>
            <w:pPr>
              <w:spacing w:after="20" w:before="20"/>
            </w:pPr>
            <w:r/>
            <w:r>
              <w:rPr>
                <w:sz w:val="18"/>
              </w:rPr>
              <w:t>0.979631</w:t>
            </w:r>
          </w:p>
        </w:tc>
        <w:tc>
          <w:tcPr>
            <w:tcW w:type="dxa" w:w="1158"/>
          </w:tcPr>
          <w:p>
            <w:pPr>
              <w:spacing w:after="20" w:before="20"/>
            </w:pPr>
            <w:r/>
            <w:r>
              <w:rPr>
                <w:sz w:val="18"/>
              </w:rPr>
              <w:t>2.04 %</w:t>
            </w:r>
          </w:p>
        </w:tc>
        <w:tc>
          <w:tcPr>
            <w:tcW w:type="dxa" w:w="1852"/>
          </w:tcPr>
          <w:p>
            <w:pPr>
              <w:spacing w:after="20" w:before="20"/>
            </w:pPr>
            <w:r/>
            <w:r>
              <w:rPr>
                <w:sz w:val="18"/>
              </w:rPr>
              <w:t>0.020369</w:t>
            </w:r>
          </w:p>
        </w:tc>
        <w:tc>
          <w:tcPr>
            <w:tcW w:type="dxa" w:w="1389"/>
          </w:tcPr>
          <w:p>
            <w:pPr>
              <w:spacing w:after="20" w:before="20"/>
            </w:pPr>
            <w:r/>
            <w:r>
              <w:rPr>
                <w:sz w:val="18"/>
              </w:rPr>
              <w:t>2.6 × 10⁻¹⁶</w:t>
            </w:r>
          </w:p>
        </w:tc>
      </w:tr>
      <w:tr>
        <w:tc>
          <w:tcPr>
            <w:tcW w:type="dxa" w:w="1389"/>
          </w:tcPr>
          <w:p>
            <w:pPr>
              <w:spacing w:after="20" w:before="20"/>
            </w:pPr>
            <w:r/>
            <w:r>
              <w:rPr>
                <w:sz w:val="18"/>
              </w:rPr>
              <w:t>25.00</w:t>
            </w:r>
          </w:p>
        </w:tc>
        <w:tc>
          <w:tcPr>
            <w:tcW w:type="dxa" w:w="1389"/>
          </w:tcPr>
          <w:p>
            <w:pPr>
              <w:spacing w:after="20" w:before="20"/>
            </w:pPr>
            <w:r/>
            <w:r>
              <w:rPr>
                <w:sz w:val="18"/>
              </w:rPr>
              <w:t>361</w:t>
            </w:r>
          </w:p>
        </w:tc>
        <w:tc>
          <w:tcPr>
            <w:tcW w:type="dxa" w:w="1852"/>
          </w:tcPr>
          <w:p>
            <w:pPr>
              <w:spacing w:after="20" w:before="20"/>
            </w:pPr>
            <w:r/>
            <w:r>
              <w:rPr>
                <w:sz w:val="18"/>
              </w:rPr>
              <w:t>0.982032</w:t>
            </w:r>
          </w:p>
        </w:tc>
        <w:tc>
          <w:tcPr>
            <w:tcW w:type="dxa" w:w="1158"/>
          </w:tcPr>
          <w:p>
            <w:pPr>
              <w:spacing w:after="20" w:before="20"/>
            </w:pPr>
            <w:r/>
            <w:r>
              <w:rPr>
                <w:sz w:val="18"/>
              </w:rPr>
              <w:t>1.80 %</w:t>
            </w:r>
          </w:p>
        </w:tc>
        <w:tc>
          <w:tcPr>
            <w:tcW w:type="dxa" w:w="1852"/>
          </w:tcPr>
          <w:p>
            <w:pPr>
              <w:spacing w:after="20" w:before="20"/>
            </w:pPr>
            <w:r/>
            <w:r>
              <w:rPr>
                <w:sz w:val="18"/>
              </w:rPr>
              <w:t>0.017968</w:t>
            </w:r>
          </w:p>
        </w:tc>
        <w:tc>
          <w:tcPr>
            <w:tcW w:type="dxa" w:w="1389"/>
          </w:tcPr>
          <w:p>
            <w:pPr>
              <w:spacing w:after="20" w:before="20"/>
            </w:pPr>
            <w:r/>
            <w:r>
              <w:rPr>
                <w:sz w:val="18"/>
              </w:rPr>
              <w:t>4.3 × 10⁻¹⁶</w:t>
            </w:r>
          </w:p>
        </w:tc>
      </w:tr>
      <w:tr>
        <w:tc>
          <w:tcPr>
            <w:tcW w:type="dxa" w:w="1389"/>
          </w:tcPr>
          <w:p>
            <w:pPr>
              <w:spacing w:after="20" w:before="20"/>
            </w:pPr>
            <w:r/>
            <w:r>
              <w:rPr>
                <w:sz w:val="18"/>
              </w:rPr>
              <w:t>30.00</w:t>
            </w:r>
          </w:p>
        </w:tc>
        <w:tc>
          <w:tcPr>
            <w:tcW w:type="dxa" w:w="1389"/>
          </w:tcPr>
          <w:p>
            <w:pPr>
              <w:spacing w:after="20" w:before="20"/>
            </w:pPr>
            <w:r/>
            <w:r>
              <w:rPr>
                <w:sz w:val="18"/>
              </w:rPr>
              <w:t>433</w:t>
            </w:r>
          </w:p>
        </w:tc>
        <w:tc>
          <w:tcPr>
            <w:tcW w:type="dxa" w:w="1852"/>
          </w:tcPr>
          <w:p>
            <w:pPr>
              <w:spacing w:after="20" w:before="20"/>
            </w:pPr>
            <w:r/>
            <w:r>
              <w:rPr>
                <w:sz w:val="18"/>
              </w:rPr>
              <w:t>0.983638</w:t>
            </w:r>
          </w:p>
        </w:tc>
        <w:tc>
          <w:tcPr>
            <w:tcW w:type="dxa" w:w="1158"/>
          </w:tcPr>
          <w:p>
            <w:pPr>
              <w:spacing w:after="20" w:before="20"/>
            </w:pPr>
            <w:r/>
            <w:r>
              <w:rPr>
                <w:sz w:val="18"/>
              </w:rPr>
              <w:t>1.64 %</w:t>
            </w:r>
          </w:p>
        </w:tc>
        <w:tc>
          <w:tcPr>
            <w:tcW w:type="dxa" w:w="1852"/>
          </w:tcPr>
          <w:p>
            <w:pPr>
              <w:spacing w:after="20" w:before="20"/>
            </w:pPr>
            <w:r/>
            <w:r>
              <w:rPr>
                <w:sz w:val="18"/>
              </w:rPr>
              <w:t>0.016362</w:t>
            </w:r>
          </w:p>
        </w:tc>
        <w:tc>
          <w:tcPr>
            <w:tcW w:type="dxa" w:w="1389"/>
          </w:tcPr>
          <w:p>
            <w:pPr>
              <w:spacing w:after="20" w:before="20"/>
            </w:pPr>
            <w:r/>
            <w:r>
              <w:rPr>
                <w:sz w:val="18"/>
              </w:rPr>
              <w:t>1.0 × 10⁻¹⁶</w:t>
            </w:r>
          </w:p>
        </w:tc>
      </w:tr>
    </w:tbl>
    <w:p>
      <w:pPr>
        <w:spacing w:before="60" w:after="200"/>
        <w:jc w:val="left"/>
      </w:pPr>
      <w:r>
        <w:rPr>
          <w:i/>
          <w:sz w:val="18"/>
        </w:rPr>
        <w:t>Table 19. Systematic error with the guard open, α = 0. Computed two independent ways — from the state-space DC gain and from the closed form of equation (13) — and they agree to machine precision.</w:t>
      </w:r>
    </w:p>
    <w:p>
      <w:pPr>
        <w:spacing w:after="120"/>
      </w:pPr>
      <w:r>
        <w:t>The deficit has a closed form. Writing everything as resistances R = 1/G:</w:t>
      </w:r>
    </w:p>
    <w:p>
      <w:pPr>
        <w:spacing w:before="160" w:after="160"/>
        <w:jc w:val="center"/>
      </w:pPr>
      <w:r>
        <w:rPr>
          <w:rFonts w:ascii="Cambria Math" w:hAnsi="Cambria Math"/>
          <w:sz w:val="24"/>
        </w:rPr>
        <w:t>ε = 1 − G(0) = [ R</w:t>
      </w:r>
      <w:r>
        <w:rPr>
          <w:rFonts w:ascii="Cambria Math" w:hAnsi="Cambria Math"/>
          <w:sz w:val="24"/>
          <w:vertAlign w:val="subscript"/>
        </w:rPr>
        <w:t>adv</w:t>
      </w:r>
      <w:r>
        <w:rPr>
          <w:rFonts w:ascii="Cambria Math" w:hAnsi="Cambria Math"/>
          <w:sz w:val="24"/>
        </w:rPr>
        <w:t xml:space="preserve"> + (1−α)·R</w:t>
      </w:r>
      <w:r>
        <w:rPr>
          <w:rFonts w:ascii="Cambria Math" w:hAnsi="Cambria Math"/>
          <w:sz w:val="24"/>
          <w:vertAlign w:val="subscript"/>
        </w:rPr>
        <w:t>rad</w:t>
      </w:r>
      <w:r>
        <w:rPr>
          <w:rFonts w:ascii="Cambria Math" w:hAnsi="Cambria Math"/>
          <w:sz w:val="24"/>
        </w:rPr>
        <w:t xml:space="preserve"> ] / [ R</w:t>
      </w:r>
      <w:r>
        <w:rPr>
          <w:rFonts w:ascii="Cambria Math" w:hAnsi="Cambria Math"/>
          <w:sz w:val="24"/>
          <w:vertAlign w:val="subscript"/>
        </w:rPr>
        <w:t>adv</w:t>
      </w:r>
      <w:r>
        <w:rPr>
          <w:rFonts w:ascii="Cambria Math" w:hAnsi="Cambria Math"/>
          <w:sz w:val="24"/>
        </w:rPr>
        <w:t xml:space="preserve"> + R</w:t>
      </w:r>
      <w:r>
        <w:rPr>
          <w:rFonts w:ascii="Cambria Math" w:hAnsi="Cambria Math"/>
          <w:sz w:val="24"/>
          <w:vertAlign w:val="subscript"/>
        </w:rPr>
        <w:t>rad</w:t>
      </w:r>
      <w:r>
        <w:rPr>
          <w:rFonts w:ascii="Cambria Math" w:hAnsi="Cambria Math"/>
          <w:sz w:val="24"/>
        </w:rPr>
        <w:t xml:space="preserve"> + R</w:t>
      </w:r>
      <w:r>
        <w:rPr>
          <w:rFonts w:ascii="Cambria Math" w:hAnsi="Cambria Math"/>
          <w:sz w:val="24"/>
          <w:vertAlign w:val="subscript"/>
        </w:rPr>
        <w:t>gap</w:t>
      </w:r>
      <w:r>
        <w:rPr>
          <w:rFonts w:ascii="Cambria Math" w:hAnsi="Cambria Math"/>
          <w:sz w:val="24"/>
        </w:rPr>
        <w:t xml:space="preserve"> + R</w:t>
      </w:r>
      <w:r>
        <w:rPr>
          <w:rFonts w:ascii="Cambria Math" w:hAnsi="Cambria Math"/>
          <w:sz w:val="24"/>
          <w:vertAlign w:val="subscript"/>
        </w:rPr>
        <w:t>out</w:t>
      </w:r>
      <w:r>
        <w:rPr>
          <w:rFonts w:ascii="Cambria Math" w:hAnsi="Cambria Math"/>
          <w:sz w:val="24"/>
        </w:rPr>
        <w:t xml:space="preserve"> ]</w:t>
      </w:r>
      <w:r>
        <w:rPr>
          <w:sz w:val="20"/>
        </w:rPr>
        <w:tab/>
        <w:tab/>
        <w:t>(13)</w:t>
      </w:r>
    </w:p>
    <w:p>
      <w:pPr>
        <w:spacing w:after="120"/>
      </w:pPr>
      <w:r>
        <w:t xml:space="preserve">It is a </w:t>
      </w:r>
      <w:r>
        <w:rPr>
          <w:b/>
        </w:rPr>
        <w:t>leakage divider</w:t>
      </w:r>
      <w:r>
        <w:t>: the reading is short by the ratio of the metered path's resistance to the total resistance of all paths out of the boundary. Four consequences follow immediately:</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3263"/>
            <w:shd w:val="clear" w:color="auto" w:fill="DEEAF6"/>
          </w:tcPr>
          <w:p>
            <w:pPr>
              <w:spacing w:after="20" w:before="20"/>
            </w:pPr>
            <w:r/>
            <w:r>
              <w:rPr>
                <w:b/>
                <w:sz w:val="18"/>
              </w:rPr>
              <w:t>Limit</w:t>
            </w:r>
          </w:p>
        </w:tc>
        <w:tc>
          <w:tcPr>
            <w:tcW w:type="dxa" w:w="1414"/>
            <w:shd w:val="clear" w:color="auto" w:fill="DEEAF6"/>
          </w:tcPr>
          <w:p>
            <w:pPr>
              <w:spacing w:after="20" w:before="20"/>
            </w:pPr>
            <w:r/>
            <w:r>
              <w:rPr>
                <w:b/>
                <w:sz w:val="18"/>
              </w:rPr>
              <w:t>DC gain</w:t>
            </w:r>
          </w:p>
        </w:tc>
        <w:tc>
          <w:tcPr>
            <w:tcW w:type="dxa" w:w="4351"/>
            <w:shd w:val="clear" w:color="auto" w:fill="DEEAF6"/>
          </w:tcPr>
          <w:p>
            <w:pPr>
              <w:spacing w:after="20" w:before="20"/>
            </w:pPr>
            <w:r/>
            <w:r>
              <w:rPr>
                <w:b/>
                <w:sz w:val="18"/>
              </w:rPr>
              <w:t>Why</w:t>
            </w:r>
          </w:p>
        </w:tc>
      </w:tr>
      <w:tr>
        <w:tc>
          <w:tcPr>
            <w:tcW w:type="dxa" w:w="3263"/>
          </w:tcPr>
          <w:p>
            <w:pPr>
              <w:spacing w:after="20" w:before="20"/>
            </w:pPr>
            <w:r/>
            <w:r>
              <w:rPr>
                <w:sz w:val="18"/>
              </w:rPr>
              <w:t>G</w:t>
            </w:r>
            <w:r>
              <w:rPr>
                <w:sz w:val="18"/>
                <w:vertAlign w:val="subscript"/>
              </w:rPr>
              <w:t>gap</w:t>
            </w:r>
            <w:r>
              <w:rPr>
                <w:sz w:val="18"/>
              </w:rPr>
              <w:t xml:space="preserve"> → 0 — a perfect wall, </w:t>
            </w:r>
            <w:r>
              <w:rPr>
                <w:b/>
                <w:sz w:val="18"/>
              </w:rPr>
              <w:t>or a guard that nulls θ</w:t>
            </w:r>
            <w:r>
              <w:rPr>
                <w:b/>
                <w:sz w:val="18"/>
                <w:vertAlign w:val="subscript"/>
              </w:rPr>
              <w:t>i</w:t>
            </w:r>
            <w:r>
              <w:rPr>
                <w:b/>
                <w:sz w:val="18"/>
              </w:rPr>
              <w:t xml:space="preserve"> − θ</w:t>
            </w:r>
            <w:r>
              <w:rPr>
                <w:b/>
                <w:sz w:val="18"/>
                <w:vertAlign w:val="subscript"/>
              </w:rPr>
              <w:t>e</w:t>
            </w:r>
          </w:p>
        </w:tc>
        <w:tc>
          <w:tcPr>
            <w:tcW w:type="dxa" w:w="1414"/>
          </w:tcPr>
          <w:p>
            <w:pPr>
              <w:spacing w:after="20" w:before="20"/>
            </w:pPr>
            <w:r/>
            <w:r>
              <w:rPr>
                <w:b/>
                <w:sz w:val="18"/>
              </w:rPr>
              <w:t>Exactly 1</w:t>
            </w:r>
          </w:p>
        </w:tc>
        <w:tc>
          <w:tcPr>
            <w:tcW w:type="dxa" w:w="4351"/>
          </w:tcPr>
          <w:p>
            <w:pPr>
              <w:spacing w:after="20" w:before="20"/>
            </w:pPr>
            <w:r/>
            <w:r>
              <w:rPr>
                <w:sz w:val="18"/>
              </w:rPr>
              <w:t>No alternative exit exists</w:t>
            </w:r>
          </w:p>
        </w:tc>
      </w:tr>
      <w:tr>
        <w:tc>
          <w:tcPr>
            <w:tcW w:type="dxa" w:w="3263"/>
          </w:tcPr>
          <w:p>
            <w:pPr>
              <w:spacing w:after="20" w:before="20"/>
            </w:pPr>
            <w:r/>
            <w:r>
              <w:rPr>
                <w:sz w:val="18"/>
              </w:rPr>
              <w:t>G</w:t>
            </w:r>
            <w:r>
              <w:rPr>
                <w:sz w:val="18"/>
                <w:vertAlign w:val="subscript"/>
              </w:rPr>
              <w:t>out</w:t>
            </w:r>
            <w:r>
              <w:rPr>
                <w:sz w:val="18"/>
              </w:rPr>
              <w:t xml:space="preserve"> → 0 — the guard sealed from ambient</w:t>
            </w:r>
          </w:p>
        </w:tc>
        <w:tc>
          <w:tcPr>
            <w:tcW w:type="dxa" w:w="1414"/>
          </w:tcPr>
          <w:p>
            <w:pPr>
              <w:spacing w:after="20" w:before="20"/>
            </w:pPr>
            <w:r/>
            <w:r>
              <w:rPr>
                <w:b/>
                <w:sz w:val="18"/>
              </w:rPr>
              <w:t>Exactly 1</w:t>
            </w:r>
          </w:p>
        </w:tc>
        <w:tc>
          <w:tcPr>
            <w:tcW w:type="dxa" w:w="4351"/>
          </w:tcPr>
          <w:p>
            <w:pPr>
              <w:spacing w:after="20" w:before="20"/>
            </w:pPr>
            <w:r/>
            <w:r>
              <w:rPr>
                <w:sz w:val="18"/>
              </w:rPr>
              <w:t>Heat may enter the gap but cannot leave the boundary, so it must come back out through the water</w:t>
            </w:r>
          </w:p>
        </w:tc>
      </w:tr>
      <w:tr>
        <w:tc>
          <w:tcPr>
            <w:tcW w:type="dxa" w:w="3263"/>
          </w:tcPr>
          <w:p>
            <w:pPr>
              <w:spacing w:after="20" w:before="20"/>
            </w:pPr>
            <w:r/>
            <w:r>
              <w:rPr>
                <w:sz w:val="18"/>
              </w:rPr>
              <w:t>Any α, with either of the above</w:t>
            </w:r>
          </w:p>
        </w:tc>
        <w:tc>
          <w:tcPr>
            <w:tcW w:type="dxa" w:w="1414"/>
          </w:tcPr>
          <w:p>
            <w:pPr>
              <w:spacing w:after="20" w:before="20"/>
            </w:pPr>
            <w:r/>
            <w:r>
              <w:rPr>
                <w:b/>
                <w:sz w:val="18"/>
              </w:rPr>
              <w:t>Exactly 1</w:t>
            </w:r>
          </w:p>
        </w:tc>
        <w:tc>
          <w:tcPr>
            <w:tcW w:type="dxa" w:w="4351"/>
          </w:tcPr>
          <w:p>
            <w:pPr>
              <w:spacing w:after="20" w:before="20"/>
            </w:pPr>
            <w:r/>
            <w:r>
              <w:rPr>
                <w:b/>
                <w:sz w:val="18"/>
              </w:rPr>
              <w:t>The meter is physically incapable of telling how the heat reached the water</w:t>
            </w:r>
          </w:p>
        </w:tc>
      </w:tr>
      <w:tr>
        <w:tc>
          <w:tcPr>
            <w:tcW w:type="dxa" w:w="3263"/>
          </w:tcPr>
          <w:p>
            <w:pPr>
              <w:spacing w:after="20" w:before="20"/>
            </w:pPr>
            <w:r/>
            <w:r>
              <w:rPr>
                <w:sz w:val="18"/>
              </w:rPr>
              <w:t>Small G</w:t>
            </w:r>
            <w:r>
              <w:rPr>
                <w:sz w:val="18"/>
                <w:vertAlign w:val="subscript"/>
              </w:rPr>
              <w:t>gap</w:t>
            </w:r>
          </w:p>
        </w:tc>
        <w:tc>
          <w:tcPr>
            <w:tcW w:type="dxa" w:w="1414"/>
          </w:tcPr>
          <w:p>
            <w:pPr>
              <w:spacing w:after="20" w:before="20"/>
            </w:pPr>
            <w:r/>
            <w:r>
              <w:rPr>
                <w:sz w:val="18"/>
              </w:rPr>
              <w:t>1 − G</w:t>
            </w:r>
            <w:r>
              <w:rPr>
                <w:sz w:val="18"/>
                <w:vertAlign w:val="subscript"/>
              </w:rPr>
              <w:t>gap</w:t>
            </w:r>
            <w:r>
              <w:rPr>
                <w:sz w:val="18"/>
              </w:rPr>
              <w:t>·(R</w:t>
            </w:r>
            <w:r>
              <w:rPr>
                <w:sz w:val="18"/>
                <w:vertAlign w:val="subscript"/>
              </w:rPr>
              <w:t>adv</w:t>
            </w:r>
            <w:r>
              <w:rPr>
                <w:sz w:val="18"/>
              </w:rPr>
              <w:t xml:space="preserve"> + (1−α)·R</w:t>
            </w:r>
            <w:r>
              <w:rPr>
                <w:sz w:val="18"/>
                <w:vertAlign w:val="subscript"/>
              </w:rPr>
              <w:t>rad</w:t>
            </w:r>
            <w:r>
              <w:rPr>
                <w:sz w:val="18"/>
              </w:rPr>
              <w:t>)</w:t>
            </w:r>
          </w:p>
        </w:tc>
        <w:tc>
          <w:tcPr>
            <w:tcW w:type="dxa" w:w="4351"/>
          </w:tcPr>
          <w:p>
            <w:pPr>
              <w:spacing w:after="20" w:before="20"/>
            </w:pPr>
            <w:r/>
            <w:r>
              <w:rPr>
                <w:sz w:val="18"/>
              </w:rPr>
              <w:t>The error is first order in the gap conductance — halve the leak, halve the error</w:t>
            </w:r>
          </w:p>
        </w:tc>
      </w:tr>
    </w:tbl>
    <w:p>
      <w:pPr>
        <w:spacing w:before="60" w:after="200"/>
        <w:jc w:val="left"/>
      </w:pPr>
      <w:r>
        <w:rPr>
          <w:i/>
          <w:sz w:val="18"/>
        </w:rPr>
        <w:t>Table 20. Limits of the leakage divider.</w:t>
      </w:r>
    </w:p>
    <w:p>
      <w:pPr>
        <w:spacing w:after="120"/>
      </w:pPr>
      <w:r>
        <w:t xml:space="preserve">The third row is the α-invariance result, and it is what made the copper block optional rather than necessary: </w:t>
      </w:r>
      <w:r>
        <w:rPr>
          <w:b/>
        </w:rPr>
        <w:t>the reading does not depend on how the heat got into the water.</w:t>
      </w:r>
      <w:r>
        <w:t xml:space="preserve"> Verified numerically — at 150 W / 10 K the open-guard gain differs between the two configurations (0.9757 at α = 0, 0.9835 at α = 0.97) but the </w:t>
      </w:r>
      <w:r>
        <w:rPr>
          <w:b/>
        </w:rPr>
        <w:t>closed-loop gain is exactly 1.00000000 in both</w:t>
      </w:r>
      <w:r>
        <w:t>, with a residual error of order 10⁻¹² W, which is integrator convergence, not bias.</w:t>
      </w:r>
    </w:p>
    <w:p>
      <w:pPr>
        <w:pStyle w:val="Heading2"/>
      </w:pPr>
      <w:r>
        <w:t>Guard nulled — the exact meter response</w:t>
      </w:r>
    </w:p>
    <w:p>
      <w:pPr>
        <w:spacing w:after="120"/>
      </w:pPr>
      <w:r>
        <w:t>Under the null gate (θ</w:t>
      </w:r>
      <w:r>
        <w:rPr>
          <w:vertAlign w:val="subscript"/>
        </w:rPr>
        <w:t>e</w:t>
      </w:r>
      <w:r>
        <w:t xml:space="preserve"> ≡ θ</w:t>
      </w:r>
      <w:r>
        <w:rPr>
          <w:vertAlign w:val="subscript"/>
        </w:rPr>
        <w:t>i</w:t>
      </w:r>
      <w:r>
        <w:t>) the G</w:t>
      </w:r>
      <w:r>
        <w:rPr>
          <w:vertAlign w:val="subscript"/>
        </w:rPr>
        <w:t>gap</w:t>
      </w:r>
      <w:r>
        <w:t xml:space="preserve"> terms cancel on both sides and the plant collapses to a 2 × 2. Three DC gains then define the instrument:</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138"/>
            <w:shd w:val="clear" w:color="auto" w:fill="DEEAF6"/>
          </w:tcPr>
          <w:p>
            <w:pPr>
              <w:spacing w:after="20" w:before="20"/>
            </w:pPr>
            <w:r/>
            <w:r>
              <w:rPr>
                <w:b/>
                <w:sz w:val="18"/>
              </w:rPr>
              <w:t>Channel</w:t>
            </w:r>
          </w:p>
        </w:tc>
        <w:tc>
          <w:tcPr>
            <w:tcW w:type="dxa" w:w="1544"/>
            <w:shd w:val="clear" w:color="auto" w:fill="DEEAF6"/>
          </w:tcPr>
          <w:p>
            <w:pPr>
              <w:spacing w:after="20" w:before="20"/>
            </w:pPr>
            <w:r/>
            <w:r>
              <w:rPr>
                <w:b/>
                <w:sz w:val="18"/>
              </w:rPr>
              <w:t>Value</w:t>
            </w:r>
          </w:p>
        </w:tc>
        <w:tc>
          <w:tcPr>
            <w:tcW w:type="dxa" w:w="5346"/>
            <w:shd w:val="clear" w:color="auto" w:fill="DEEAF6"/>
          </w:tcPr>
          <w:p>
            <w:pPr>
              <w:spacing w:after="20" w:before="20"/>
            </w:pPr>
            <w:r/>
            <w:r>
              <w:rPr>
                <w:b/>
                <w:sz w:val="18"/>
              </w:rPr>
              <w:t>Meaning</w:t>
            </w:r>
          </w:p>
        </w:tc>
      </w:tr>
      <w:tr>
        <w:tc>
          <w:tcPr>
            <w:tcW w:type="dxa" w:w="2138"/>
          </w:tcPr>
          <w:p>
            <w:pPr>
              <w:spacing w:after="20" w:before="20"/>
            </w:pPr>
            <w:r/>
            <w:r>
              <w:rPr>
                <w:sz w:val="18"/>
              </w:rPr>
              <w:t>P</w:t>
            </w:r>
            <w:r>
              <w:rPr>
                <w:sz w:val="18"/>
                <w:vertAlign w:val="subscript"/>
              </w:rPr>
              <w:t>DUT</w:t>
            </w:r>
            <w:r>
              <w:rPr>
                <w:sz w:val="18"/>
              </w:rPr>
              <w:t xml:space="preserve"> → P</w:t>
            </w:r>
            <w:r>
              <w:rPr>
                <w:sz w:val="18"/>
                <w:vertAlign w:val="subscript"/>
              </w:rPr>
              <w:t>meas</w:t>
            </w:r>
          </w:p>
        </w:tc>
        <w:tc>
          <w:tcPr>
            <w:tcW w:type="dxa" w:w="1544"/>
          </w:tcPr>
          <w:p>
            <w:pPr>
              <w:spacing w:after="20" w:before="20"/>
            </w:pPr>
            <w:r/>
            <w:r>
              <w:rPr>
                <w:b/>
                <w:sz w:val="18"/>
              </w:rPr>
              <w:t>1.000000</w:t>
            </w:r>
          </w:p>
        </w:tc>
        <w:tc>
          <w:tcPr>
            <w:tcW w:type="dxa" w:w="5346"/>
          </w:tcPr>
          <w:p>
            <w:pPr>
              <w:spacing w:after="20" w:before="20"/>
            </w:pPr>
            <w:r/>
            <w:r>
              <w:rPr>
                <w:sz w:val="18"/>
              </w:rPr>
              <w:t>Exact, for every α, C</w:t>
            </w:r>
            <w:r>
              <w:rPr>
                <w:sz w:val="18"/>
                <w:vertAlign w:val="subscript"/>
              </w:rPr>
              <w:t>i</w:t>
            </w:r>
            <w:r>
              <w:rPr>
                <w:sz w:val="18"/>
              </w:rPr>
              <w:t>, C</w:t>
            </w:r>
            <w:r>
              <w:rPr>
                <w:sz w:val="18"/>
                <w:vertAlign w:val="subscript"/>
              </w:rPr>
              <w:t>w</w:t>
            </w:r>
            <w:r>
              <w:rPr>
                <w:sz w:val="18"/>
              </w:rPr>
              <w:t>, UA</w:t>
            </w:r>
            <w:r>
              <w:rPr>
                <w:sz w:val="18"/>
                <w:vertAlign w:val="subscript"/>
              </w:rPr>
              <w:t>rad</w:t>
            </w:r>
            <w:r>
              <w:rPr>
                <w:sz w:val="18"/>
              </w:rPr>
              <w:t xml:space="preserve"> and ṁc</w:t>
            </w:r>
            <w:r>
              <w:rPr>
                <w:sz w:val="18"/>
                <w:vertAlign w:val="subscript"/>
              </w:rPr>
              <w:t>p</w:t>
            </w:r>
          </w:p>
        </w:tc>
      </w:tr>
      <w:tr>
        <w:tc>
          <w:tcPr>
            <w:tcW w:type="dxa" w:w="2138"/>
          </w:tcPr>
          <w:p>
            <w:pPr>
              <w:spacing w:after="20" w:before="20"/>
            </w:pPr>
            <w:r/>
            <w:r>
              <w:rPr>
                <w:sz w:val="18"/>
              </w:rPr>
              <w:t>θ</w:t>
            </w:r>
            <w:r>
              <w:rPr>
                <w:sz w:val="18"/>
                <w:vertAlign w:val="subscript"/>
              </w:rPr>
              <w:t>in</w:t>
            </w:r>
            <w:r>
              <w:rPr>
                <w:sz w:val="18"/>
              </w:rPr>
              <w:t xml:space="preserve"> → P</w:t>
            </w:r>
            <w:r>
              <w:rPr>
                <w:sz w:val="18"/>
                <w:vertAlign w:val="subscript"/>
              </w:rPr>
              <w:t>meas</w:t>
            </w:r>
          </w:p>
        </w:tc>
        <w:tc>
          <w:tcPr>
            <w:tcW w:type="dxa" w:w="1544"/>
          </w:tcPr>
          <w:p>
            <w:pPr>
              <w:spacing w:after="20" w:before="20"/>
            </w:pPr>
            <w:r/>
            <w:r>
              <w:rPr>
                <w:b/>
                <w:sz w:val="18"/>
              </w:rPr>
              <w:t>0</w:t>
            </w:r>
          </w:p>
        </w:tc>
        <w:tc>
          <w:tcPr>
            <w:tcW w:type="dxa" w:w="5346"/>
          </w:tcPr>
          <w:p>
            <w:pPr>
              <w:spacing w:after="20" w:before="20"/>
            </w:pPr>
            <w:r/>
            <w:r>
              <w:rPr>
                <w:sz w:val="18"/>
              </w:rPr>
              <w:t>The reading is immune to the water setpoint — so auto-ranging the water ΔT between points is free</w:t>
            </w:r>
          </w:p>
        </w:tc>
      </w:tr>
      <w:tr>
        <w:tc>
          <w:tcPr>
            <w:tcW w:type="dxa" w:w="2138"/>
          </w:tcPr>
          <w:p>
            <w:pPr>
              <w:spacing w:after="20" w:before="20"/>
            </w:pPr>
            <w:r/>
            <w:r>
              <w:rPr>
                <w:sz w:val="18"/>
              </w:rPr>
              <w:t>P</w:t>
            </w:r>
            <w:r>
              <w:rPr>
                <w:sz w:val="18"/>
                <w:vertAlign w:val="subscript"/>
              </w:rPr>
              <w:t>aux</w:t>
            </w:r>
            <w:r>
              <w:rPr>
                <w:sz w:val="18"/>
              </w:rPr>
              <w:t xml:space="preserve"> → P</w:t>
            </w:r>
            <w:r>
              <w:rPr>
                <w:sz w:val="18"/>
                <w:vertAlign w:val="subscript"/>
              </w:rPr>
              <w:t>meas</w:t>
            </w:r>
          </w:p>
        </w:tc>
        <w:tc>
          <w:tcPr>
            <w:tcW w:type="dxa" w:w="1544"/>
          </w:tcPr>
          <w:p>
            <w:pPr>
              <w:spacing w:after="20" w:before="20"/>
            </w:pPr>
            <w:r/>
            <w:r>
              <w:rPr>
                <w:sz w:val="18"/>
              </w:rPr>
              <w:t>≈ 0 (machine precision)</w:t>
            </w:r>
          </w:p>
        </w:tc>
        <w:tc>
          <w:tcPr>
            <w:tcW w:type="dxa" w:w="5346"/>
          </w:tcPr>
          <w:p>
            <w:pPr>
              <w:spacing w:after="20" w:before="20"/>
            </w:pPr>
            <w:r/>
            <w:r>
              <w:rPr>
                <w:sz w:val="18"/>
              </w:rPr>
              <w:t>The D</w:t>
            </w:r>
            <w:r>
              <w:rPr>
                <w:sz w:val="18"/>
                <w:vertAlign w:val="subscript"/>
              </w:rPr>
              <w:t>u</w:t>
            </w:r>
            <w:r>
              <w:rPr>
                <w:sz w:val="18"/>
              </w:rPr>
              <w:t xml:space="preserve"> = −1 subtraction provably works. Delete that one entry and every watt of preheat is reported as DUT loss</w:t>
            </w:r>
          </w:p>
        </w:tc>
      </w:tr>
    </w:tbl>
    <w:p>
      <w:pPr>
        <w:spacing w:before="60" w:after="200"/>
        <w:jc w:val="left"/>
      </w:pPr>
      <w:r>
        <w:rPr>
          <w:i/>
          <w:sz w:val="18"/>
        </w:rPr>
        <w:t>Table 21. The three gains that define the instrument, with the guard nulled.</w:t>
      </w:r>
    </w:p>
    <w:p>
      <w:pPr>
        <w:spacing w:after="120"/>
      </w:pPr>
      <w:r>
        <w:t>The transfer function of the meter, with the guard nulled, is second order with one zero:</w:t>
      </w:r>
    </w:p>
    <w:p>
      <w:pPr>
        <w:spacing w:before="160" w:after="160"/>
        <w:jc w:val="center"/>
      </w:pPr>
      <w:r>
        <w:rPr>
          <w:rFonts w:ascii="Cambria Math" w:hAnsi="Cambria Math"/>
          <w:sz w:val="22"/>
        </w:rPr>
        <w:t>P</w:t>
      </w:r>
      <w:r>
        <w:rPr>
          <w:rFonts w:ascii="Cambria Math" w:hAnsi="Cambria Math"/>
          <w:sz w:val="22"/>
          <w:vertAlign w:val="subscript"/>
        </w:rPr>
        <w:t>meas</w:t>
      </w:r>
      <w:r>
        <w:rPr>
          <w:rFonts w:ascii="Cambria Math" w:hAnsi="Cambria Math"/>
          <w:sz w:val="22"/>
        </w:rPr>
        <w:t>(s)/P</w:t>
      </w:r>
      <w:r>
        <w:rPr>
          <w:rFonts w:ascii="Cambria Math" w:hAnsi="Cambria Math"/>
          <w:sz w:val="22"/>
          <w:vertAlign w:val="subscript"/>
        </w:rPr>
        <w:t>DUT</w:t>
      </w:r>
      <w:r>
        <w:rPr>
          <w:rFonts w:ascii="Cambria Math" w:hAnsi="Cambria Math"/>
          <w:sz w:val="22"/>
        </w:rPr>
        <w:t>(s) = [ 1 + α·(C</w:t>
      </w:r>
      <w:r>
        <w:rPr>
          <w:rFonts w:ascii="Cambria Math" w:hAnsi="Cambria Math"/>
          <w:sz w:val="22"/>
          <w:vertAlign w:val="subscript"/>
        </w:rPr>
        <w:t>i</w:t>
      </w:r>
      <w:r>
        <w:rPr>
          <w:rFonts w:ascii="Cambria Math" w:hAnsi="Cambria Math"/>
          <w:sz w:val="22"/>
        </w:rPr>
        <w:t>/UA</w:t>
      </w:r>
      <w:r>
        <w:rPr>
          <w:rFonts w:ascii="Cambria Math" w:hAnsi="Cambria Math"/>
          <w:sz w:val="22"/>
          <w:vertAlign w:val="subscript"/>
        </w:rPr>
        <w:t>rad</w:t>
      </w:r>
      <w:r>
        <w:rPr>
          <w:rFonts w:ascii="Cambria Math" w:hAnsi="Cambria Math"/>
          <w:sz w:val="22"/>
        </w:rPr>
        <w:t>)·s ] / [ 1 + ((C</w:t>
      </w:r>
      <w:r>
        <w:rPr>
          <w:rFonts w:ascii="Cambria Math" w:hAnsi="Cambria Math"/>
          <w:sz w:val="22"/>
          <w:vertAlign w:val="subscript"/>
        </w:rPr>
        <w:t>i</w:t>
      </w:r>
      <w:r>
        <w:rPr>
          <w:rFonts w:ascii="Cambria Math" w:hAnsi="Cambria Math"/>
          <w:sz w:val="22"/>
        </w:rPr>
        <w:t>+C</w:t>
      </w:r>
      <w:r>
        <w:rPr>
          <w:rFonts w:ascii="Cambria Math" w:hAnsi="Cambria Math"/>
          <w:sz w:val="22"/>
          <w:vertAlign w:val="subscript"/>
        </w:rPr>
        <w:t>w</w:t>
      </w:r>
      <w:r>
        <w:rPr>
          <w:rFonts w:ascii="Cambria Math" w:hAnsi="Cambria Math"/>
          <w:sz w:val="22"/>
        </w:rPr>
        <w:t>)/ṁc</w:t>
      </w:r>
      <w:r>
        <w:rPr>
          <w:rFonts w:ascii="Cambria Math" w:hAnsi="Cambria Math"/>
          <w:sz w:val="22"/>
          <w:vertAlign w:val="subscript"/>
        </w:rPr>
        <w:t>p</w:t>
      </w:r>
      <w:r>
        <w:rPr>
          <w:rFonts w:ascii="Cambria Math" w:hAnsi="Cambria Math"/>
          <w:sz w:val="22"/>
        </w:rPr>
        <w:t xml:space="preserve"> + C</w:t>
      </w:r>
      <w:r>
        <w:rPr>
          <w:rFonts w:ascii="Cambria Math" w:hAnsi="Cambria Math"/>
          <w:sz w:val="22"/>
          <w:vertAlign w:val="subscript"/>
        </w:rPr>
        <w:t>i</w:t>
      </w:r>
      <w:r>
        <w:rPr>
          <w:rFonts w:ascii="Cambria Math" w:hAnsi="Cambria Math"/>
          <w:sz w:val="22"/>
        </w:rPr>
        <w:t>/UA</w:t>
      </w:r>
      <w:r>
        <w:rPr>
          <w:rFonts w:ascii="Cambria Math" w:hAnsi="Cambria Math"/>
          <w:sz w:val="22"/>
          <w:vertAlign w:val="subscript"/>
        </w:rPr>
        <w:t>rad</w:t>
      </w:r>
      <w:r>
        <w:rPr>
          <w:rFonts w:ascii="Cambria Math" w:hAnsi="Cambria Math"/>
          <w:sz w:val="22"/>
        </w:rPr>
        <w:t>)·s + (C</w:t>
      </w:r>
      <w:r>
        <w:rPr>
          <w:rFonts w:ascii="Cambria Math" w:hAnsi="Cambria Math"/>
          <w:sz w:val="22"/>
          <w:vertAlign w:val="subscript"/>
        </w:rPr>
        <w:t>i</w:t>
      </w:r>
      <w:r>
        <w:rPr>
          <w:rFonts w:ascii="Cambria Math" w:hAnsi="Cambria Math"/>
          <w:sz w:val="22"/>
        </w:rPr>
        <w:t>·C</w:t>
      </w:r>
      <w:r>
        <w:rPr>
          <w:rFonts w:ascii="Cambria Math" w:hAnsi="Cambria Math"/>
          <w:sz w:val="22"/>
          <w:vertAlign w:val="subscript"/>
        </w:rPr>
        <w:t>w</w:t>
      </w:r>
      <w:r>
        <w:rPr>
          <w:rFonts w:ascii="Cambria Math" w:hAnsi="Cambria Math"/>
          <w:sz w:val="22"/>
        </w:rPr>
        <w:t>/(UA</w:t>
      </w:r>
      <w:r>
        <w:rPr>
          <w:rFonts w:ascii="Cambria Math" w:hAnsi="Cambria Math"/>
          <w:sz w:val="22"/>
          <w:vertAlign w:val="subscript"/>
        </w:rPr>
        <w:t>rad</w:t>
      </w:r>
      <w:r>
        <w:rPr>
          <w:rFonts w:ascii="Cambria Math" w:hAnsi="Cambria Math"/>
          <w:sz w:val="22"/>
        </w:rPr>
        <w:t>·ṁc</w:t>
      </w:r>
      <w:r>
        <w:rPr>
          <w:rFonts w:ascii="Cambria Math" w:hAnsi="Cambria Math"/>
          <w:sz w:val="22"/>
          <w:vertAlign w:val="subscript"/>
        </w:rPr>
        <w:t>p</w:t>
      </w:r>
      <w:r>
        <w:rPr>
          <w:rFonts w:ascii="Cambria Math" w:hAnsi="Cambria Math"/>
          <w:sz w:val="22"/>
        </w:rPr>
        <w:t>))·s² ]</w:t>
      </w:r>
      <w:r>
        <w:rPr>
          <w:sz w:val="18"/>
        </w:rPr>
        <w:tab/>
        <w:tab/>
        <w:t>(14)</w:t>
      </w:r>
    </w:p>
    <w:p>
      <w:pPr>
        <w:spacing w:after="120"/>
      </w:pPr>
      <w:r>
        <w:t>Its two poles separate cleanly because UA</w:t>
      </w:r>
      <w:r>
        <w:rPr>
          <w:vertAlign w:val="subscript"/>
        </w:rPr>
        <w:t>rad</w:t>
      </w:r>
      <w:r>
        <w:t xml:space="preserve"> ≫ ṁc</w:t>
      </w:r>
      <w:r>
        <w:rPr>
          <w:vertAlign w:val="subscript"/>
        </w:rPr>
        <w:t>p</w:t>
      </w:r>
      <w:r>
        <w:t>:</w:t>
      </w:r>
    </w:p>
    <w:p>
      <w:pPr>
        <w:spacing w:before="160" w:after="160"/>
        <w:jc w:val="center"/>
      </w:pPr>
      <w:r>
        <w:rPr>
          <w:rFonts w:ascii="Cambria Math" w:hAnsi="Cambria Math"/>
          <w:sz w:val="24"/>
        </w:rPr>
        <w:t>τ</w:t>
      </w:r>
      <w:r>
        <w:rPr>
          <w:rFonts w:ascii="Cambria Math" w:hAnsi="Cambria Math"/>
          <w:sz w:val="24"/>
          <w:vertAlign w:val="subscript"/>
        </w:rPr>
        <w:t>fast</w:t>
      </w:r>
      <w:r>
        <w:rPr>
          <w:rFonts w:ascii="Cambria Math" w:hAnsi="Cambria Math"/>
          <w:sz w:val="24"/>
        </w:rPr>
        <w:t xml:space="preserve"> ≈ (1/UA</w:t>
      </w:r>
      <w:r>
        <w:rPr>
          <w:rFonts w:ascii="Cambria Math" w:hAnsi="Cambria Math"/>
          <w:sz w:val="24"/>
          <w:vertAlign w:val="subscript"/>
        </w:rPr>
        <w:t>rad</w:t>
      </w:r>
      <w:r>
        <w:rPr>
          <w:rFonts w:ascii="Cambria Math" w:hAnsi="Cambria Math"/>
          <w:sz w:val="24"/>
        </w:rPr>
        <w:t>)·(1/C</w:t>
      </w:r>
      <w:r>
        <w:rPr>
          <w:rFonts w:ascii="Cambria Math" w:hAnsi="Cambria Math"/>
          <w:sz w:val="24"/>
          <w:vertAlign w:val="subscript"/>
        </w:rPr>
        <w:t>i</w:t>
      </w:r>
      <w:r>
        <w:rPr>
          <w:rFonts w:ascii="Cambria Math" w:hAnsi="Cambria Math"/>
          <w:sz w:val="24"/>
        </w:rPr>
        <w:t xml:space="preserve"> + 1/C</w:t>
      </w:r>
      <w:r>
        <w:rPr>
          <w:rFonts w:ascii="Cambria Math" w:hAnsi="Cambria Math"/>
          <w:sz w:val="24"/>
          <w:vertAlign w:val="subscript"/>
        </w:rPr>
        <w:t>w</w:t>
      </w:r>
      <w:r>
        <w:rPr>
          <w:rFonts w:ascii="Cambria Math" w:hAnsi="Cambria Math"/>
          <w:sz w:val="24"/>
        </w:rPr>
        <w:t>)⁻¹ ≈ 16 s ,    τ</w:t>
      </w:r>
      <w:r>
        <w:rPr>
          <w:rFonts w:ascii="Cambria Math" w:hAnsi="Cambria Math"/>
          <w:sz w:val="24"/>
          <w:vertAlign w:val="subscript"/>
        </w:rPr>
        <w:t>slow</w:t>
      </w:r>
      <w:r>
        <w:rPr>
          <w:rFonts w:ascii="Cambria Math" w:hAnsi="Cambria Math"/>
          <w:sz w:val="24"/>
        </w:rPr>
        <w:t xml:space="preserve"> ≈ (C</w:t>
      </w:r>
      <w:r>
        <w:rPr>
          <w:rFonts w:ascii="Cambria Math" w:hAnsi="Cambria Math"/>
          <w:sz w:val="24"/>
          <w:vertAlign w:val="subscript"/>
        </w:rPr>
        <w:t>i</w:t>
      </w:r>
      <w:r>
        <w:rPr>
          <w:rFonts w:ascii="Cambria Math" w:hAnsi="Cambria Math"/>
          <w:sz w:val="24"/>
        </w:rPr>
        <w:t xml:space="preserve"> + C</w:t>
      </w:r>
      <w:r>
        <w:rPr>
          <w:rFonts w:ascii="Cambria Math" w:hAnsi="Cambria Math"/>
          <w:sz w:val="24"/>
          <w:vertAlign w:val="subscript"/>
        </w:rPr>
        <w:t>w</w:t>
      </w:r>
      <w:r>
        <w:rPr>
          <w:rFonts w:ascii="Cambria Math" w:hAnsi="Cambria Math"/>
          <w:sz w:val="24"/>
        </w:rPr>
        <w:t>)/ṁc</w:t>
      </w:r>
      <w:r>
        <w:rPr>
          <w:rFonts w:ascii="Cambria Math" w:hAnsi="Cambria Math"/>
          <w:sz w:val="24"/>
          <w:vertAlign w:val="subscript"/>
        </w:rPr>
        <w:t>p</w:t>
      </w:r>
    </w:p>
    <w:p>
      <w:pPr>
        <w:spacing w:after="120"/>
      </w:pPr>
      <w:r>
        <w:t>τ</w:t>
      </w:r>
      <w:r>
        <w:rPr>
          <w:vertAlign w:val="subscript"/>
        </w:rPr>
        <w:t>slow</w:t>
      </w:r>
      <w:r>
        <w:t xml:space="preserve"> is the number that sets the schedule: it is the whole thermal mass inside the boundary being swept out through the meter. At 15 W and 43 mL/min that is 2 450/3 = 817 s, which is why the cold corner takes an hour to settle while the hot corner takes ten minutes. The zero sits at α·C</w:t>
      </w:r>
      <w:r>
        <w:rPr>
          <w:vertAlign w:val="subscript"/>
        </w:rPr>
        <w:t>i</w:t>
      </w:r>
      <w:r>
        <w:t>/UA</w:t>
      </w:r>
      <w:r>
        <w:rPr>
          <w:vertAlign w:val="subscript"/>
        </w:rPr>
        <w:t>rad</w:t>
      </w:r>
      <w:r>
        <w:t xml:space="preserve"> — 21 s in the block configuration, and it </w:t>
      </w:r>
      <w:r>
        <w:rPr>
          <w:b/>
        </w:rPr>
        <w:t>disappears entirely at α = 0</w:t>
      </w:r>
      <w:r>
        <w:t>. The split changes the transient; it never changes the answer.</w:t>
      </w:r>
    </w:p>
    <w:p>
      <w:pPr>
        <w:pStyle w:val="Heading2"/>
      </w:pPr>
      <w:r>
        <w:t>The guard loop</w:t>
      </w:r>
    </w:p>
    <w:p>
      <w:pPr>
        <w:spacing w:after="120"/>
      </w:pPr>
      <w:r>
        <w:t>Collecting the θ</w:t>
      </w:r>
      <w:r>
        <w:rPr>
          <w:vertAlign w:val="subscript"/>
        </w:rPr>
        <w:t>e</w:t>
      </w:r>
      <w:r>
        <w:t xml:space="preserve"> terms of (5c) gives the SISO plant the guard controller actually sees:</w:t>
      </w:r>
    </w:p>
    <w:p>
      <w:pPr>
        <w:spacing w:before="160" w:after="160"/>
        <w:jc w:val="center"/>
      </w:pPr>
      <w:r>
        <w:rPr>
          <w:rFonts w:ascii="Cambria Math" w:hAnsi="Cambria Math"/>
          <w:sz w:val="24"/>
        </w:rPr>
        <w:t>θ</w:t>
      </w:r>
      <w:r>
        <w:rPr>
          <w:rFonts w:ascii="Cambria Math" w:hAnsi="Cambria Math"/>
          <w:sz w:val="24"/>
          <w:vertAlign w:val="subscript"/>
        </w:rPr>
        <w:t>e</w:t>
      </w:r>
      <w:r>
        <w:rPr>
          <w:rFonts w:ascii="Cambria Math" w:hAnsi="Cambria Math"/>
          <w:sz w:val="24"/>
        </w:rPr>
        <w:t>(s) = [ K</w:t>
      </w:r>
      <w:r>
        <w:rPr>
          <w:rFonts w:ascii="Cambria Math" w:hAnsi="Cambria Math"/>
          <w:sz w:val="24"/>
          <w:vertAlign w:val="subscript"/>
        </w:rPr>
        <w:t>e</w:t>
      </w:r>
      <w:r>
        <w:rPr>
          <w:rFonts w:ascii="Cambria Math" w:hAnsi="Cambria Math"/>
          <w:sz w:val="24"/>
        </w:rPr>
        <w:t>/(τ</w:t>
      </w:r>
      <w:r>
        <w:rPr>
          <w:rFonts w:ascii="Cambria Math" w:hAnsi="Cambria Math"/>
          <w:sz w:val="24"/>
          <w:vertAlign w:val="subscript"/>
        </w:rPr>
        <w:t>e</w:t>
      </w:r>
      <w:r>
        <w:rPr>
          <w:rFonts w:ascii="Cambria Math" w:hAnsi="Cambria Math"/>
          <w:sz w:val="24"/>
        </w:rPr>
        <w:t>·s + 1) ]·P</w:t>
      </w:r>
      <w:r>
        <w:rPr>
          <w:rFonts w:ascii="Cambria Math" w:hAnsi="Cambria Math"/>
          <w:sz w:val="24"/>
          <w:vertAlign w:val="subscript"/>
        </w:rPr>
        <w:t>e</w:t>
      </w:r>
      <w:r>
        <w:rPr>
          <w:rFonts w:ascii="Cambria Math" w:hAnsi="Cambria Math"/>
          <w:sz w:val="24"/>
        </w:rPr>
        <w:t>(s) + [ β/(τ</w:t>
      </w:r>
      <w:r>
        <w:rPr>
          <w:rFonts w:ascii="Cambria Math" w:hAnsi="Cambria Math"/>
          <w:sz w:val="24"/>
          <w:vertAlign w:val="subscript"/>
        </w:rPr>
        <w:t>e</w:t>
      </w:r>
      <w:r>
        <w:rPr>
          <w:rFonts w:ascii="Cambria Math" w:hAnsi="Cambria Math"/>
          <w:sz w:val="24"/>
        </w:rPr>
        <w:t>·s + 1) ]·θ</w:t>
      </w:r>
      <w:r>
        <w:rPr>
          <w:rFonts w:ascii="Cambria Math" w:hAnsi="Cambria Math"/>
          <w:sz w:val="24"/>
          <w:vertAlign w:val="subscript"/>
        </w:rPr>
        <w:t>i</w:t>
      </w:r>
      <w:r>
        <w:rPr>
          <w:rFonts w:ascii="Cambria Math" w:hAnsi="Cambria Math"/>
          <w:sz w:val="24"/>
        </w:rPr>
        <w:t>(s)</w:t>
      </w:r>
      <w:r>
        <w:rPr>
          <w:sz w:val="20"/>
        </w:rPr>
        <w:tab/>
        <w:tab/>
        <w:t>(15)</w:t>
      </w:r>
    </w:p>
    <w:p>
      <w:pPr>
        <w:spacing w:before="160" w:after="160"/>
        <w:jc w:val="center"/>
      </w:pPr>
      <w:r>
        <w:rPr>
          <w:rFonts w:ascii="Cambria Math" w:hAnsi="Cambria Math"/>
          <w:sz w:val="24"/>
        </w:rPr>
        <w:t>K</w:t>
      </w:r>
      <w:r>
        <w:rPr>
          <w:rFonts w:ascii="Cambria Math" w:hAnsi="Cambria Math"/>
          <w:sz w:val="24"/>
          <w:vertAlign w:val="subscript"/>
        </w:rPr>
        <w:t>e</w:t>
      </w:r>
      <w:r>
        <w:rPr>
          <w:rFonts w:ascii="Cambria Math" w:hAnsi="Cambria Math"/>
          <w:sz w:val="24"/>
        </w:rPr>
        <w:t xml:space="preserve"> = 1/(G</w:t>
      </w:r>
      <w:r>
        <w:rPr>
          <w:rFonts w:ascii="Cambria Math" w:hAnsi="Cambria Math"/>
          <w:sz w:val="24"/>
          <w:vertAlign w:val="subscript"/>
        </w:rPr>
        <w:t>gap</w:t>
      </w:r>
      <w:r>
        <w:rPr>
          <w:rFonts w:ascii="Cambria Math" w:hAnsi="Cambria Math"/>
          <w:sz w:val="24"/>
        </w:rPr>
        <w:t xml:space="preserve"> + G</w:t>
      </w:r>
      <w:r>
        <w:rPr>
          <w:rFonts w:ascii="Cambria Math" w:hAnsi="Cambria Math"/>
          <w:sz w:val="24"/>
          <w:vertAlign w:val="subscript"/>
        </w:rPr>
        <w:t>out</w:t>
      </w:r>
      <w:r>
        <w:rPr>
          <w:rFonts w:ascii="Cambria Math" w:hAnsi="Cambria Math"/>
          <w:sz w:val="24"/>
        </w:rPr>
        <w:t>) = 0.990 K/W ,   τ</w:t>
      </w:r>
      <w:r>
        <w:rPr>
          <w:rFonts w:ascii="Cambria Math" w:hAnsi="Cambria Math"/>
          <w:sz w:val="24"/>
          <w:vertAlign w:val="subscript"/>
        </w:rPr>
        <w:t>e</w:t>
      </w:r>
      <w:r>
        <w:rPr>
          <w:rFonts w:ascii="Cambria Math" w:hAnsi="Cambria Math"/>
          <w:sz w:val="24"/>
        </w:rPr>
        <w:t xml:space="preserve"> = C</w:t>
      </w:r>
      <w:r>
        <w:rPr>
          <w:rFonts w:ascii="Cambria Math" w:hAnsi="Cambria Math"/>
          <w:sz w:val="24"/>
          <w:vertAlign w:val="subscript"/>
        </w:rPr>
        <w:t>e</w:t>
      </w:r>
      <w:r>
        <w:rPr>
          <w:rFonts w:ascii="Cambria Math" w:hAnsi="Cambria Math"/>
          <w:sz w:val="24"/>
        </w:rPr>
        <w:t>/(G</w:t>
      </w:r>
      <w:r>
        <w:rPr>
          <w:rFonts w:ascii="Cambria Math" w:hAnsi="Cambria Math"/>
          <w:sz w:val="24"/>
          <w:vertAlign w:val="subscript"/>
        </w:rPr>
        <w:t>gap</w:t>
      </w:r>
      <w:r>
        <w:rPr>
          <w:rFonts w:ascii="Cambria Math" w:hAnsi="Cambria Math"/>
          <w:sz w:val="24"/>
        </w:rPr>
        <w:t xml:space="preserve"> + G</w:t>
      </w:r>
      <w:r>
        <w:rPr>
          <w:rFonts w:ascii="Cambria Math" w:hAnsi="Cambria Math"/>
          <w:sz w:val="24"/>
          <w:vertAlign w:val="subscript"/>
        </w:rPr>
        <w:t>out</w:t>
      </w:r>
      <w:r>
        <w:rPr>
          <w:rFonts w:ascii="Cambria Math" w:hAnsi="Cambria Math"/>
          <w:sz w:val="24"/>
        </w:rPr>
        <w:t>) = 297 s ,   β = G</w:t>
      </w:r>
      <w:r>
        <w:rPr>
          <w:rFonts w:ascii="Cambria Math" w:hAnsi="Cambria Math"/>
          <w:sz w:val="24"/>
          <w:vertAlign w:val="subscript"/>
        </w:rPr>
        <w:t>gap</w:t>
      </w:r>
      <w:r>
        <w:rPr>
          <w:rFonts w:ascii="Cambria Math" w:hAnsi="Cambria Math"/>
          <w:sz w:val="24"/>
        </w:rPr>
        <w:t>/(G</w:t>
      </w:r>
      <w:r>
        <w:rPr>
          <w:rFonts w:ascii="Cambria Math" w:hAnsi="Cambria Math"/>
          <w:sz w:val="24"/>
          <w:vertAlign w:val="subscript"/>
        </w:rPr>
        <w:t>gap</w:t>
      </w:r>
      <w:r>
        <w:rPr>
          <w:rFonts w:ascii="Cambria Math" w:hAnsi="Cambria Math"/>
          <w:sz w:val="24"/>
        </w:rPr>
        <w:t xml:space="preserve"> + G</w:t>
      </w:r>
      <w:r>
        <w:rPr>
          <w:rFonts w:ascii="Cambria Math" w:hAnsi="Cambria Math"/>
          <w:sz w:val="24"/>
          <w:vertAlign w:val="subscript"/>
        </w:rPr>
        <w:t>out</w:t>
      </w:r>
      <w:r>
        <w:rPr>
          <w:rFonts w:ascii="Cambria Math" w:hAnsi="Cambria Math"/>
          <w:sz w:val="24"/>
        </w:rPr>
        <w:t>) = 0.554</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β = 0.554 is why the guard exists — and why proportional control is not enough</w:t>
            </w:r>
          </w:p>
          <w:p>
            <w:pPr>
              <w:spacing w:after="40"/>
            </w:pPr>
            <w:r>
              <w:rPr>
                <w:sz w:val="19"/>
              </w:rPr>
              <w:t>Left unpowered, the gap settles at only 55 % of the chamber's temperature rise, because it loses the rest to the room through G</w:t>
            </w:r>
            <w:r>
              <w:rPr>
                <w:sz w:val="19"/>
                <w:vertAlign w:val="subscript"/>
              </w:rPr>
              <w:t>out</w:t>
            </w:r>
            <w:r>
              <w:rPr>
                <w:sz w:val="19"/>
              </w:rPr>
              <w:t>. A pure proportional controller leaves a steady-state error of (1−β) divided by the loop gain, and that error is a permanent leak straight into the reading. The integrator is not a refinement — it is the accuracy. §7.8 prices it.</w:t>
            </w:r>
          </w:p>
        </w:tc>
      </w:tr>
    </w:tbl>
    <w:p>
      <w:pPr>
        <w:spacing w:after="80"/>
      </w:pPr>
    </w:p>
    <w:p>
      <w:pPr>
        <w:spacing w:after="120"/>
      </w:pPr>
      <w:r>
        <w:t>The controller is tuned by the λ-rule (internal model control), which sets one knob — the desired closed-loop time constant λ</w:t>
      </w:r>
      <w:r>
        <w:rPr>
          <w:vertAlign w:val="subscript"/>
        </w:rPr>
        <w:t>g</w:t>
      </w:r>
      <w:r>
        <w:t xml:space="preserve"> — and derives both gains from the identified plant:</w:t>
      </w:r>
    </w:p>
    <w:p>
      <w:pPr>
        <w:spacing w:before="160" w:after="160"/>
        <w:jc w:val="center"/>
      </w:pPr>
      <w:r>
        <w:rPr>
          <w:rFonts w:ascii="Cambria Math" w:hAnsi="Cambria Math"/>
          <w:sz w:val="24"/>
        </w:rPr>
        <w:t>K</w:t>
      </w:r>
      <w:r>
        <w:rPr>
          <w:rFonts w:ascii="Cambria Math" w:hAnsi="Cambria Math"/>
          <w:sz w:val="24"/>
          <w:vertAlign w:val="subscript"/>
        </w:rPr>
        <w:t>p,g</w:t>
      </w:r>
      <w:r>
        <w:rPr>
          <w:rFonts w:ascii="Cambria Math" w:hAnsi="Cambria Math"/>
          <w:sz w:val="24"/>
        </w:rPr>
        <w:t xml:space="preserve"> = τ</w:t>
      </w:r>
      <w:r>
        <w:rPr>
          <w:rFonts w:ascii="Cambria Math" w:hAnsi="Cambria Math"/>
          <w:sz w:val="24"/>
          <w:vertAlign w:val="subscript"/>
        </w:rPr>
        <w:t>e</w:t>
      </w:r>
      <w:r>
        <w:rPr>
          <w:rFonts w:ascii="Cambria Math" w:hAnsi="Cambria Math"/>
          <w:sz w:val="24"/>
        </w:rPr>
        <w:t>/(K</w:t>
      </w:r>
      <w:r>
        <w:rPr>
          <w:rFonts w:ascii="Cambria Math" w:hAnsi="Cambria Math"/>
          <w:sz w:val="24"/>
          <w:vertAlign w:val="subscript"/>
        </w:rPr>
        <w:t>e</w:t>
      </w:r>
      <w:r>
        <w:rPr>
          <w:rFonts w:ascii="Cambria Math" w:hAnsi="Cambria Math"/>
          <w:sz w:val="24"/>
        </w:rPr>
        <w:t>·λ</w:t>
      </w:r>
      <w:r>
        <w:rPr>
          <w:rFonts w:ascii="Cambria Math" w:hAnsi="Cambria Math"/>
          <w:sz w:val="24"/>
          <w:vertAlign w:val="subscript"/>
        </w:rPr>
        <w:t>g</w:t>
      </w:r>
      <w:r>
        <w:rPr>
          <w:rFonts w:ascii="Cambria Math" w:hAnsi="Cambria Math"/>
          <w:sz w:val="24"/>
        </w:rPr>
        <w:t xml:space="preserve">) = 297/(0.990 × 60) = </w:t>
      </w:r>
      <w:r>
        <w:rPr>
          <w:rFonts w:ascii="Cambria Math" w:hAnsi="Cambria Math"/>
          <w:b/>
          <w:sz w:val="24"/>
        </w:rPr>
        <w:t>5.000 W/K</w:t>
      </w:r>
      <w:r>
        <w:rPr>
          <w:rFonts w:ascii="Cambria Math" w:hAnsi="Cambria Math"/>
          <w:sz w:val="24"/>
        </w:rPr>
        <w:t xml:space="preserve"> ,   K</w:t>
      </w:r>
      <w:r>
        <w:rPr>
          <w:rFonts w:ascii="Cambria Math" w:hAnsi="Cambria Math"/>
          <w:sz w:val="24"/>
          <w:vertAlign w:val="subscript"/>
        </w:rPr>
        <w:t>i,g</w:t>
      </w:r>
      <w:r>
        <w:rPr>
          <w:rFonts w:ascii="Cambria Math" w:hAnsi="Cambria Math"/>
          <w:sz w:val="24"/>
        </w:rPr>
        <w:t xml:space="preserve"> = K</w:t>
      </w:r>
      <w:r>
        <w:rPr>
          <w:rFonts w:ascii="Cambria Math" w:hAnsi="Cambria Math"/>
          <w:sz w:val="24"/>
          <w:vertAlign w:val="subscript"/>
        </w:rPr>
        <w:t>p,g</w:t>
      </w:r>
      <w:r>
        <w:rPr>
          <w:rFonts w:ascii="Cambria Math" w:hAnsi="Cambria Math"/>
          <w:sz w:val="24"/>
        </w:rPr>
        <w:t>/τ</w:t>
      </w:r>
      <w:r>
        <w:rPr>
          <w:rFonts w:ascii="Cambria Math" w:hAnsi="Cambria Math"/>
          <w:sz w:val="24"/>
          <w:vertAlign w:val="subscript"/>
        </w:rPr>
        <w:t>e</w:t>
      </w:r>
      <w:r>
        <w:rPr>
          <w:rFonts w:ascii="Cambria Math" w:hAnsi="Cambria Math"/>
          <w:sz w:val="24"/>
        </w:rPr>
        <w:t xml:space="preserve"> = </w:t>
      </w:r>
      <w:r>
        <w:rPr>
          <w:rFonts w:ascii="Cambria Math" w:hAnsi="Cambria Math"/>
          <w:b/>
          <w:sz w:val="24"/>
        </w:rPr>
        <w:t>0.01683 W/(K·s)</w:t>
      </w:r>
      <w:r>
        <w:rPr>
          <w:sz w:val="20"/>
        </w:rPr>
        <w:tab/>
        <w:tab/>
        <w:t>(16)</w:t>
      </w:r>
    </w:p>
    <w:p>
      <w:pPr>
        <w:spacing w:after="120"/>
      </w:pPr>
      <w:r>
        <w:t>λ</w:t>
      </w:r>
      <w:r>
        <w:rPr>
          <w:vertAlign w:val="subscript"/>
        </w:rPr>
        <w:t>g</w:t>
      </w:r>
      <w:r>
        <w:t xml:space="preserve"> = 60 s is chosen as roughly a fifth of the open-loop τ</w:t>
      </w:r>
      <w:r>
        <w:rPr>
          <w:vertAlign w:val="subscript"/>
        </w:rPr>
        <w:t>e</w:t>
      </w:r>
      <w:r>
        <w:t xml:space="preserve"> — fast enough that the guard follows a moving chamber temperature, slow enough not to amplify sensor noise on a difference of two temperatures. Two nonlinearities sit on top and are mandatory:</w:t>
      </w:r>
    </w:p>
    <w:p>
      <w:pPr>
        <w:spacing w:after="60" w:before="0"/>
        <w:ind w:left="720" w:hanging="360"/>
      </w:pPr>
      <w:r>
        <w:t>•</w:t>
        <w:tab/>
      </w:r>
      <w:r>
        <w:rPr>
          <w:b/>
        </w:rPr>
        <w:t>Saturation, [0, P</w:t>
      </w:r>
      <w:r>
        <w:rPr>
          <w:b/>
          <w:vertAlign w:val="subscript"/>
        </w:rPr>
        <w:t>max</w:t>
      </w:r>
      <w:r>
        <w:rPr>
          <w:b/>
        </w:rPr>
        <w:t>].</w:t>
      </w:r>
      <w:r>
        <w:t xml:space="preserve"> The floor is </w:t>
      </w:r>
      <w:r>
        <w:rPr>
          <w:b/>
        </w:rPr>
        <w:t>zero, not −P</w:t>
      </w:r>
      <w:r>
        <w:rPr>
          <w:b/>
          <w:vertAlign w:val="subscript"/>
        </w:rPr>
        <w:t>max</w:t>
      </w:r>
      <w:r>
        <w:t>: heaters cannot cool. After a load dump the guard has no authority at all and the gap must bleed off through G</w:t>
      </w:r>
      <w:r>
        <w:rPr>
          <w:vertAlign w:val="subscript"/>
        </w:rPr>
        <w:t>out</w:t>
      </w:r>
      <w:r>
        <w:t xml:space="preserve"> on its own, which is slow. This is a real operational limit, visible in Figures 5 and 6.</w:t>
      </w:r>
    </w:p>
    <w:p>
      <w:pPr>
        <w:spacing w:after="60" w:before="0"/>
        <w:ind w:left="720" w:hanging="360"/>
      </w:pPr>
      <w:r>
        <w:t>•</w:t>
        <w:tab/>
      </w:r>
      <w:r>
        <w:rPr>
          <w:b/>
        </w:rPr>
        <w:t>Anti-windup, by back-calculation.</w:t>
      </w:r>
      <w:r>
        <w:t xml:space="preserve"> The integrator is what makes the instrument exact, so the moment the heater clips, the thing that guarantees accuracy stops accumulating correctly unless it is explicitly unwound. The implementation adds (P</w:t>
      </w:r>
      <w:r>
        <w:rPr>
          <w:vertAlign w:val="subscript"/>
        </w:rPr>
        <w:t>e</w:t>
      </w:r>
      <w:r>
        <w:t xml:space="preserve"> − v)/T</w:t>
      </w:r>
      <w:r>
        <w:rPr>
          <w:vertAlign w:val="subscript"/>
        </w:rPr>
        <w:t>t</w:t>
      </w:r>
      <w:r>
        <w:t xml:space="preserve"> to the integrator rate, with T</w:t>
      </w:r>
      <w:r>
        <w:rPr>
          <w:vertAlign w:val="subscript"/>
        </w:rPr>
        <w:t>t</w:t>
      </w:r>
      <w:r>
        <w:t xml:space="preserve"> = K</w:t>
      </w:r>
      <w:r>
        <w:rPr>
          <w:vertAlign w:val="subscript"/>
        </w:rPr>
        <w:t>p</w:t>
      </w:r>
      <w:r>
        <w:t>/K</w:t>
      </w:r>
      <w:r>
        <w:rPr>
          <w:vertAlign w:val="subscript"/>
        </w:rPr>
        <w:t>i</w:t>
      </w:r>
      <w:r>
        <w:t xml:space="preserve"> = τ</w:t>
      </w:r>
      <w:r>
        <w:rPr>
          <w:vertAlign w:val="subscript"/>
        </w:rPr>
        <w:t>e</w:t>
      </w:r>
      <w:r>
        <w:t>, which is exactly zero whenever the output is not clipped.</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The closed loop may oscillate — and that is not a fault</w:t>
            </w:r>
          </w:p>
          <w:p>
            <w:pPr>
              <w:spacing w:after="40"/>
            </w:pPr>
            <w:r>
              <w:rPr>
                <w:sz w:val="19"/>
              </w:rPr>
              <w:t>The structural audit of Table 17 asserts that all eigenvalues are real, on the grounds that a purely dissipative single-domain network has nothing to trade energy with. That is true of the plant, and only of the plant. Once the guard PI is closed, the integrator is a second storage type — energy moves between the gap's thermal capacitance C</w:t>
            </w:r>
            <w:r>
              <w:rPr>
                <w:sz w:val="19"/>
                <w:vertAlign w:val="subscript"/>
              </w:rPr>
              <w:t>e</w:t>
            </w:r>
            <w:r>
              <w:rPr>
                <w:sz w:val="19"/>
              </w:rPr>
              <w:t xml:space="preserve"> and the controller's accumulated error, exactly as it does between L and C in a resonant circuit — and the closed loop legitimately acquires a complex pole pair. The audit must therefore never be run on the closed-loop matrix: complex eigenvalues in the </w:t>
            </w:r>
            <w:r>
              <w:rPr>
                <w:b/>
                <w:sz w:val="19"/>
              </w:rPr>
              <w:t>plant</w:t>
            </w:r>
            <w:r>
              <w:rPr>
                <w:sz w:val="19"/>
              </w:rPr>
              <w:t xml:space="preserve"> mean a sign error; complex eigenvalues in the </w:t>
            </w:r>
            <w:r>
              <w:rPr>
                <w:b/>
                <w:sz w:val="19"/>
              </w:rPr>
              <w:t>closed loop</w:t>
            </w:r>
            <w:r>
              <w:rPr>
                <w:sz w:val="19"/>
              </w:rPr>
              <w:t xml:space="preserve"> mean you have a controller. A damping ratio near 0.7 is well tuned; much below 0.4 says to slow λ</w:t>
            </w:r>
            <w:r>
              <w:rPr>
                <w:sz w:val="19"/>
                <w:vertAlign w:val="subscript"/>
              </w:rPr>
              <w:t>g</w:t>
            </w:r>
            <w:r>
              <w:rPr>
                <w:sz w:val="19"/>
              </w:rPr>
              <w:t xml:space="preserve"> down.</w:t>
            </w:r>
          </w:p>
        </w:tc>
      </w:tr>
    </w:tbl>
    <w:p>
      <w:pPr>
        <w:spacing w:after="80"/>
      </w:pPr>
    </w:p>
    <w:p>
      <w:pPr>
        <w:spacing w:after="120"/>
      </w:pPr>
      <w:r>
        <w:t>An optional feedforward term, P</w:t>
      </w:r>
      <w:r>
        <w:rPr>
          <w:vertAlign w:val="subscript"/>
        </w:rPr>
        <w:t>ff</w:t>
      </w:r>
      <w:r>
        <w:t xml:space="preserve"> = G</w:t>
      </w:r>
      <w:r>
        <w:rPr>
          <w:vertAlign w:val="subscript"/>
        </w:rPr>
        <w:t>out</w:t>
      </w:r>
      <w:r>
        <w:t>·(θ</w:t>
      </w:r>
      <w:r>
        <w:rPr>
          <w:vertAlign w:val="subscript"/>
        </w:rPr>
        <w:t>target</w:t>
      </w:r>
      <w:r>
        <w:t xml:space="preserve">), can be added. It is free insurance: its DC gain to the reading's error is </w:t>
      </w:r>
      <w:r>
        <w:rPr>
          <w:b/>
        </w:rPr>
        <w:t>exactly zero</w:t>
      </w:r>
      <w:r>
        <w:t>, so a wrong G</w:t>
      </w:r>
      <w:r>
        <w:rPr>
          <w:vertAlign w:val="subscript"/>
        </w:rPr>
        <w:t>out</w:t>
      </w:r>
      <w:r>
        <w:t>, a wrong ambient or a stale load estimate degrade the transient null error and nothing else. The integrator owns the steady null.</w:t>
      </w:r>
    </w:p>
    <w:p>
      <w:pPr>
        <w:pStyle w:val="Heading2"/>
      </w:pPr>
      <w:r>
        <w:t>What is deliberately not modelled</w:t>
      </w:r>
    </w:p>
    <w:p>
      <w:pPr>
        <w:spacing w:after="120"/>
      </w:pPr>
      <w:r>
        <w:t>Two rules keep the model from growing without improving:</w:t>
      </w:r>
    </w:p>
    <w:p>
      <w:pPr>
        <w:spacing w:after="60" w:before="0"/>
        <w:ind w:left="720" w:hanging="360"/>
      </w:pPr>
      <w:r>
        <w:t>•</w:t>
        <w:tab/>
      </w:r>
      <w:r>
        <w:rPr>
          <w:b/>
        </w:rPr>
        <w:t>Anything whose datasheet or measured rating is the decision property.</w:t>
      </w:r>
      <w:r>
        <w:t xml:space="preserve"> The radiator is a UA figure, not a fin geometry; the pump is a flow band and a steps-per-millilitre constant, not an impeller; the foam is a λ and a thickness, not a microstructure; radiation is a grey ε, not a spectrum. The justification is that commissioning measures the </w:t>
      </w:r>
      <w:r>
        <w:rPr>
          <w:b/>
        </w:rPr>
        <w:t>assembled</w:t>
      </w:r>
      <w:r>
        <w:t xml:space="preserve"> C and G, so every sub-component detail is absorbed into two calibrated numbers — modelling it twice would add error, not fidelity.</w:t>
      </w:r>
    </w:p>
    <w:p>
      <w:pPr>
        <w:spacing w:after="60" w:before="0"/>
        <w:ind w:left="720" w:hanging="360"/>
      </w:pPr>
      <w:r>
        <w:t>•</w:t>
        <w:tab/>
      </w:r>
      <w:r>
        <w:rPr>
          <w:b/>
        </w:rPr>
        <w:t>Anything below the error floor.</w:t>
      </w:r>
      <w:r>
        <w:t xml:space="preserve"> The standing promotion rule: a neglected effect earns a state or an error term only when its worst case exceeds about 10 % of P</w:t>
      </w:r>
      <w:r>
        <w:rPr>
          <w:vertAlign w:val="subscript"/>
        </w:rPr>
        <w:t>acc</w:t>
      </w:r>
      <w:r>
        <w:t>, i.e. 0.1 W. Checked and dismissed on that basis: chamber-air c</w:t>
      </w:r>
      <w:r>
        <w:rPr>
          <w:vertAlign w:val="subscript"/>
        </w:rPr>
        <w:t>p</w:t>
      </w:r>
      <w:r>
        <w:t xml:space="preserve"> versus c</w:t>
      </w:r>
      <w:r>
        <w:rPr>
          <w:vertAlign w:val="subscript"/>
        </w:rPr>
        <w:t>v</w:t>
      </w:r>
      <w:r>
        <w:t>, pump-head enthalpy, radiation through opaque foam, barometric drift, c</w:t>
      </w:r>
      <w:r>
        <w:rPr>
          <w:vertAlign w:val="subscript"/>
        </w:rPr>
        <w:t>p,w</w:t>
      </w:r>
      <w:r>
        <w:t>(T) beyond evaluating at the mean, and the DUT's internal thermal structure.</w:t>
      </w:r>
    </w:p>
    <w:p>
      <w:pPr>
        <w:spacing w:after="120"/>
      </w:pPr>
      <w:r>
        <w:t>Four effects are genuinely nonlinear and are handled in the simulation rather than in the matrices: heater saturation, anti-windup, the bilinearity of ṁ (it multiplies a state, so the model is LTI only at a frozen flow — which is the operating protocol anyway), and sensor quantisation.</w:t>
      </w:r>
    </w:p>
    <w:p>
      <w:pPr>
        <w:pStyle w:val="Heading1"/>
      </w:pPr>
      <w:r>
        <w:t>System Simulation in Python</w:t>
      </w:r>
    </w:p>
    <w:p>
      <w:pPr>
        <w:pStyle w:val="Heading2"/>
      </w:pPr>
      <w:r>
        <w:t>Purpose and scope</w:t>
      </w:r>
    </w:p>
    <w:p>
      <w:pPr>
        <w:spacing w:after="120"/>
      </w:pPr>
      <w:r>
        <w:t>The simulation exists to answer questions the algebra cannot: what the settling schedule actually is, how large the guard heater has to be, how big the transient null error gets before the loop catches up, and what happens when the actuator saturates. Saturation and anti-windup are not linear, so they cannot live inside A — which is why the model is integrated numerically rather than solved with a step-response function. Inside the limits it is exactly the LTI model of §6; outside them it is a different one.</w:t>
      </w:r>
    </w:p>
    <w:p>
      <w:pPr>
        <w:pStyle w:val="Heading2"/>
      </w:pPr>
      <w:r>
        <w:t>Files and how to run it</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1832"/>
            <w:shd w:val="clear" w:color="auto" w:fill="DEEAF6"/>
          </w:tcPr>
          <w:p>
            <w:pPr>
              <w:spacing w:after="20" w:before="20"/>
            </w:pPr>
            <w:r/>
            <w:r>
              <w:rPr>
                <w:b/>
                <w:sz w:val="18"/>
              </w:rPr>
              <w:t>File</w:t>
            </w:r>
          </w:p>
        </w:tc>
        <w:tc>
          <w:tcPr>
            <w:tcW w:type="dxa" w:w="7197"/>
            <w:shd w:val="clear" w:color="auto" w:fill="DEEAF6"/>
          </w:tcPr>
          <w:p>
            <w:pPr>
              <w:spacing w:after="20" w:before="20"/>
            </w:pPr>
            <w:r/>
            <w:r>
              <w:rPr>
                <w:b/>
                <w:sz w:val="18"/>
              </w:rPr>
              <w:t>Role</w:t>
            </w:r>
          </w:p>
        </w:tc>
      </w:tr>
      <w:tr>
        <w:tc>
          <w:tcPr>
            <w:tcW w:type="dxa" w:w="1832"/>
          </w:tcPr>
          <w:p>
            <w:pPr>
              <w:spacing w:after="20" w:before="20"/>
            </w:pPr>
            <w:r/>
            <w:r>
              <w:rPr>
                <w:rFonts w:ascii="Consolas" w:hAnsi="Consolas"/>
                <w:sz w:val="18"/>
              </w:rPr>
              <w:t>calorimetry-ss.py</w:t>
            </w:r>
          </w:p>
        </w:tc>
        <w:tc>
          <w:tcPr>
            <w:tcW w:type="dxa" w:w="7197"/>
          </w:tcPr>
          <w:p>
            <w:pPr>
              <w:spacing w:after="20" w:before="20"/>
            </w:pPr>
            <w:r/>
            <w:r>
              <w:rPr>
                <w:sz w:val="18"/>
              </w:rPr>
              <w:t>The L1 plant. Builds A, B</w:t>
            </w:r>
            <w:r>
              <w:rPr>
                <w:sz w:val="18"/>
                <w:vertAlign w:val="subscript"/>
              </w:rPr>
              <w:t>u</w:t>
            </w:r>
            <w:r>
              <w:rPr>
                <w:sz w:val="18"/>
              </w:rPr>
              <w:t>, B</w:t>
            </w:r>
            <w:r>
              <w:rPr>
                <w:sz w:val="18"/>
                <w:vertAlign w:val="subscript"/>
              </w:rPr>
              <w:t>d</w:t>
            </w:r>
            <w:r>
              <w:rPr>
                <w:sz w:val="18"/>
              </w:rPr>
              <w:t>, C, D</w:t>
            </w:r>
            <w:r>
              <w:rPr>
                <w:sz w:val="18"/>
                <w:vertAlign w:val="subscript"/>
              </w:rPr>
              <w:t>u</w:t>
            </w:r>
            <w:r>
              <w:rPr>
                <w:sz w:val="18"/>
              </w:rPr>
              <w:t>, D</w:t>
            </w:r>
            <w:r>
              <w:rPr>
                <w:sz w:val="18"/>
                <w:vertAlign w:val="subscript"/>
              </w:rPr>
              <w:t>d</w:t>
            </w:r>
            <w:r>
              <w:rPr>
                <w:sz w:val="18"/>
              </w:rPr>
              <w:t xml:space="preserve"> at a frozen flow; runs the structural audit of Table 17 as assertions; provides unit helpers (mL/min ↔ kg/s ↔ W/K) and the modal decomposition. Runnable on its own — it prints the modes, the open-guard DC gains and a corner sweep.</w:t>
            </w:r>
          </w:p>
        </w:tc>
      </w:tr>
      <w:tr>
        <w:tc>
          <w:tcPr>
            <w:tcW w:type="dxa" w:w="1832"/>
          </w:tcPr>
          <w:p>
            <w:pPr>
              <w:spacing w:after="20" w:before="20"/>
            </w:pPr>
            <w:r/>
            <w:r>
              <w:rPr>
                <w:rFonts w:ascii="Consolas" w:hAnsi="Consolas"/>
                <w:sz w:val="18"/>
              </w:rPr>
              <w:t>calorimetry_sim.py</w:t>
            </w:r>
          </w:p>
        </w:tc>
        <w:tc>
          <w:tcPr>
            <w:tcW w:type="dxa" w:w="7197"/>
          </w:tcPr>
          <w:p>
            <w:pPr>
              <w:spacing w:after="20" w:before="20"/>
            </w:pPr>
            <w:r/>
            <w:r>
              <w:rPr>
                <w:b/>
                <w:sz w:val="18"/>
              </w:rPr>
              <w:t>The main script.</w:t>
            </w:r>
            <w:r>
              <w:rPr>
                <w:sz w:val="18"/>
              </w:rPr>
              <w:t xml:space="preserve"> Wraps the guard PI, saturation and anti-windup around that plant, integrates the resulting 4-state system, rebuilds every probe signal from the trajectory, prints the probe map and writes the figures.</w:t>
            </w:r>
          </w:p>
        </w:tc>
      </w:tr>
      <w:tr>
        <w:tc>
          <w:tcPr>
            <w:tcW w:type="dxa" w:w="1832"/>
          </w:tcPr>
          <w:p>
            <w:pPr>
              <w:spacing w:after="20" w:before="20"/>
            </w:pPr>
            <w:r/>
            <w:r>
              <w:rPr>
                <w:rFonts w:ascii="Consolas" w:hAnsi="Consolas"/>
                <w:sz w:val="18"/>
              </w:rPr>
              <w:t>params.yaml</w:t>
            </w:r>
          </w:p>
        </w:tc>
        <w:tc>
          <w:tcPr>
            <w:tcW w:type="dxa" w:w="7197"/>
          </w:tcPr>
          <w:p>
            <w:pPr>
              <w:spacing w:after="20" w:before="20"/>
            </w:pPr>
            <w:r/>
            <w:r>
              <w:rPr>
                <w:sz w:val="18"/>
              </w:rPr>
              <w:t>Every parameter, with its kind tag. Nothing numeric is hard-coded in either script.</w:t>
            </w:r>
          </w:p>
        </w:tc>
      </w:tr>
    </w:tbl>
    <w:p>
      <w:pPr>
        <w:spacing w:before="60" w:after="200"/>
        <w:jc w:val="left"/>
      </w:pPr>
      <w:r>
        <w:rPr>
          <w:i/>
          <w:sz w:val="18"/>
        </w:rPr>
        <w:t xml:space="preserve">Table 22. The three source files, in </w:t>
      </w:r>
      <w:r>
        <w:rPr>
          <w:rFonts w:ascii="Consolas" w:hAnsi="Consolas"/>
          <w:i/>
          <w:sz w:val="18"/>
        </w:rPr>
        <w:t>~/roboteq/python/</w:t>
      </w:r>
      <w:r>
        <w:rPr>
          <w:i/>
          <w:sz w:val="18"/>
        </w:rPr>
        <w:t>.</w:t>
      </w:r>
    </w:p>
    <w:p>
      <w:pPr>
        <w:spacing w:after="0" w:before="0" w:line="240" w:lineRule="auto"/>
        <w:ind w:left="288"/>
      </w:pPr>
      <w:r>
        <w:rPr>
          <w:rFonts w:ascii="Consolas" w:hAnsi="Consolas"/>
          <w:sz w:val="18"/>
        </w:rPr>
        <w:t>$ cd ~/roboteq/python</w:t>
      </w:r>
    </w:p>
    <w:p>
      <w:pPr>
        <w:spacing w:after="0" w:before="0" w:line="240" w:lineRule="auto"/>
        <w:ind w:left="288"/>
      </w:pPr>
      <w:r>
        <w:rPr>
          <w:rFonts w:ascii="Consolas" w:hAnsi="Consolas"/>
          <w:sz w:val="18"/>
        </w:rPr>
        <w:t>$ python calorimetry_sim.py            # uses the defaults at the top of the file</w:t>
      </w:r>
    </w:p>
    <w:p>
      <w:pPr>
        <w:spacing w:after="160" w:before="0" w:line="240" w:lineRule="auto"/>
        <w:ind w:left="288"/>
      </w:pPr>
      <w:r>
        <w:rPr>
          <w:rFonts w:ascii="Consolas" w:hAnsi="Consolas"/>
          <w:sz w:val="18"/>
        </w:rPr>
        <w:t>$ python calorimetry_sim.py 300 12     # or: P_DUT = 300 W, water dT = 12 K</w:t>
      </w:r>
    </w:p>
    <w:p>
      <w:pPr>
        <w:spacing w:after="120"/>
      </w:pPr>
      <w:r>
        <w:t xml:space="preserve">Dependencies are </w:t>
      </w:r>
      <w:r>
        <w:rPr>
          <w:rFonts w:ascii="Consolas" w:hAnsi="Consolas"/>
          <w:sz w:val="19"/>
        </w:rPr>
        <w:t>numpy</w:t>
      </w:r>
      <w:r>
        <w:t xml:space="preserve">, </w:t>
      </w:r>
      <w:r>
        <w:rPr>
          <w:rFonts w:ascii="Consolas" w:hAnsi="Consolas"/>
          <w:sz w:val="19"/>
        </w:rPr>
        <w:t>matplotlib</w:t>
      </w:r>
      <w:r>
        <w:t xml:space="preserve">, </w:t>
      </w:r>
      <w:r>
        <w:rPr>
          <w:rFonts w:ascii="Consolas" w:hAnsi="Consolas"/>
          <w:sz w:val="19"/>
        </w:rPr>
        <w:t>pyyaml</w:t>
      </w:r>
      <w:r>
        <w:t xml:space="preserve"> and </w:t>
      </w:r>
      <w:r>
        <w:rPr>
          <w:rFonts w:ascii="Consolas" w:hAnsi="Consolas"/>
          <w:sz w:val="19"/>
        </w:rPr>
        <w:t>python-control</w:t>
      </w:r>
      <w:r>
        <w:t xml:space="preserve">. The script checks for all four against the interpreter that is actually running it and prints the exact </w:t>
      </w:r>
      <w:r>
        <w:rPr>
          <w:rFonts w:ascii="Consolas" w:hAnsi="Consolas"/>
          <w:sz w:val="19"/>
        </w:rPr>
        <w:t>pip</w:t>
      </w:r>
      <w:r>
        <w:t xml:space="preserve"> line to fix a missing one, because the common failure here is having the packages installed against a different Python than the one being invoked. It also verifies that its output directory is writable before doing any work, and reports the size and wall-clock timestamp of every figure it writes — so that a figure that did not change can be distinguished from a viewer that is caching.</w:t>
      </w:r>
    </w:p>
    <w:p>
      <w:pPr>
        <w:pStyle w:val="Heading2"/>
      </w:pPr>
      <w:r>
        <w:t>The parameter file</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069"/>
            <w:shd w:val="clear" w:color="auto" w:fill="DEEAF6"/>
          </w:tcPr>
          <w:p>
            <w:pPr>
              <w:spacing w:after="20" w:before="20"/>
            </w:pPr>
            <w:r/>
            <w:r>
              <w:rPr>
                <w:b/>
                <w:sz w:val="17"/>
              </w:rPr>
              <w:t>Parameter</w:t>
            </w:r>
          </w:p>
        </w:tc>
        <w:tc>
          <w:tcPr>
            <w:tcW w:type="dxa" w:w="2069"/>
            <w:shd w:val="clear" w:color="auto" w:fill="DEEAF6"/>
          </w:tcPr>
          <w:p>
            <w:pPr>
              <w:spacing w:after="20" w:before="20"/>
            </w:pPr>
            <w:r/>
            <w:r>
              <w:rPr>
                <w:b/>
                <w:sz w:val="17"/>
              </w:rPr>
              <w:t>Value</w:t>
            </w:r>
          </w:p>
        </w:tc>
        <w:tc>
          <w:tcPr>
            <w:tcW w:type="dxa" w:w="1129"/>
            <w:shd w:val="clear" w:color="auto" w:fill="DEEAF6"/>
          </w:tcPr>
          <w:p>
            <w:pPr>
              <w:spacing w:after="20" w:before="20"/>
            </w:pPr>
            <w:r/>
            <w:r>
              <w:rPr>
                <w:b/>
                <w:sz w:val="17"/>
              </w:rPr>
              <w:t>Kind</w:t>
            </w:r>
          </w:p>
        </w:tc>
        <w:tc>
          <w:tcPr>
            <w:tcW w:type="dxa" w:w="3762"/>
            <w:shd w:val="clear" w:color="auto" w:fill="DEEAF6"/>
          </w:tcPr>
          <w:p>
            <w:pPr>
              <w:spacing w:after="20" w:before="20"/>
            </w:pPr>
            <w:r/>
            <w:r>
              <w:rPr>
                <w:b/>
                <w:sz w:val="17"/>
              </w:rPr>
              <w:t>Note</w:t>
            </w:r>
          </w:p>
        </w:tc>
      </w:tr>
      <w:tr>
        <w:tc>
          <w:tcPr>
            <w:tcW w:type="dxa" w:w="2069"/>
          </w:tcPr>
          <w:p>
            <w:pPr>
              <w:spacing w:after="20" w:before="20"/>
            </w:pPr>
            <w:r/>
            <w:r>
              <w:rPr>
                <w:rFonts w:ascii="Consolas" w:hAnsi="Consolas"/>
                <w:sz w:val="17"/>
              </w:rPr>
              <w:t>C_i</w:t>
            </w:r>
            <w:r>
              <w:rPr>
                <w:sz w:val="17"/>
              </w:rPr>
              <w:t xml:space="preserve">, </w:t>
            </w:r>
            <w:r>
              <w:rPr>
                <w:rFonts w:ascii="Consolas" w:hAnsi="Consolas"/>
                <w:sz w:val="17"/>
              </w:rPr>
              <w:t>C_w</w:t>
            </w:r>
            <w:r>
              <w:rPr>
                <w:sz w:val="17"/>
              </w:rPr>
              <w:t xml:space="preserve">, </w:t>
            </w:r>
            <w:r>
              <w:rPr>
                <w:rFonts w:ascii="Consolas" w:hAnsi="Consolas"/>
                <w:sz w:val="17"/>
              </w:rPr>
              <w:t>C_e</w:t>
            </w:r>
            <w:r>
              <w:rPr>
                <w:sz w:val="17"/>
              </w:rPr>
              <w:t xml:space="preserve">, </w:t>
            </w:r>
            <w:r>
              <w:rPr>
                <w:rFonts w:ascii="Consolas" w:hAnsi="Consolas"/>
                <w:sz w:val="17"/>
              </w:rPr>
              <w:t>C_r</w:t>
            </w:r>
          </w:p>
        </w:tc>
        <w:tc>
          <w:tcPr>
            <w:tcW w:type="dxa" w:w="2069"/>
          </w:tcPr>
          <w:p>
            <w:pPr>
              <w:spacing w:after="20" w:before="20"/>
            </w:pPr>
            <w:r/>
            <w:r>
              <w:rPr>
                <w:sz w:val="17"/>
              </w:rPr>
              <w:t>650, 1800, 300, 2000 J/K</w:t>
            </w:r>
          </w:p>
        </w:tc>
        <w:tc>
          <w:tcPr>
            <w:tcW w:type="dxa" w:w="1129"/>
          </w:tcPr>
          <w:p>
            <w:pPr>
              <w:spacing w:after="20" w:before="20"/>
            </w:pPr>
            <w:r/>
            <w:r>
              <w:rPr>
                <w:sz w:val="17"/>
              </w:rPr>
              <w:t>estimate</w:t>
            </w:r>
          </w:p>
        </w:tc>
        <w:tc>
          <w:tcPr>
            <w:tcW w:type="dxa" w:w="3762"/>
          </w:tcPr>
          <w:p>
            <w:pPr>
              <w:spacing w:after="20" w:before="20"/>
            </w:pPr>
            <w:r/>
            <w:r>
              <w:rPr>
                <w:sz w:val="17"/>
              </w:rPr>
              <w:t>Node capacitances; C</w:t>
            </w:r>
            <w:r>
              <w:rPr>
                <w:sz w:val="17"/>
                <w:vertAlign w:val="subscript"/>
              </w:rPr>
              <w:t>r</w:t>
            </w:r>
            <w:r>
              <w:rPr>
                <w:sz w:val="17"/>
              </w:rPr>
              <w:t xml:space="preserve"> is the reject-side reservoir</w:t>
            </w:r>
          </w:p>
        </w:tc>
      </w:tr>
      <w:tr>
        <w:tc>
          <w:tcPr>
            <w:tcW w:type="dxa" w:w="2069"/>
          </w:tcPr>
          <w:p>
            <w:pPr>
              <w:spacing w:after="20" w:before="20"/>
            </w:pPr>
            <w:r/>
            <w:r>
              <w:rPr>
                <w:rFonts w:ascii="Consolas" w:hAnsi="Consolas"/>
                <w:sz w:val="17"/>
              </w:rPr>
              <w:t>UA_rad</w:t>
            </w:r>
          </w:p>
        </w:tc>
        <w:tc>
          <w:tcPr>
            <w:tcW w:type="dxa" w:w="2069"/>
          </w:tcPr>
          <w:p>
            <w:pPr>
              <w:spacing w:after="20" w:before="20"/>
            </w:pPr>
            <w:r/>
            <w:r>
              <w:rPr>
                <w:sz w:val="17"/>
              </w:rPr>
              <w:t>30 W/K</w:t>
            </w:r>
          </w:p>
        </w:tc>
        <w:tc>
          <w:tcPr>
            <w:tcW w:type="dxa" w:w="1129"/>
          </w:tcPr>
          <w:p>
            <w:pPr>
              <w:spacing w:after="20" w:before="20"/>
            </w:pPr>
            <w:r/>
            <w:r>
              <w:rPr>
                <w:sz w:val="17"/>
              </w:rPr>
              <w:t>estimate</w:t>
            </w:r>
          </w:p>
        </w:tc>
        <w:tc>
          <w:tcPr>
            <w:tcW w:type="dxa" w:w="3762"/>
          </w:tcPr>
          <w:p>
            <w:pPr>
              <w:spacing w:after="20" w:before="20"/>
            </w:pPr>
            <w:r/>
            <w:r>
              <w:rPr>
                <w:sz w:val="17"/>
              </w:rPr>
              <w:t>Air ↔ water bridge</w:t>
            </w:r>
          </w:p>
        </w:tc>
      </w:tr>
      <w:tr>
        <w:tc>
          <w:tcPr>
            <w:tcW w:type="dxa" w:w="2069"/>
          </w:tcPr>
          <w:p>
            <w:pPr>
              <w:spacing w:after="20" w:before="20"/>
            </w:pPr>
            <w:r/>
            <w:r>
              <w:rPr>
                <w:rFonts w:ascii="Consolas" w:hAnsi="Consolas"/>
                <w:sz w:val="17"/>
              </w:rPr>
              <w:t>G_gap</w:t>
            </w:r>
          </w:p>
        </w:tc>
        <w:tc>
          <w:tcPr>
            <w:tcW w:type="dxa" w:w="2069"/>
          </w:tcPr>
          <w:p>
            <w:pPr>
              <w:spacing w:after="20" w:before="20"/>
            </w:pPr>
            <w:r/>
            <w:r>
              <w:rPr>
                <w:sz w:val="17"/>
              </w:rPr>
              <w:t>0.56 W/K</w:t>
            </w:r>
          </w:p>
        </w:tc>
        <w:tc>
          <w:tcPr>
            <w:tcW w:type="dxa" w:w="1129"/>
          </w:tcPr>
          <w:p>
            <w:pPr>
              <w:spacing w:after="20" w:before="20"/>
            </w:pPr>
            <w:r/>
            <w:r>
              <w:rPr>
                <w:sz w:val="17"/>
              </w:rPr>
              <w:t>estimate</w:t>
            </w:r>
          </w:p>
        </w:tc>
        <w:tc>
          <w:tcPr>
            <w:tcW w:type="dxa" w:w="3762"/>
          </w:tcPr>
          <w:p>
            <w:pPr>
              <w:spacing w:after="20" w:before="20"/>
            </w:pPr>
            <w:r/>
            <w:r>
              <w:rPr>
                <w:b/>
                <w:sz w:val="17"/>
              </w:rPr>
              <w:t>The leak</w:t>
            </w:r>
          </w:p>
        </w:tc>
      </w:tr>
      <w:tr>
        <w:tc>
          <w:tcPr>
            <w:tcW w:type="dxa" w:w="2069"/>
          </w:tcPr>
          <w:p>
            <w:pPr>
              <w:spacing w:after="20" w:before="20"/>
            </w:pPr>
            <w:r/>
            <w:r>
              <w:rPr>
                <w:rFonts w:ascii="Consolas" w:hAnsi="Consolas"/>
                <w:sz w:val="17"/>
              </w:rPr>
              <w:t>G_out</w:t>
            </w:r>
          </w:p>
        </w:tc>
        <w:tc>
          <w:tcPr>
            <w:tcW w:type="dxa" w:w="2069"/>
          </w:tcPr>
          <w:p>
            <w:pPr>
              <w:spacing w:after="20" w:before="20"/>
            </w:pPr>
            <w:r/>
            <w:r>
              <w:rPr>
                <w:sz w:val="17"/>
              </w:rPr>
              <w:t>0.45 W/K</w:t>
            </w:r>
          </w:p>
        </w:tc>
        <w:tc>
          <w:tcPr>
            <w:tcW w:type="dxa" w:w="1129"/>
          </w:tcPr>
          <w:p>
            <w:pPr>
              <w:spacing w:after="20" w:before="20"/>
            </w:pPr>
            <w:r/>
            <w:r>
              <w:rPr>
                <w:sz w:val="17"/>
              </w:rPr>
              <w:t>estimate</w:t>
            </w:r>
          </w:p>
        </w:tc>
        <w:tc>
          <w:tcPr>
            <w:tcW w:type="dxa" w:w="3762"/>
          </w:tcPr>
          <w:p>
            <w:pPr>
              <w:spacing w:after="20" w:before="20"/>
            </w:pPr>
            <w:r/>
            <w:r>
              <w:rPr>
                <w:sz w:val="17"/>
              </w:rPr>
              <w:t>Gap → ambient</w:t>
            </w:r>
          </w:p>
        </w:tc>
      </w:tr>
      <w:tr>
        <w:tc>
          <w:tcPr>
            <w:tcW w:type="dxa" w:w="2069"/>
          </w:tcPr>
          <w:p>
            <w:pPr>
              <w:spacing w:after="20" w:before="20"/>
            </w:pPr>
            <w:r/>
            <w:r>
              <w:rPr>
                <w:rFonts w:ascii="Consolas" w:hAnsi="Consolas"/>
                <w:sz w:val="17"/>
              </w:rPr>
              <w:t>alpha</w:t>
            </w:r>
          </w:p>
        </w:tc>
        <w:tc>
          <w:tcPr>
            <w:tcW w:type="dxa" w:w="2069"/>
          </w:tcPr>
          <w:p>
            <w:pPr>
              <w:spacing w:after="20" w:before="20"/>
            </w:pPr>
            <w:r/>
            <w:r>
              <w:rPr>
                <w:sz w:val="17"/>
              </w:rPr>
              <w:t>0.97</w:t>
            </w:r>
          </w:p>
        </w:tc>
        <w:tc>
          <w:tcPr>
            <w:tcW w:type="dxa" w:w="1129"/>
          </w:tcPr>
          <w:p>
            <w:pPr>
              <w:spacing w:after="20" w:before="20"/>
            </w:pPr>
            <w:r/>
            <w:r>
              <w:rPr>
                <w:sz w:val="17"/>
              </w:rPr>
              <w:t>design pick</w:t>
            </w:r>
          </w:p>
        </w:tc>
        <w:tc>
          <w:tcPr>
            <w:tcW w:type="dxa" w:w="3762"/>
          </w:tcPr>
          <w:p>
            <w:pPr>
              <w:spacing w:after="20" w:before="20"/>
            </w:pPr>
            <w:r/>
            <w:r>
              <w:rPr>
                <w:b/>
                <w:sz w:val="17"/>
              </w:rPr>
              <w:t>Stale — the shipping configuration is 0.0.</w:t>
            </w:r>
            <w:r>
              <w:rPr>
                <w:sz w:val="17"/>
              </w:rPr>
              <w:t xml:space="preserve"> See the note in §4.7</w:t>
            </w:r>
          </w:p>
        </w:tc>
      </w:tr>
      <w:tr>
        <w:tc>
          <w:tcPr>
            <w:tcW w:type="dxa" w:w="2069"/>
          </w:tcPr>
          <w:p>
            <w:pPr>
              <w:spacing w:after="20" w:before="20"/>
            </w:pPr>
            <w:r/>
            <w:r>
              <w:rPr>
                <w:rFonts w:ascii="Consolas" w:hAnsi="Consolas"/>
                <w:sz w:val="17"/>
              </w:rPr>
              <w:t>c_p_w</w:t>
            </w:r>
            <w:r>
              <w:rPr>
                <w:sz w:val="17"/>
              </w:rPr>
              <w:t xml:space="preserve">, </w:t>
            </w:r>
            <w:r>
              <w:rPr>
                <w:rFonts w:ascii="Consolas" w:hAnsi="Consolas"/>
                <w:sz w:val="17"/>
              </w:rPr>
              <w:t>rho_w</w:t>
            </w:r>
          </w:p>
        </w:tc>
        <w:tc>
          <w:tcPr>
            <w:tcW w:type="dxa" w:w="2069"/>
          </w:tcPr>
          <w:p>
            <w:pPr>
              <w:spacing w:after="20" w:before="20"/>
            </w:pPr>
            <w:r/>
            <w:r>
              <w:rPr>
                <w:sz w:val="17"/>
              </w:rPr>
              <w:t>4180 J/kg·K, 995 kg/m³</w:t>
            </w:r>
          </w:p>
        </w:tc>
        <w:tc>
          <w:tcPr>
            <w:tcW w:type="dxa" w:w="1129"/>
          </w:tcPr>
          <w:p>
            <w:pPr>
              <w:spacing w:after="20" w:before="20"/>
            </w:pPr>
            <w:r/>
            <w:r>
              <w:rPr>
                <w:sz w:val="17"/>
              </w:rPr>
              <w:t>property</w:t>
            </w:r>
          </w:p>
        </w:tc>
        <w:tc>
          <w:tcPr>
            <w:tcW w:type="dxa" w:w="3762"/>
          </w:tcPr>
          <w:p>
            <w:pPr>
              <w:spacing w:after="20" w:before="20"/>
            </w:pPr>
            <w:r/>
            <w:r>
              <w:rPr>
                <w:sz w:val="17"/>
              </w:rPr>
              <w:t>Water at ~305 K</w:t>
            </w:r>
          </w:p>
        </w:tc>
      </w:tr>
      <w:tr>
        <w:tc>
          <w:tcPr>
            <w:tcW w:type="dxa" w:w="2069"/>
          </w:tcPr>
          <w:p>
            <w:pPr>
              <w:spacing w:after="20" w:before="20"/>
            </w:pPr>
            <w:r/>
            <w:r>
              <w:rPr>
                <w:rFonts w:ascii="Consolas" w:hAnsi="Consolas"/>
                <w:sz w:val="17"/>
              </w:rPr>
              <w:t>mdot</w:t>
            </w:r>
          </w:p>
        </w:tc>
        <w:tc>
          <w:tcPr>
            <w:tcW w:type="dxa" w:w="2069"/>
          </w:tcPr>
          <w:p>
            <w:pPr>
              <w:spacing w:after="20" w:before="20"/>
            </w:pPr>
            <w:r/>
            <w:r>
              <w:rPr>
                <w:sz w:val="17"/>
              </w:rPr>
              <w:t>0.00358852 kg/s</w:t>
            </w:r>
          </w:p>
        </w:tc>
        <w:tc>
          <w:tcPr>
            <w:tcW w:type="dxa" w:w="1129"/>
          </w:tcPr>
          <w:p>
            <w:pPr>
              <w:spacing w:after="20" w:before="20"/>
            </w:pPr>
            <w:r/>
            <w:r>
              <w:rPr>
                <w:sz w:val="17"/>
              </w:rPr>
              <w:t>estimate</w:t>
            </w:r>
          </w:p>
        </w:tc>
        <w:tc>
          <w:tcPr>
            <w:tcW w:type="dxa" w:w="3762"/>
          </w:tcPr>
          <w:p>
            <w:pPr>
              <w:spacing w:after="20" w:before="20"/>
            </w:pPr>
            <w:r/>
            <w:r>
              <w:rPr>
                <w:sz w:val="17"/>
              </w:rPr>
              <w:t>Nominal only. Not a free parameter — the supervisor derives it per range as ṁ = P/(c</w:t>
            </w:r>
            <w:r>
              <w:rPr>
                <w:sz w:val="17"/>
                <w:vertAlign w:val="subscript"/>
              </w:rPr>
              <w:t>p</w:t>
            </w:r>
            <w:r>
              <w:rPr>
                <w:sz w:val="17"/>
              </w:rPr>
              <w:t>·ΔT</w:t>
            </w:r>
            <w:r>
              <w:rPr>
                <w:sz w:val="17"/>
                <w:vertAlign w:val="subscript"/>
              </w:rPr>
              <w:t>set</w:t>
            </w:r>
            <w:r>
              <w:rPr>
                <w:sz w:val="17"/>
              </w:rPr>
              <w:t>). This value is the 150 W / 10 K corner</w:t>
            </w:r>
          </w:p>
        </w:tc>
      </w:tr>
      <w:tr>
        <w:tc>
          <w:tcPr>
            <w:tcW w:type="dxa" w:w="2069"/>
          </w:tcPr>
          <w:p>
            <w:pPr>
              <w:spacing w:after="20" w:before="20"/>
            </w:pPr>
            <w:r/>
            <w:r>
              <w:rPr>
                <w:rFonts w:ascii="Consolas" w:hAnsi="Consolas"/>
                <w:sz w:val="17"/>
              </w:rPr>
              <w:t>ranges</w:t>
            </w:r>
          </w:p>
        </w:tc>
        <w:tc>
          <w:tcPr>
            <w:tcW w:type="dxa" w:w="2069"/>
          </w:tcPr>
          <w:p>
            <w:pPr>
              <w:spacing w:after="20" w:before="20"/>
            </w:pPr>
            <w:r/>
            <w:r>
              <w:rPr>
                <w:sz w:val="17"/>
              </w:rPr>
              <w:t>50 W → 5 K; 200 W → 10 K; 600 W → 25 K</w:t>
            </w:r>
          </w:p>
        </w:tc>
        <w:tc>
          <w:tcPr>
            <w:tcW w:type="dxa" w:w="1129"/>
          </w:tcPr>
          <w:p>
            <w:pPr>
              <w:spacing w:after="20" w:before="20"/>
            </w:pPr>
            <w:r/>
            <w:r>
              <w:rPr>
                <w:sz w:val="17"/>
              </w:rPr>
              <w:t>control</w:t>
            </w:r>
          </w:p>
        </w:tc>
        <w:tc>
          <w:tcPr>
            <w:tcW w:type="dxa" w:w="3762"/>
          </w:tcPr>
          <w:p>
            <w:pPr>
              <w:spacing w:after="20" w:before="20"/>
            </w:pPr>
            <w:r/>
            <w:r>
              <w:rPr>
                <w:sz w:val="17"/>
              </w:rPr>
              <w:t>The auto-ranging table</w:t>
            </w:r>
          </w:p>
        </w:tc>
      </w:tr>
      <w:tr>
        <w:tc>
          <w:tcPr>
            <w:tcW w:type="dxa" w:w="2069"/>
          </w:tcPr>
          <w:p>
            <w:pPr>
              <w:spacing w:after="20" w:before="20"/>
            </w:pPr>
            <w:r/>
            <w:r>
              <w:rPr>
                <w:rFonts w:ascii="Consolas" w:hAnsi="Consolas"/>
                <w:sz w:val="17"/>
              </w:rPr>
              <w:t>lambda_guard</w:t>
            </w:r>
          </w:p>
        </w:tc>
        <w:tc>
          <w:tcPr>
            <w:tcW w:type="dxa" w:w="2069"/>
          </w:tcPr>
          <w:p>
            <w:pPr>
              <w:spacing w:after="20" w:before="20"/>
            </w:pPr>
            <w:r/>
            <w:r>
              <w:rPr>
                <w:sz w:val="17"/>
              </w:rPr>
              <w:t>60 s</w:t>
            </w:r>
          </w:p>
        </w:tc>
        <w:tc>
          <w:tcPr>
            <w:tcW w:type="dxa" w:w="1129"/>
          </w:tcPr>
          <w:p>
            <w:pPr>
              <w:spacing w:after="20" w:before="20"/>
            </w:pPr>
            <w:r/>
            <w:r>
              <w:rPr>
                <w:sz w:val="17"/>
              </w:rPr>
              <w:t>control</w:t>
            </w:r>
          </w:p>
        </w:tc>
        <w:tc>
          <w:tcPr>
            <w:tcW w:type="dxa" w:w="3762"/>
          </w:tcPr>
          <w:p>
            <w:pPr>
              <w:spacing w:after="20" w:before="20"/>
            </w:pPr>
            <w:r/>
            <w:r>
              <w:rPr>
                <w:sz w:val="17"/>
              </w:rPr>
              <w:t>Guard closed-loop time constant</w:t>
            </w:r>
          </w:p>
        </w:tc>
      </w:tr>
      <w:tr>
        <w:tc>
          <w:tcPr>
            <w:tcW w:type="dxa" w:w="2069"/>
          </w:tcPr>
          <w:p>
            <w:pPr>
              <w:spacing w:after="20" w:before="20"/>
            </w:pPr>
            <w:r/>
            <w:r>
              <w:rPr>
                <w:rFonts w:ascii="Consolas" w:hAnsi="Consolas"/>
                <w:sz w:val="17"/>
              </w:rPr>
              <w:t>P_e_max</w:t>
            </w:r>
          </w:p>
        </w:tc>
        <w:tc>
          <w:tcPr>
            <w:tcW w:type="dxa" w:w="2069"/>
          </w:tcPr>
          <w:p>
            <w:pPr>
              <w:spacing w:after="20" w:before="20"/>
            </w:pPr>
            <w:r/>
            <w:r>
              <w:rPr>
                <w:sz w:val="17"/>
              </w:rPr>
              <w:t>100 W</w:t>
            </w:r>
          </w:p>
        </w:tc>
        <w:tc>
          <w:tcPr>
            <w:tcW w:type="dxa" w:w="1129"/>
          </w:tcPr>
          <w:p>
            <w:pPr>
              <w:spacing w:after="20" w:before="20"/>
            </w:pPr>
            <w:r/>
            <w:r>
              <w:rPr>
                <w:sz w:val="17"/>
              </w:rPr>
              <w:t>design pick</w:t>
            </w:r>
          </w:p>
        </w:tc>
        <w:tc>
          <w:tcPr>
            <w:tcW w:type="dxa" w:w="3762"/>
          </w:tcPr>
          <w:p>
            <w:pPr>
              <w:spacing w:after="20" w:before="20"/>
            </w:pPr>
            <w:r/>
            <w:r>
              <w:rPr>
                <w:sz w:val="17"/>
              </w:rPr>
              <w:t>Guard heater ceiling</w:t>
            </w:r>
          </w:p>
        </w:tc>
      </w:tr>
      <w:tr>
        <w:tc>
          <w:tcPr>
            <w:tcW w:type="dxa" w:w="2069"/>
          </w:tcPr>
          <w:p>
            <w:pPr>
              <w:spacing w:after="20" w:before="20"/>
            </w:pPr>
            <w:r/>
            <w:r>
              <w:rPr>
                <w:rFonts w:ascii="Consolas" w:hAnsi="Consolas"/>
                <w:sz w:val="17"/>
              </w:rPr>
              <w:t>P_acc</w:t>
            </w:r>
          </w:p>
        </w:tc>
        <w:tc>
          <w:tcPr>
            <w:tcW w:type="dxa" w:w="2069"/>
          </w:tcPr>
          <w:p>
            <w:pPr>
              <w:spacing w:after="20" w:before="20"/>
            </w:pPr>
            <w:r/>
            <w:r>
              <w:rPr>
                <w:sz w:val="17"/>
              </w:rPr>
              <w:t>1.0 W</w:t>
            </w:r>
          </w:p>
        </w:tc>
        <w:tc>
          <w:tcPr>
            <w:tcW w:type="dxa" w:w="1129"/>
          </w:tcPr>
          <w:p>
            <w:pPr>
              <w:spacing w:after="20" w:before="20"/>
            </w:pPr>
            <w:r/>
            <w:r>
              <w:rPr>
                <w:sz w:val="17"/>
              </w:rPr>
              <w:t>control</w:t>
            </w:r>
          </w:p>
        </w:tc>
        <w:tc>
          <w:tcPr>
            <w:tcW w:type="dxa" w:w="3762"/>
          </w:tcPr>
          <w:p>
            <w:pPr>
              <w:spacing w:after="20" w:before="20"/>
            </w:pPr>
            <w:r/>
            <w:r>
              <w:rPr>
                <w:sz w:val="17"/>
              </w:rPr>
              <w:t>Accuracy target</w:t>
            </w:r>
          </w:p>
        </w:tc>
      </w:tr>
      <w:tr>
        <w:tc>
          <w:tcPr>
            <w:tcW w:type="dxa" w:w="2069"/>
          </w:tcPr>
          <w:p>
            <w:pPr>
              <w:spacing w:after="20" w:before="20"/>
            </w:pPr>
            <w:r/>
            <w:r>
              <w:rPr>
                <w:rFonts w:ascii="Consolas" w:hAnsi="Consolas"/>
                <w:sz w:val="17"/>
              </w:rPr>
              <w:t>P_thr</w:t>
            </w:r>
          </w:p>
        </w:tc>
        <w:tc>
          <w:tcPr>
            <w:tcW w:type="dxa" w:w="2069"/>
          </w:tcPr>
          <w:p>
            <w:pPr>
              <w:spacing w:after="20" w:before="20"/>
            </w:pPr>
            <w:r/>
            <w:r>
              <w:rPr>
                <w:sz w:val="17"/>
              </w:rPr>
              <w:t>0.1 W</w:t>
            </w:r>
          </w:p>
        </w:tc>
        <w:tc>
          <w:tcPr>
            <w:tcW w:type="dxa" w:w="1129"/>
          </w:tcPr>
          <w:p>
            <w:pPr>
              <w:spacing w:after="20" w:before="20"/>
            </w:pPr>
            <w:r/>
            <w:r>
              <w:rPr>
                <w:sz w:val="17"/>
              </w:rPr>
              <w:t>control</w:t>
            </w:r>
          </w:p>
        </w:tc>
        <w:tc>
          <w:tcPr>
            <w:tcW w:type="dxa" w:w="3762"/>
          </w:tcPr>
          <w:p>
            <w:pPr>
              <w:spacing w:after="20" w:before="20"/>
            </w:pPr>
            <w:r/>
            <w:r>
              <w:rPr>
                <w:sz w:val="17"/>
              </w:rPr>
              <w:t>Residual threshold for the steady gate</w:t>
            </w:r>
          </w:p>
        </w:tc>
      </w:tr>
      <w:tr>
        <w:tc>
          <w:tcPr>
            <w:tcW w:type="dxa" w:w="2069"/>
          </w:tcPr>
          <w:p>
            <w:pPr>
              <w:spacing w:after="20" w:before="20"/>
            </w:pPr>
            <w:r/>
            <w:r>
              <w:rPr>
                <w:rFonts w:ascii="Consolas" w:hAnsi="Consolas"/>
                <w:sz w:val="17"/>
              </w:rPr>
              <w:t>sigma_pair_meter</w:t>
            </w:r>
            <w:r>
              <w:rPr>
                <w:sz w:val="17"/>
              </w:rPr>
              <w:t xml:space="preserve">, </w:t>
            </w:r>
            <w:r>
              <w:rPr>
                <w:rFonts w:ascii="Consolas" w:hAnsi="Consolas"/>
                <w:sz w:val="17"/>
              </w:rPr>
              <w:t>sigma_pair_guard</w:t>
            </w:r>
          </w:p>
        </w:tc>
        <w:tc>
          <w:tcPr>
            <w:tcW w:type="dxa" w:w="2069"/>
          </w:tcPr>
          <w:p>
            <w:pPr>
              <w:spacing w:after="20" w:before="20"/>
            </w:pPr>
            <w:r/>
            <w:r>
              <w:rPr>
                <w:sz w:val="17"/>
              </w:rPr>
              <w:t>20 mK each</w:t>
            </w:r>
          </w:p>
        </w:tc>
        <w:tc>
          <w:tcPr>
            <w:tcW w:type="dxa" w:w="1129"/>
          </w:tcPr>
          <w:p>
            <w:pPr>
              <w:spacing w:after="20" w:before="20"/>
            </w:pPr>
            <w:r/>
            <w:r>
              <w:rPr>
                <w:sz w:val="17"/>
              </w:rPr>
              <w:t>measurement</w:t>
            </w:r>
          </w:p>
        </w:tc>
        <w:tc>
          <w:tcPr>
            <w:tcW w:type="dxa" w:w="3762"/>
          </w:tcPr>
          <w:p>
            <w:pPr>
              <w:spacing w:after="20" w:before="20"/>
            </w:pPr>
            <w:r/>
            <w:r>
              <w:rPr>
                <w:sz w:val="17"/>
              </w:rPr>
              <w:t>Sensor-pair residuals after co-calibration</w:t>
            </w:r>
          </w:p>
        </w:tc>
      </w:tr>
      <w:tr>
        <w:tc>
          <w:tcPr>
            <w:tcW w:type="dxa" w:w="2069"/>
          </w:tcPr>
          <w:p>
            <w:pPr>
              <w:spacing w:after="20" w:before="20"/>
            </w:pPr>
            <w:r/>
            <w:r>
              <w:rPr>
                <w:rFonts w:ascii="Consolas" w:hAnsi="Consolas"/>
                <w:sz w:val="17"/>
              </w:rPr>
              <w:t>flow_cal_err</w:t>
            </w:r>
          </w:p>
        </w:tc>
        <w:tc>
          <w:tcPr>
            <w:tcW w:type="dxa" w:w="2069"/>
          </w:tcPr>
          <w:p>
            <w:pPr>
              <w:spacing w:after="20" w:before="20"/>
            </w:pPr>
            <w:r/>
            <w:r>
              <w:rPr>
                <w:sz w:val="17"/>
              </w:rPr>
              <w:t>0.5 %</w:t>
            </w:r>
          </w:p>
        </w:tc>
        <w:tc>
          <w:tcPr>
            <w:tcW w:type="dxa" w:w="1129"/>
          </w:tcPr>
          <w:p>
            <w:pPr>
              <w:spacing w:after="20" w:before="20"/>
            </w:pPr>
            <w:r/>
            <w:r>
              <w:rPr>
                <w:sz w:val="17"/>
              </w:rPr>
              <w:t>calibration</w:t>
            </w:r>
          </w:p>
        </w:tc>
        <w:tc>
          <w:tcPr>
            <w:tcW w:type="dxa" w:w="3762"/>
          </w:tcPr>
          <w:p>
            <w:pPr>
              <w:spacing w:after="20" w:before="20"/>
            </w:pPr>
            <w:r/>
            <w:r>
              <w:rPr>
                <w:sz w:val="17"/>
              </w:rPr>
              <w:t>Gravimetric flow calibration</w:t>
            </w:r>
          </w:p>
        </w:tc>
      </w:tr>
    </w:tbl>
    <w:p>
      <w:pPr>
        <w:spacing w:before="60" w:after="200"/>
        <w:jc w:val="left"/>
      </w:pPr>
      <w:r>
        <w:rPr>
          <w:i/>
          <w:sz w:val="18"/>
        </w:rPr>
        <w:t xml:space="preserve">Table 23. </w:t>
      </w:r>
      <w:r>
        <w:rPr>
          <w:rFonts w:ascii="Consolas" w:hAnsi="Consolas"/>
          <w:i/>
          <w:sz w:val="18"/>
        </w:rPr>
        <w:t>params.yaml</w:t>
      </w:r>
      <w:r>
        <w:rPr>
          <w:i/>
          <w:sz w:val="18"/>
        </w:rPr>
        <w:t>. Kind tags mark whether a number is a design choice, a material property, a control target, a sensor spec or a value that commissioning will replace.</w:t>
      </w:r>
    </w:p>
    <w:p>
      <w:pPr>
        <w:pStyle w:val="Heading2"/>
      </w:pPr>
      <w:r>
        <w:t>Code structure</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1935"/>
            <w:shd w:val="clear" w:color="auto" w:fill="DEEAF6"/>
          </w:tcPr>
          <w:p>
            <w:pPr>
              <w:spacing w:after="20" w:before="20"/>
            </w:pPr>
            <w:r/>
            <w:r>
              <w:rPr>
                <w:b/>
                <w:sz w:val="18"/>
              </w:rPr>
              <w:t>Function</w:t>
            </w:r>
          </w:p>
        </w:tc>
        <w:tc>
          <w:tcPr>
            <w:tcW w:type="dxa" w:w="7094"/>
            <w:shd w:val="clear" w:color="auto" w:fill="DEEAF6"/>
          </w:tcPr>
          <w:p>
            <w:pPr>
              <w:spacing w:after="20" w:before="20"/>
            </w:pPr>
            <w:r/>
            <w:r>
              <w:rPr>
                <w:b/>
                <w:sz w:val="18"/>
              </w:rPr>
              <w:t>What it does</w:t>
            </w:r>
          </w:p>
        </w:tc>
      </w:tr>
      <w:tr>
        <w:tc>
          <w:tcPr>
            <w:tcW w:type="dxa" w:w="1935"/>
          </w:tcPr>
          <w:p>
            <w:pPr>
              <w:spacing w:after="20" w:before="20"/>
            </w:pPr>
            <w:r/>
            <w:r>
              <w:rPr>
                <w:rFonts w:ascii="Consolas" w:hAnsi="Consolas"/>
                <w:sz w:val="18"/>
              </w:rPr>
              <w:t>build_matrices(mcp)</w:t>
            </w:r>
          </w:p>
        </w:tc>
        <w:tc>
          <w:tcPr>
            <w:tcW w:type="dxa" w:w="7094"/>
          </w:tcPr>
          <w:p>
            <w:pPr>
              <w:spacing w:after="20" w:before="20"/>
            </w:pPr>
            <w:r/>
            <w:r>
              <w:rPr>
                <w:sz w:val="18"/>
              </w:rPr>
              <w:t>Returns the six blocks at a frozen advection conductance. ṁ is bilinear — it multiplies a state — so the model is LTI only at a fixed flow, and a new plant is built per operating point.</w:t>
            </w:r>
          </w:p>
        </w:tc>
      </w:tr>
      <w:tr>
        <w:tc>
          <w:tcPr>
            <w:tcW w:type="dxa" w:w="1935"/>
          </w:tcPr>
          <w:p>
            <w:pPr>
              <w:spacing w:after="20" w:before="20"/>
            </w:pPr>
            <w:r/>
            <w:r>
              <w:rPr>
                <w:rFonts w:ascii="Consolas" w:hAnsi="Consolas"/>
                <w:sz w:val="18"/>
              </w:rPr>
              <w:t>audit(A, mcp)</w:t>
            </w:r>
          </w:p>
        </w:tc>
        <w:tc>
          <w:tcPr>
            <w:tcW w:type="dxa" w:w="7094"/>
          </w:tcPr>
          <w:p>
            <w:pPr>
              <w:spacing w:after="20" w:before="20"/>
            </w:pPr>
            <w:r/>
            <w:r>
              <w:rPr>
                <w:sz w:val="18"/>
              </w:rPr>
              <w:t xml:space="preserve">The seven structural assertions of Table 17. Runs on every plant build. Documented as </w:t>
            </w:r>
            <w:r>
              <w:rPr>
                <w:b/>
                <w:sz w:val="18"/>
              </w:rPr>
              <w:t>open-loop only</w:t>
            </w:r>
            <w:r>
              <w:rPr>
                <w:sz w:val="18"/>
              </w:rPr>
              <w:t>: the closed loop legitimately grows a complex pair, so running this on A</w:t>
            </w:r>
            <w:r>
              <w:rPr>
                <w:sz w:val="18"/>
                <w:vertAlign w:val="subscript"/>
              </w:rPr>
              <w:t>cl</w:t>
            </w:r>
            <w:r>
              <w:rPr>
                <w:sz w:val="18"/>
              </w:rPr>
              <w:t xml:space="preserve"> would fail for the wrong reason.</w:t>
            </w:r>
          </w:p>
        </w:tc>
      </w:tr>
      <w:tr>
        <w:tc>
          <w:tcPr>
            <w:tcW w:type="dxa" w:w="1935"/>
          </w:tcPr>
          <w:p>
            <w:pPr>
              <w:spacing w:after="20" w:before="20"/>
            </w:pPr>
            <w:r/>
            <w:r>
              <w:rPr>
                <w:rFonts w:ascii="Consolas" w:hAnsi="Consolas"/>
                <w:sz w:val="18"/>
              </w:rPr>
              <w:t>build_plant(mcp)</w:t>
            </w:r>
          </w:p>
        </w:tc>
        <w:tc>
          <w:tcPr>
            <w:tcW w:type="dxa" w:w="7094"/>
          </w:tcPr>
          <w:p>
            <w:pPr>
              <w:spacing w:after="20" w:before="20"/>
            </w:pPr>
            <w:r/>
            <w:r>
              <w:rPr>
                <w:sz w:val="18"/>
              </w:rPr>
              <w:t xml:space="preserve">Wraps the matrices as a named </w:t>
            </w:r>
            <w:r>
              <w:rPr>
                <w:rFonts w:ascii="Consolas" w:hAnsi="Consolas"/>
                <w:sz w:val="18"/>
              </w:rPr>
              <w:t>python-control</w:t>
            </w:r>
            <w:r>
              <w:rPr>
                <w:sz w:val="18"/>
              </w:rPr>
              <w:t xml:space="preserve"> state-space object, and asserts that ṁc</w:t>
            </w:r>
            <w:r>
              <w:rPr>
                <w:sz w:val="18"/>
                <w:vertAlign w:val="subscript"/>
              </w:rPr>
              <w:t>p</w:t>
            </w:r>
            <w:r>
              <w:rPr>
                <w:sz w:val="18"/>
              </w:rPr>
              <w:t xml:space="preserve"> is inside the design sweep — a units check that catches a flow entered in the wrong unit before it can produce plausible-looking nonsense.</w:t>
            </w:r>
          </w:p>
        </w:tc>
      </w:tr>
      <w:tr>
        <w:tc>
          <w:tcPr>
            <w:tcW w:type="dxa" w:w="1935"/>
          </w:tcPr>
          <w:p>
            <w:pPr>
              <w:spacing w:after="20" w:before="20"/>
            </w:pPr>
            <w:r/>
            <w:r>
              <w:rPr>
                <w:rFonts w:ascii="Consolas" w:hAnsi="Consolas"/>
                <w:sz w:val="18"/>
              </w:rPr>
              <w:t>modes(A)</w:t>
            </w:r>
          </w:p>
        </w:tc>
        <w:tc>
          <w:tcPr>
            <w:tcW w:type="dxa" w:w="7094"/>
          </w:tcPr>
          <w:p>
            <w:pPr>
              <w:spacing w:after="20" w:before="20"/>
            </w:pPr>
            <w:r/>
            <w:r>
              <w:rPr>
                <w:sz w:val="18"/>
              </w:rPr>
              <w:t>Eigenvalues as time constants, slowest first, each with its normalised eigenvector — Table 18.</w:t>
            </w:r>
          </w:p>
        </w:tc>
      </w:tr>
      <w:tr>
        <w:tc>
          <w:tcPr>
            <w:tcW w:type="dxa" w:w="1935"/>
          </w:tcPr>
          <w:p>
            <w:pPr>
              <w:spacing w:after="20" w:before="20"/>
            </w:pPr>
            <w:r/>
            <w:r>
              <w:rPr>
                <w:rFonts w:ascii="Consolas" w:hAnsi="Consolas"/>
                <w:sz w:val="18"/>
              </w:rPr>
              <w:t>GuardPI</w:t>
            </w:r>
          </w:p>
        </w:tc>
        <w:tc>
          <w:tcPr>
            <w:tcW w:type="dxa" w:w="7094"/>
          </w:tcPr>
          <w:p>
            <w:pPr>
              <w:spacing w:after="20" w:before="20"/>
            </w:pPr>
            <w:r/>
            <w:r>
              <w:rPr>
                <w:sz w:val="18"/>
              </w:rPr>
              <w:t xml:space="preserve">The controller: λ-tuned PI, output saturation with a floor of zero, and back-calculation anti-windup whose correction term is exactly zero when the output is not clipped. Gains are derived in </w:t>
            </w:r>
            <w:r>
              <w:rPr>
                <w:rFonts w:ascii="Consolas" w:hAnsi="Consolas"/>
                <w:sz w:val="18"/>
              </w:rPr>
              <w:t>__init__</w:t>
            </w:r>
            <w:r>
              <w:rPr>
                <w:sz w:val="18"/>
              </w:rPr>
              <w:t xml:space="preserve"> from the plant constants, not typed in.</w:t>
            </w:r>
          </w:p>
        </w:tc>
      </w:tr>
      <w:tr>
        <w:tc>
          <w:tcPr>
            <w:tcW w:type="dxa" w:w="1935"/>
          </w:tcPr>
          <w:p>
            <w:pPr>
              <w:spacing w:after="20" w:before="20"/>
            </w:pPr>
            <w:r/>
            <w:r>
              <w:rPr>
                <w:rFonts w:ascii="Consolas" w:hAnsi="Consolas"/>
                <w:sz w:val="18"/>
              </w:rPr>
              <w:t>simulate(...)</w:t>
            </w:r>
          </w:p>
        </w:tc>
        <w:tc>
          <w:tcPr>
            <w:tcW w:type="dxa" w:w="7094"/>
          </w:tcPr>
          <w:p>
            <w:pPr>
              <w:spacing w:after="20" w:before="20"/>
            </w:pPr>
            <w:r/>
            <w:r>
              <w:rPr>
                <w:sz w:val="18"/>
              </w:rPr>
              <w:t>Fixed-step RK4 over the 4-state system (3 plant states plus the guard integrator). Optionally pre-settles the rig with the DUT off for 30 000 s first, so t = 0 is a parked machine and the trace is a clean step response rather than a cold-start artefact. Returns a dictionary of named probe traces rebuilt from the stored trajectory.</w:t>
            </w:r>
          </w:p>
        </w:tc>
      </w:tr>
      <w:tr>
        <w:tc>
          <w:tcPr>
            <w:tcW w:type="dxa" w:w="1935"/>
          </w:tcPr>
          <w:p>
            <w:pPr>
              <w:spacing w:after="20" w:before="20"/>
            </w:pPr>
            <w:r/>
            <w:r>
              <w:rPr>
                <w:rFonts w:ascii="Consolas" w:hAnsi="Consolas"/>
                <w:sz w:val="18"/>
              </w:rPr>
              <w:t>demo_windup(...)</w:t>
            </w:r>
          </w:p>
        </w:tc>
        <w:tc>
          <w:tcPr>
            <w:tcW w:type="dxa" w:w="7094"/>
          </w:tcPr>
          <w:p>
            <w:pPr>
              <w:spacing w:after="20" w:before="20"/>
            </w:pPr>
            <w:r/>
            <w:r>
              <w:rPr>
                <w:sz w:val="18"/>
              </w:rPr>
              <w:t xml:space="preserve">Steps the load, then dumps it, at four actuator ceilings. The ceilings are </w:t>
            </w:r>
            <w:r>
              <w:rPr>
                <w:b/>
                <w:sz w:val="18"/>
              </w:rPr>
              <w:t>derived from the operating point</w:t>
            </w:r>
            <w:r>
              <w:rPr>
                <w:sz w:val="18"/>
              </w:rPr>
              <w:t xml:space="preserve"> rather than hard-coded, so the demonstration keeps its meaning when the power or ΔT is changed.</w:t>
            </w:r>
          </w:p>
        </w:tc>
      </w:tr>
    </w:tbl>
    <w:p>
      <w:pPr>
        <w:spacing w:before="60" w:after="200"/>
        <w:jc w:val="left"/>
      </w:pPr>
      <w:r>
        <w:rPr>
          <w:i/>
          <w:sz w:val="18"/>
        </w:rPr>
        <w:t>Table 24. The main entry points.</w:t>
      </w:r>
    </w:p>
    <w:p>
      <w:pPr>
        <w:pStyle w:val="Heading2"/>
      </w:pPr>
      <w:r>
        <w:t>The probe map</w:t>
      </w:r>
    </w:p>
    <w:p>
      <w:pPr>
        <w:spacing w:after="120"/>
      </w:pPr>
      <w:r>
        <w:t>Every signal the model exposes is rebuilt after integration and reported as a named probe, with its peak and its final value. The list is deliberately the same set of signals that the firmware will expose in telemetry, so that simulation traces and bench traces can be compared line for line.</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523"/>
            <w:shd w:val="clear" w:color="auto" w:fill="DEEAF6"/>
          </w:tcPr>
          <w:p>
            <w:pPr>
              <w:spacing w:after="20" w:before="20"/>
            </w:pPr>
            <w:r/>
            <w:r>
              <w:rPr>
                <w:b/>
                <w:sz w:val="17"/>
              </w:rPr>
              <w:t>Probe</w:t>
            </w:r>
          </w:p>
        </w:tc>
        <w:tc>
          <w:tcPr>
            <w:tcW w:type="dxa" w:w="2393"/>
            <w:shd w:val="clear" w:color="auto" w:fill="DEEAF6"/>
          </w:tcPr>
          <w:p>
            <w:pPr>
              <w:spacing w:after="20" w:before="20"/>
            </w:pPr>
            <w:r/>
            <w:r>
              <w:rPr>
                <w:b/>
                <w:sz w:val="17"/>
              </w:rPr>
              <w:t>Expression</w:t>
            </w:r>
          </w:p>
        </w:tc>
        <w:tc>
          <w:tcPr>
            <w:tcW w:type="dxa" w:w="4351"/>
            <w:shd w:val="clear" w:color="auto" w:fill="DEEAF6"/>
          </w:tcPr>
          <w:p>
            <w:pPr>
              <w:spacing w:after="20" w:before="20"/>
            </w:pPr>
            <w:r/>
            <w:r>
              <w:rPr>
                <w:b/>
                <w:sz w:val="17"/>
              </w:rPr>
              <w:t>What it tells you</w:t>
            </w:r>
          </w:p>
        </w:tc>
        <w:tc>
          <w:tcPr>
            <w:tcW w:type="dxa" w:w="761"/>
            <w:shd w:val="clear" w:color="auto" w:fill="DEEAF6"/>
          </w:tcPr>
          <w:p>
            <w:pPr>
              <w:spacing w:after="20" w:before="20"/>
            </w:pPr>
            <w:r/>
            <w:r>
              <w:rPr>
                <w:b/>
                <w:sz w:val="17"/>
              </w:rPr>
              <w:t>Unit</w:t>
            </w:r>
          </w:p>
        </w:tc>
      </w:tr>
      <w:tr>
        <w:tc>
          <w:tcPr>
            <w:tcW w:type="dxa" w:w="1523"/>
          </w:tcPr>
          <w:p>
            <w:pPr>
              <w:spacing w:after="20" w:before="20"/>
            </w:pPr>
            <w:r/>
            <w:r>
              <w:rPr>
                <w:rFonts w:ascii="Consolas" w:hAnsi="Consolas"/>
                <w:sz w:val="17"/>
              </w:rPr>
              <w:t>P_meas</w:t>
            </w:r>
          </w:p>
        </w:tc>
        <w:tc>
          <w:tcPr>
            <w:tcW w:type="dxa" w:w="2393"/>
          </w:tcPr>
          <w:p>
            <w:pPr>
              <w:spacing w:after="20" w:before="20"/>
            </w:pPr>
            <w:r/>
            <w:r>
              <w:rPr>
                <w:sz w:val="17"/>
              </w:rPr>
              <w:t>ṁc</w:t>
            </w:r>
            <w:r>
              <w:rPr>
                <w:sz w:val="17"/>
                <w:vertAlign w:val="subscript"/>
              </w:rPr>
              <w:t>p</w:t>
            </w:r>
            <w:r>
              <w:rPr>
                <w:sz w:val="17"/>
              </w:rPr>
              <w:t>·(θ</w:t>
            </w:r>
            <w:r>
              <w:rPr>
                <w:sz w:val="17"/>
                <w:vertAlign w:val="subscript"/>
              </w:rPr>
              <w:t>w</w:t>
            </w:r>
            <w:r>
              <w:rPr>
                <w:sz w:val="17"/>
              </w:rPr>
              <w:t xml:space="preserve"> − θ</w:t>
            </w:r>
            <w:r>
              <w:rPr>
                <w:sz w:val="17"/>
                <w:vertAlign w:val="subscript"/>
              </w:rPr>
              <w:t>rail</w:t>
            </w:r>
            <w:r>
              <w:rPr>
                <w:sz w:val="17"/>
              </w:rPr>
              <w:t>) − P</w:t>
            </w:r>
            <w:r>
              <w:rPr>
                <w:sz w:val="17"/>
                <w:vertAlign w:val="subscript"/>
              </w:rPr>
              <w:t>aux</w:t>
            </w:r>
          </w:p>
        </w:tc>
        <w:tc>
          <w:tcPr>
            <w:tcW w:type="dxa" w:w="4351"/>
          </w:tcPr>
          <w:p>
            <w:pPr>
              <w:spacing w:after="20" w:before="20"/>
            </w:pPr>
            <w:r/>
            <w:r>
              <w:rPr>
                <w:sz w:val="17"/>
              </w:rPr>
              <w:t>The reported reading</w:t>
            </w:r>
          </w:p>
        </w:tc>
        <w:tc>
          <w:tcPr>
            <w:tcW w:type="dxa" w:w="761"/>
          </w:tcPr>
          <w:p>
            <w:pPr>
              <w:spacing w:after="20" w:before="20"/>
            </w:pPr>
            <w:r/>
            <w:r>
              <w:rPr>
                <w:sz w:val="17"/>
              </w:rPr>
              <w:t>W</w:t>
            </w:r>
          </w:p>
        </w:tc>
      </w:tr>
      <w:tr>
        <w:tc>
          <w:tcPr>
            <w:tcW w:type="dxa" w:w="1523"/>
          </w:tcPr>
          <w:p>
            <w:pPr>
              <w:spacing w:after="20" w:before="20"/>
            </w:pPr>
            <w:r/>
            <w:r>
              <w:rPr>
                <w:rFonts w:ascii="Consolas" w:hAnsi="Consolas"/>
                <w:sz w:val="17"/>
              </w:rPr>
              <w:t>eps</w:t>
            </w:r>
          </w:p>
        </w:tc>
        <w:tc>
          <w:tcPr>
            <w:tcW w:type="dxa" w:w="2393"/>
          </w:tcPr>
          <w:p>
            <w:pPr>
              <w:spacing w:after="20" w:before="20"/>
            </w:pPr>
            <w:r/>
            <w:r>
              <w:rPr>
                <w:sz w:val="17"/>
              </w:rPr>
              <w:t>P</w:t>
            </w:r>
            <w:r>
              <w:rPr>
                <w:sz w:val="17"/>
                <w:vertAlign w:val="subscript"/>
              </w:rPr>
              <w:t>meas</w:t>
            </w:r>
            <w:r>
              <w:rPr>
                <w:sz w:val="17"/>
              </w:rPr>
              <w:t xml:space="preserve"> − P</w:t>
            </w:r>
            <w:r>
              <w:rPr>
                <w:sz w:val="17"/>
                <w:vertAlign w:val="subscript"/>
              </w:rPr>
              <w:t>DUT</w:t>
            </w:r>
          </w:p>
        </w:tc>
        <w:tc>
          <w:tcPr>
            <w:tcW w:type="dxa" w:w="4351"/>
          </w:tcPr>
          <w:p>
            <w:pPr>
              <w:spacing w:after="20" w:before="20"/>
            </w:pPr>
            <w:r/>
            <w:r>
              <w:rPr>
                <w:b/>
                <w:sz w:val="17"/>
              </w:rPr>
              <w:t>The error trace — the reason to build the model at all</w:t>
            </w:r>
          </w:p>
        </w:tc>
        <w:tc>
          <w:tcPr>
            <w:tcW w:type="dxa" w:w="761"/>
          </w:tcPr>
          <w:p>
            <w:pPr>
              <w:spacing w:after="20" w:before="20"/>
            </w:pPr>
            <w:r/>
            <w:r>
              <w:rPr>
                <w:sz w:val="17"/>
              </w:rPr>
              <w:t>W</w:t>
            </w:r>
          </w:p>
        </w:tc>
      </w:tr>
      <w:tr>
        <w:tc>
          <w:tcPr>
            <w:tcW w:type="dxa" w:w="1523"/>
          </w:tcPr>
          <w:p>
            <w:pPr>
              <w:spacing w:after="20" w:before="20"/>
            </w:pPr>
            <w:r/>
            <w:r>
              <w:rPr>
                <w:rFonts w:ascii="Consolas" w:hAnsi="Consolas"/>
                <w:sz w:val="17"/>
              </w:rPr>
              <w:t>e</w:t>
            </w:r>
          </w:p>
        </w:tc>
        <w:tc>
          <w:tcPr>
            <w:tcW w:type="dxa" w:w="2393"/>
          </w:tcPr>
          <w:p>
            <w:pPr>
              <w:spacing w:after="20" w:before="20"/>
            </w:pPr>
            <w:r/>
            <w:r>
              <w:rPr>
                <w:sz w:val="17"/>
              </w:rPr>
              <w:t>θ</w:t>
            </w:r>
            <w:r>
              <w:rPr>
                <w:sz w:val="17"/>
                <w:vertAlign w:val="subscript"/>
              </w:rPr>
              <w:t>i</w:t>
            </w:r>
            <w:r>
              <w:rPr>
                <w:sz w:val="17"/>
              </w:rPr>
              <w:t xml:space="preserve"> − θ</w:t>
            </w:r>
            <w:r>
              <w:rPr>
                <w:sz w:val="17"/>
                <w:vertAlign w:val="subscript"/>
              </w:rPr>
              <w:t>e</w:t>
            </w:r>
          </w:p>
        </w:tc>
        <w:tc>
          <w:tcPr>
            <w:tcW w:type="dxa" w:w="4351"/>
          </w:tcPr>
          <w:p>
            <w:pPr>
              <w:spacing w:after="20" w:before="20"/>
            </w:pPr>
            <w:r/>
            <w:r>
              <w:rPr>
                <w:sz w:val="17"/>
              </w:rPr>
              <w:t>The null error the guard controller acts on</w:t>
            </w:r>
          </w:p>
        </w:tc>
        <w:tc>
          <w:tcPr>
            <w:tcW w:type="dxa" w:w="761"/>
          </w:tcPr>
          <w:p>
            <w:pPr>
              <w:spacing w:after="20" w:before="20"/>
            </w:pPr>
            <w:r/>
            <w:r>
              <w:rPr>
                <w:sz w:val="17"/>
              </w:rPr>
              <w:t>K</w:t>
            </w:r>
          </w:p>
        </w:tc>
      </w:tr>
      <w:tr>
        <w:tc>
          <w:tcPr>
            <w:tcW w:type="dxa" w:w="1523"/>
          </w:tcPr>
          <w:p>
            <w:pPr>
              <w:spacing w:after="20" w:before="20"/>
            </w:pPr>
            <w:r/>
            <w:r>
              <w:rPr>
                <w:rFonts w:ascii="Consolas" w:hAnsi="Consolas"/>
                <w:sz w:val="17"/>
              </w:rPr>
              <w:t>P_leak</w:t>
            </w:r>
          </w:p>
        </w:tc>
        <w:tc>
          <w:tcPr>
            <w:tcW w:type="dxa" w:w="2393"/>
          </w:tcPr>
          <w:p>
            <w:pPr>
              <w:spacing w:after="20" w:before="20"/>
            </w:pPr>
            <w:r/>
            <w:r>
              <w:rPr>
                <w:sz w:val="17"/>
              </w:rPr>
              <w:t>G</w:t>
            </w:r>
            <w:r>
              <w:rPr>
                <w:sz w:val="17"/>
                <w:vertAlign w:val="subscript"/>
              </w:rPr>
              <w:t>gap</w:t>
            </w:r>
            <w:r>
              <w:rPr>
                <w:sz w:val="17"/>
              </w:rPr>
              <w:t>·e</w:t>
            </w:r>
          </w:p>
        </w:tc>
        <w:tc>
          <w:tcPr>
            <w:tcW w:type="dxa" w:w="4351"/>
          </w:tcPr>
          <w:p>
            <w:pPr>
              <w:spacing w:after="20" w:before="20"/>
            </w:pPr>
            <w:r/>
            <w:r>
              <w:rPr>
                <w:sz w:val="17"/>
              </w:rPr>
              <w:t>The leak, in watts</w:t>
            </w:r>
          </w:p>
        </w:tc>
        <w:tc>
          <w:tcPr>
            <w:tcW w:type="dxa" w:w="761"/>
          </w:tcPr>
          <w:p>
            <w:pPr>
              <w:spacing w:after="20" w:before="20"/>
            </w:pPr>
            <w:r/>
            <w:r>
              <w:rPr>
                <w:sz w:val="17"/>
              </w:rPr>
              <w:t>W</w:t>
            </w:r>
          </w:p>
        </w:tc>
      </w:tr>
      <w:tr>
        <w:tc>
          <w:tcPr>
            <w:tcW w:type="dxa" w:w="1523"/>
          </w:tcPr>
          <w:p>
            <w:pPr>
              <w:spacing w:after="20" w:before="20"/>
            </w:pPr>
            <w:r/>
            <w:r>
              <w:rPr>
                <w:rFonts w:ascii="Consolas" w:hAnsi="Consolas"/>
                <w:sz w:val="17"/>
              </w:rPr>
              <w:t>P_e</w:t>
            </w:r>
          </w:p>
        </w:tc>
        <w:tc>
          <w:tcPr>
            <w:tcW w:type="dxa" w:w="2393"/>
          </w:tcPr>
          <w:p>
            <w:pPr>
              <w:spacing w:after="20" w:before="20"/>
            </w:pPr>
            <w:r/>
            <w:r>
              <w:rPr>
                <w:sz w:val="17"/>
              </w:rPr>
              <w:t>Controller output after the limiter</w:t>
            </w:r>
          </w:p>
        </w:tc>
        <w:tc>
          <w:tcPr>
            <w:tcW w:type="dxa" w:w="4351"/>
          </w:tcPr>
          <w:p>
            <w:pPr>
              <w:spacing w:after="20" w:before="20"/>
            </w:pPr>
            <w:r/>
            <w:r>
              <w:rPr>
                <w:sz w:val="17"/>
              </w:rPr>
              <w:t>Actuator demand against its ceiling</w:t>
            </w:r>
          </w:p>
        </w:tc>
        <w:tc>
          <w:tcPr>
            <w:tcW w:type="dxa" w:w="761"/>
          </w:tcPr>
          <w:p>
            <w:pPr>
              <w:spacing w:after="20" w:before="20"/>
            </w:pPr>
            <w:r/>
            <w:r>
              <w:rPr>
                <w:sz w:val="17"/>
              </w:rPr>
              <w:t>W</w:t>
            </w:r>
          </w:p>
        </w:tc>
      </w:tr>
      <w:tr>
        <w:tc>
          <w:tcPr>
            <w:tcW w:type="dxa" w:w="1523"/>
          </w:tcPr>
          <w:p>
            <w:pPr>
              <w:spacing w:after="20" w:before="20"/>
            </w:pPr>
            <w:r/>
            <w:r>
              <w:rPr>
                <w:rFonts w:ascii="Consolas" w:hAnsi="Consolas"/>
                <w:sz w:val="17"/>
              </w:rPr>
              <w:t>v</w:t>
            </w:r>
          </w:p>
        </w:tc>
        <w:tc>
          <w:tcPr>
            <w:tcW w:type="dxa" w:w="2393"/>
          </w:tcPr>
          <w:p>
            <w:pPr>
              <w:spacing w:after="20" w:before="20"/>
            </w:pPr>
            <w:r/>
            <w:r>
              <w:rPr>
                <w:sz w:val="17"/>
              </w:rPr>
              <w:t>Controller output before the limiter</w:t>
            </w:r>
          </w:p>
        </w:tc>
        <w:tc>
          <w:tcPr>
            <w:tcW w:type="dxa" w:w="4351"/>
          </w:tcPr>
          <w:p>
            <w:pPr>
              <w:spacing w:after="20" w:before="20"/>
            </w:pPr>
            <w:r/>
            <w:r>
              <w:rPr>
                <w:sz w:val="17"/>
              </w:rPr>
              <w:t>Saturation shows up as v ≠ P</w:t>
            </w:r>
            <w:r>
              <w:rPr>
                <w:sz w:val="17"/>
                <w:vertAlign w:val="subscript"/>
              </w:rPr>
              <w:t>e</w:t>
            </w:r>
          </w:p>
        </w:tc>
        <w:tc>
          <w:tcPr>
            <w:tcW w:type="dxa" w:w="761"/>
          </w:tcPr>
          <w:p>
            <w:pPr>
              <w:spacing w:after="20" w:before="20"/>
            </w:pPr>
            <w:r/>
            <w:r>
              <w:rPr>
                <w:sz w:val="17"/>
              </w:rPr>
              <w:t>W</w:t>
            </w:r>
          </w:p>
        </w:tc>
      </w:tr>
      <w:tr>
        <w:tc>
          <w:tcPr>
            <w:tcW w:type="dxa" w:w="1523"/>
          </w:tcPr>
          <w:p>
            <w:pPr>
              <w:spacing w:after="20" w:before="20"/>
            </w:pPr>
            <w:r/>
            <w:r>
              <w:rPr>
                <w:rFonts w:ascii="Consolas" w:hAnsi="Consolas"/>
                <w:sz w:val="17"/>
              </w:rPr>
              <w:t>P_rad</w:t>
            </w:r>
          </w:p>
        </w:tc>
        <w:tc>
          <w:tcPr>
            <w:tcW w:type="dxa" w:w="2393"/>
          </w:tcPr>
          <w:p>
            <w:pPr>
              <w:spacing w:after="20" w:before="20"/>
            </w:pPr>
            <w:r/>
            <w:r>
              <w:rPr>
                <w:sz w:val="17"/>
              </w:rPr>
              <w:t>UA</w:t>
            </w:r>
            <w:r>
              <w:rPr>
                <w:sz w:val="17"/>
                <w:vertAlign w:val="subscript"/>
              </w:rPr>
              <w:t>rad</w:t>
            </w:r>
            <w:r>
              <w:rPr>
                <w:sz w:val="17"/>
              </w:rPr>
              <w:t>·(θ</w:t>
            </w:r>
            <w:r>
              <w:rPr>
                <w:sz w:val="17"/>
                <w:vertAlign w:val="subscript"/>
              </w:rPr>
              <w:t>i</w:t>
            </w:r>
            <w:r>
              <w:rPr>
                <w:sz w:val="17"/>
              </w:rPr>
              <w:t xml:space="preserve"> − θ</w:t>
            </w:r>
            <w:r>
              <w:rPr>
                <w:sz w:val="17"/>
                <w:vertAlign w:val="subscript"/>
              </w:rPr>
              <w:t>w</w:t>
            </w:r>
            <w:r>
              <w:rPr>
                <w:sz w:val="17"/>
              </w:rPr>
              <w:t>)</w:t>
            </w:r>
          </w:p>
        </w:tc>
        <w:tc>
          <w:tcPr>
            <w:tcW w:type="dxa" w:w="4351"/>
          </w:tcPr>
          <w:p>
            <w:pPr>
              <w:spacing w:after="20" w:before="20"/>
            </w:pPr>
            <w:r/>
            <w:r>
              <w:rPr>
                <w:sz w:val="17"/>
              </w:rPr>
              <w:t>Watts crossing the pickup radiator</w:t>
            </w:r>
          </w:p>
        </w:tc>
        <w:tc>
          <w:tcPr>
            <w:tcW w:type="dxa" w:w="761"/>
          </w:tcPr>
          <w:p>
            <w:pPr>
              <w:spacing w:after="20" w:before="20"/>
            </w:pPr>
            <w:r/>
            <w:r>
              <w:rPr>
                <w:sz w:val="17"/>
              </w:rPr>
              <w:t>W</w:t>
            </w:r>
          </w:p>
        </w:tc>
      </w:tr>
      <w:tr>
        <w:tc>
          <w:tcPr>
            <w:tcW w:type="dxa" w:w="1523"/>
          </w:tcPr>
          <w:p>
            <w:pPr>
              <w:spacing w:after="20" w:before="20"/>
            </w:pPr>
            <w:r/>
            <w:r>
              <w:rPr>
                <w:rFonts w:ascii="Consolas" w:hAnsi="Consolas"/>
                <w:sz w:val="17"/>
              </w:rPr>
              <w:t>P_adv</w:t>
            </w:r>
          </w:p>
        </w:tc>
        <w:tc>
          <w:tcPr>
            <w:tcW w:type="dxa" w:w="2393"/>
          </w:tcPr>
          <w:p>
            <w:pPr>
              <w:spacing w:after="20" w:before="20"/>
            </w:pPr>
            <w:r/>
            <w:r>
              <w:rPr>
                <w:sz w:val="17"/>
              </w:rPr>
              <w:t>ṁc</w:t>
            </w:r>
            <w:r>
              <w:rPr>
                <w:sz w:val="17"/>
                <w:vertAlign w:val="subscript"/>
              </w:rPr>
              <w:t>p</w:t>
            </w:r>
            <w:r>
              <w:rPr>
                <w:sz w:val="17"/>
              </w:rPr>
              <w:t>·(θ</w:t>
            </w:r>
            <w:r>
              <w:rPr>
                <w:sz w:val="17"/>
                <w:vertAlign w:val="subscript"/>
              </w:rPr>
              <w:t>w</w:t>
            </w:r>
            <w:r>
              <w:rPr>
                <w:sz w:val="17"/>
              </w:rPr>
              <w:t xml:space="preserve"> − θ</w:t>
            </w:r>
            <w:r>
              <w:rPr>
                <w:sz w:val="17"/>
                <w:vertAlign w:val="subscript"/>
              </w:rPr>
              <w:t>rail</w:t>
            </w:r>
            <w:r>
              <w:rPr>
                <w:sz w:val="17"/>
              </w:rPr>
              <w:t>)</w:t>
            </w:r>
          </w:p>
        </w:tc>
        <w:tc>
          <w:tcPr>
            <w:tcW w:type="dxa" w:w="4351"/>
          </w:tcPr>
          <w:p>
            <w:pPr>
              <w:spacing w:after="20" w:before="20"/>
            </w:pPr>
            <w:r/>
            <w:r>
              <w:rPr>
                <w:sz w:val="17"/>
              </w:rPr>
              <w:t>Watts carried by the flow</w:t>
            </w:r>
          </w:p>
        </w:tc>
        <w:tc>
          <w:tcPr>
            <w:tcW w:type="dxa" w:w="761"/>
          </w:tcPr>
          <w:p>
            <w:pPr>
              <w:spacing w:after="20" w:before="20"/>
            </w:pPr>
            <w:r/>
            <w:r>
              <w:rPr>
                <w:sz w:val="17"/>
              </w:rPr>
              <w:t>W</w:t>
            </w:r>
          </w:p>
        </w:tc>
      </w:tr>
      <w:tr>
        <w:tc>
          <w:tcPr>
            <w:tcW w:type="dxa" w:w="1523"/>
          </w:tcPr>
          <w:p>
            <w:pPr>
              <w:spacing w:after="20" w:before="20"/>
            </w:pPr>
            <w:r/>
            <w:r>
              <w:rPr>
                <w:rFonts w:ascii="Consolas" w:hAnsi="Consolas"/>
                <w:sz w:val="17"/>
              </w:rPr>
              <w:t>P_out</w:t>
            </w:r>
          </w:p>
        </w:tc>
        <w:tc>
          <w:tcPr>
            <w:tcW w:type="dxa" w:w="2393"/>
          </w:tcPr>
          <w:p>
            <w:pPr>
              <w:spacing w:after="20" w:before="20"/>
            </w:pPr>
            <w:r/>
            <w:r>
              <w:rPr>
                <w:sz w:val="17"/>
              </w:rPr>
              <w:t>G</w:t>
            </w:r>
            <w:r>
              <w:rPr>
                <w:sz w:val="17"/>
                <w:vertAlign w:val="subscript"/>
              </w:rPr>
              <w:t>out</w:t>
            </w:r>
            <w:r>
              <w:rPr>
                <w:sz w:val="17"/>
              </w:rPr>
              <w:t>·θ</w:t>
            </w:r>
            <w:r>
              <w:rPr>
                <w:sz w:val="17"/>
                <w:vertAlign w:val="subscript"/>
              </w:rPr>
              <w:t>e</w:t>
            </w:r>
          </w:p>
        </w:tc>
        <w:tc>
          <w:tcPr>
            <w:tcW w:type="dxa" w:w="4351"/>
          </w:tcPr>
          <w:p>
            <w:pPr>
              <w:spacing w:after="20" w:before="20"/>
            </w:pPr>
            <w:r/>
            <w:r>
              <w:rPr>
                <w:sz w:val="17"/>
              </w:rPr>
              <w:t>Watts lost to ambient — unmetered</w:t>
            </w:r>
          </w:p>
        </w:tc>
        <w:tc>
          <w:tcPr>
            <w:tcW w:type="dxa" w:w="761"/>
          </w:tcPr>
          <w:p>
            <w:pPr>
              <w:spacing w:after="20" w:before="20"/>
            </w:pPr>
            <w:r/>
            <w:r>
              <w:rPr>
                <w:sz w:val="17"/>
              </w:rPr>
              <w:t>W</w:t>
            </w:r>
          </w:p>
        </w:tc>
      </w:tr>
      <w:tr>
        <w:tc>
          <w:tcPr>
            <w:tcW w:type="dxa" w:w="1523"/>
          </w:tcPr>
          <w:p>
            <w:pPr>
              <w:spacing w:after="20" w:before="20"/>
            </w:pPr>
            <w:r/>
            <w:r>
              <w:rPr>
                <w:rFonts w:ascii="Consolas" w:hAnsi="Consolas"/>
                <w:sz w:val="17"/>
              </w:rPr>
              <w:t>dT_w</w:t>
            </w:r>
          </w:p>
        </w:tc>
        <w:tc>
          <w:tcPr>
            <w:tcW w:type="dxa" w:w="2393"/>
          </w:tcPr>
          <w:p>
            <w:pPr>
              <w:spacing w:after="20" w:before="20"/>
            </w:pPr>
            <w:r/>
            <w:r>
              <w:rPr>
                <w:sz w:val="17"/>
              </w:rPr>
              <w:t>θ</w:t>
            </w:r>
            <w:r>
              <w:rPr>
                <w:sz w:val="17"/>
                <w:vertAlign w:val="subscript"/>
              </w:rPr>
              <w:t>w</w:t>
            </w:r>
            <w:r>
              <w:rPr>
                <w:sz w:val="17"/>
              </w:rPr>
              <w:t xml:space="preserve"> − θ</w:t>
            </w:r>
            <w:r>
              <w:rPr>
                <w:sz w:val="17"/>
                <w:vertAlign w:val="subscript"/>
              </w:rPr>
              <w:t>rail</w:t>
            </w:r>
          </w:p>
        </w:tc>
        <w:tc>
          <w:tcPr>
            <w:tcW w:type="dxa" w:w="4351"/>
          </w:tcPr>
          <w:p>
            <w:pPr>
              <w:spacing w:after="20" w:before="20"/>
            </w:pPr>
            <w:r/>
            <w:r>
              <w:rPr>
                <w:sz w:val="17"/>
              </w:rPr>
              <w:t>The auto-range variable</w:t>
            </w:r>
          </w:p>
        </w:tc>
        <w:tc>
          <w:tcPr>
            <w:tcW w:type="dxa" w:w="761"/>
          </w:tcPr>
          <w:p>
            <w:pPr>
              <w:spacing w:after="20" w:before="20"/>
            </w:pPr>
            <w:r/>
            <w:r>
              <w:rPr>
                <w:sz w:val="17"/>
              </w:rPr>
              <w:t>K</w:t>
            </w:r>
          </w:p>
        </w:tc>
      </w:tr>
      <w:tr>
        <w:tc>
          <w:tcPr>
            <w:tcW w:type="dxa" w:w="1523"/>
          </w:tcPr>
          <w:p>
            <w:pPr>
              <w:spacing w:after="20" w:before="20"/>
            </w:pPr>
            <w:r/>
            <w:r>
              <w:rPr>
                <w:rFonts w:ascii="Consolas" w:hAnsi="Consolas"/>
                <w:sz w:val="17"/>
              </w:rPr>
              <w:t>th_i</w:t>
            </w:r>
            <w:r>
              <w:rPr>
                <w:sz w:val="17"/>
              </w:rPr>
              <w:t xml:space="preserve">, </w:t>
            </w:r>
            <w:r>
              <w:rPr>
                <w:rFonts w:ascii="Consolas" w:hAnsi="Consolas"/>
                <w:sz w:val="17"/>
              </w:rPr>
              <w:t>th_w</w:t>
            </w:r>
            <w:r>
              <w:rPr>
                <w:sz w:val="17"/>
              </w:rPr>
              <w:t xml:space="preserve">, </w:t>
            </w:r>
            <w:r>
              <w:rPr>
                <w:rFonts w:ascii="Consolas" w:hAnsi="Consolas"/>
                <w:sz w:val="17"/>
              </w:rPr>
              <w:t>th_e</w:t>
            </w:r>
          </w:p>
        </w:tc>
        <w:tc>
          <w:tcPr>
            <w:tcW w:type="dxa" w:w="2393"/>
          </w:tcPr>
          <w:p>
            <w:pPr>
              <w:spacing w:after="20" w:before="20"/>
            </w:pPr>
            <w:r/>
            <w:r>
              <w:rPr>
                <w:sz w:val="17"/>
              </w:rPr>
              <w:t>States</w:t>
            </w:r>
          </w:p>
        </w:tc>
        <w:tc>
          <w:tcPr>
            <w:tcW w:type="dxa" w:w="4351"/>
          </w:tcPr>
          <w:p>
            <w:pPr>
              <w:spacing w:after="20" w:before="20"/>
            </w:pPr>
            <w:r/>
            <w:r>
              <w:rPr>
                <w:sz w:val="17"/>
              </w:rPr>
              <w:t>Node temperatures above ambient</w:t>
            </w:r>
          </w:p>
        </w:tc>
        <w:tc>
          <w:tcPr>
            <w:tcW w:type="dxa" w:w="761"/>
          </w:tcPr>
          <w:p>
            <w:pPr>
              <w:spacing w:after="20" w:before="20"/>
            </w:pPr>
            <w:r/>
            <w:r>
              <w:rPr>
                <w:sz w:val="17"/>
              </w:rPr>
              <w:t>K</w:t>
            </w:r>
          </w:p>
        </w:tc>
      </w:tr>
      <w:tr>
        <w:tc>
          <w:tcPr>
            <w:tcW w:type="dxa" w:w="1523"/>
          </w:tcPr>
          <w:p>
            <w:pPr>
              <w:spacing w:after="20" w:before="20"/>
            </w:pPr>
            <w:r/>
            <w:r>
              <w:rPr>
                <w:rFonts w:ascii="Consolas" w:hAnsi="Consolas"/>
                <w:sz w:val="17"/>
              </w:rPr>
              <w:t>x_I</w:t>
            </w:r>
          </w:p>
        </w:tc>
        <w:tc>
          <w:tcPr>
            <w:tcW w:type="dxa" w:w="2393"/>
          </w:tcPr>
          <w:p>
            <w:pPr>
              <w:spacing w:after="20" w:before="20"/>
            </w:pPr>
            <w:r/>
            <w:r>
              <w:rPr>
                <w:sz w:val="17"/>
              </w:rPr>
              <w:t>Guard integrator state</w:t>
            </w:r>
          </w:p>
        </w:tc>
        <w:tc>
          <w:tcPr>
            <w:tcW w:type="dxa" w:w="4351"/>
          </w:tcPr>
          <w:p>
            <w:pPr>
              <w:spacing w:after="20" w:before="20"/>
            </w:pPr>
            <w:r/>
            <w:r>
              <w:rPr>
                <w:sz w:val="17"/>
              </w:rPr>
              <w:t>Windup detector</w:t>
            </w:r>
          </w:p>
        </w:tc>
        <w:tc>
          <w:tcPr>
            <w:tcW w:type="dxa" w:w="761"/>
          </w:tcPr>
          <w:p>
            <w:pPr>
              <w:spacing w:after="20" w:before="20"/>
            </w:pPr>
            <w:r/>
            <w:r>
              <w:rPr>
                <w:sz w:val="17"/>
              </w:rPr>
              <w:t>K·s</w:t>
            </w:r>
          </w:p>
        </w:tc>
      </w:tr>
      <w:tr>
        <w:tc>
          <w:tcPr>
            <w:tcW w:type="dxa" w:w="1523"/>
          </w:tcPr>
          <w:p>
            <w:pPr>
              <w:spacing w:after="20" w:before="20"/>
            </w:pPr>
            <w:r/>
            <w:r>
              <w:rPr>
                <w:rFonts w:ascii="Consolas" w:hAnsi="Consolas"/>
                <w:sz w:val="17"/>
              </w:rPr>
              <w:t>sat_hi</w:t>
            </w:r>
            <w:r>
              <w:rPr>
                <w:sz w:val="17"/>
              </w:rPr>
              <w:t xml:space="preserve">, </w:t>
            </w:r>
            <w:r>
              <w:rPr>
                <w:rFonts w:ascii="Consolas" w:hAnsi="Consolas"/>
                <w:sz w:val="17"/>
              </w:rPr>
              <w:t>sat_lo</w:t>
            </w:r>
          </w:p>
        </w:tc>
        <w:tc>
          <w:tcPr>
            <w:tcW w:type="dxa" w:w="2393"/>
          </w:tcPr>
          <w:p>
            <w:pPr>
              <w:spacing w:after="20" w:before="20"/>
            </w:pPr>
            <w:r/>
            <w:r>
              <w:rPr>
                <w:sz w:val="17"/>
              </w:rPr>
              <w:t>Booleans</w:t>
            </w:r>
          </w:p>
        </w:tc>
        <w:tc>
          <w:tcPr>
            <w:tcW w:type="dxa" w:w="4351"/>
          </w:tcPr>
          <w:p>
            <w:pPr>
              <w:spacing w:after="20" w:before="20"/>
            </w:pPr>
            <w:r/>
            <w:r>
              <w:rPr>
                <w:sz w:val="17"/>
              </w:rPr>
              <w:t>Pinned at the ceiling / at zero</w:t>
            </w:r>
          </w:p>
        </w:tc>
        <w:tc>
          <w:tcPr>
            <w:tcW w:type="dxa" w:w="761"/>
          </w:tcPr>
          <w:p>
            <w:pPr>
              <w:spacing w:after="20" w:before="20"/>
            </w:pPr>
            <w:r/>
            <w:r>
              <w:rPr>
                <w:sz w:val="17"/>
              </w:rPr>
              <w:t>—</w:t>
            </w:r>
          </w:p>
        </w:tc>
      </w:tr>
    </w:tbl>
    <w:p>
      <w:pPr>
        <w:spacing w:before="60" w:after="200"/>
        <w:jc w:val="left"/>
      </w:pPr>
      <w:r>
        <w:rPr>
          <w:i/>
          <w:sz w:val="18"/>
        </w:rPr>
        <w:t>Table 25. The probe map.</w:t>
      </w:r>
    </w:p>
    <w:p>
      <w:pPr>
        <w:pStyle w:val="Heading2"/>
      </w:pPr>
      <w:r>
        <w:t>Simulation results</w:t>
      </w:r>
    </w:p>
    <w:p>
      <w:pPr>
        <w:spacing w:after="120"/>
      </w:pPr>
      <w:r>
        <w:t xml:space="preserve">The figures below are the direct output of </w:t>
      </w:r>
      <w:r>
        <w:rPr>
          <w:rFonts w:ascii="Consolas" w:hAnsi="Consolas"/>
          <w:sz w:val="19"/>
        </w:rPr>
        <w:t>calorimetry_sim.py</w:t>
      </w:r>
      <w:r>
        <w:t xml:space="preserve">. All were run in the block-engaged configuration (α = 0.97), which is the script's default; as established in §6.5 this changes the </w:t>
      </w:r>
      <w:r>
        <w:rPr>
          <w:b/>
        </w:rPr>
        <w:t>transient shape</w:t>
      </w:r>
      <w:r>
        <w:t xml:space="preserve"> but leaves the steady-state reading exactly unchanged, so the conclusions transfer to the built α = 0 rig. §7.7 gives the shipping-configuration numbers.</w:t>
      </w:r>
    </w:p>
    <w:p>
      <w:pPr>
        <w:spacing w:after="120"/>
      </w:pPr>
      <w:r>
        <w:t>Each response figure has the same six panels: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972"/>
            <w:shd w:val="clear" w:color="auto" w:fill="DEEAF6"/>
          </w:tcPr>
          <w:p>
            <w:pPr>
              <w:spacing w:after="20" w:before="20"/>
            </w:pPr>
            <w:r/>
            <w:r>
              <w:rPr>
                <w:b/>
                <w:sz w:val="17"/>
              </w:rPr>
              <w:t>Panel</w:t>
            </w:r>
          </w:p>
        </w:tc>
        <w:tc>
          <w:tcPr>
            <w:tcW w:type="dxa" w:w="3321"/>
            <w:shd w:val="clear" w:color="auto" w:fill="DEEAF6"/>
          </w:tcPr>
          <w:p>
            <w:pPr>
              <w:spacing w:after="20" w:before="20"/>
            </w:pPr>
            <w:r/>
            <w:r>
              <w:rPr>
                <w:b/>
                <w:sz w:val="17"/>
              </w:rPr>
              <w:t>Shows</w:t>
            </w:r>
          </w:p>
        </w:tc>
        <w:tc>
          <w:tcPr>
            <w:tcW w:type="dxa" w:w="3736"/>
            <w:shd w:val="clear" w:color="auto" w:fill="DEEAF6"/>
          </w:tcPr>
          <w:p>
            <w:pPr>
              <w:spacing w:after="20" w:before="20"/>
            </w:pPr>
            <w:r/>
            <w:r>
              <w:rPr>
                <w:b/>
                <w:sz w:val="17"/>
              </w:rPr>
              <w:t>What to look for</w:t>
            </w:r>
          </w:p>
        </w:tc>
      </w:tr>
      <w:tr>
        <w:tc>
          <w:tcPr>
            <w:tcW w:type="dxa" w:w="1972"/>
          </w:tcPr>
          <w:p>
            <w:pPr>
              <w:spacing w:after="20" w:before="20"/>
            </w:pPr>
            <w:r/>
            <w:r>
              <w:rPr>
                <w:b/>
                <w:sz w:val="17"/>
              </w:rPr>
              <w:t>Top left</w:t>
            </w:r>
            <w:r>
              <w:rPr>
                <w:sz w:val="17"/>
              </w:rPr>
              <w:t xml:space="preserve"> — the measurement</w:t>
            </w:r>
          </w:p>
        </w:tc>
        <w:tc>
          <w:tcPr>
            <w:tcW w:type="dxa" w:w="3321"/>
          </w:tcPr>
          <w:p>
            <w:pPr>
              <w:spacing w:after="20" w:before="20"/>
            </w:pPr>
            <w:r/>
            <w:r>
              <w:rPr>
                <w:sz w:val="17"/>
              </w:rPr>
              <w:t>P</w:t>
            </w:r>
            <w:r>
              <w:rPr>
                <w:sz w:val="17"/>
                <w:vertAlign w:val="subscript"/>
              </w:rPr>
              <w:t>DUT</w:t>
            </w:r>
            <w:r>
              <w:rPr>
                <w:sz w:val="17"/>
              </w:rPr>
              <w:t xml:space="preserve"> (dashed, the truth) against P</w:t>
            </w:r>
            <w:r>
              <w:rPr>
                <w:sz w:val="17"/>
                <w:vertAlign w:val="subscript"/>
              </w:rPr>
              <w:t>meas</w:t>
            </w:r>
            <w:r>
              <w:rPr>
                <w:sz w:val="17"/>
              </w:rPr>
              <w:t xml:space="preserve"> (solid, the reading)</w:t>
            </w:r>
          </w:p>
        </w:tc>
        <w:tc>
          <w:tcPr>
            <w:tcW w:type="dxa" w:w="3736"/>
          </w:tcPr>
          <w:p>
            <w:pPr>
              <w:spacing w:after="20" w:before="20"/>
            </w:pPr>
            <w:r/>
            <w:r>
              <w:rPr>
                <w:sz w:val="17"/>
              </w:rPr>
              <w:t>That the reading converges onto the truth, and how long that takes</w:t>
            </w:r>
          </w:p>
        </w:tc>
      </w:tr>
      <w:tr>
        <w:tc>
          <w:tcPr>
            <w:tcW w:type="dxa" w:w="1972"/>
          </w:tcPr>
          <w:p>
            <w:pPr>
              <w:spacing w:after="20" w:before="20"/>
            </w:pPr>
            <w:r/>
            <w:r>
              <w:rPr>
                <w:b/>
                <w:sz w:val="17"/>
              </w:rPr>
              <w:t>Top centre</w:t>
            </w:r>
            <w:r>
              <w:rPr>
                <w:sz w:val="17"/>
              </w:rPr>
              <w:t xml:space="preserve"> — eps = reading − truth</w:t>
            </w:r>
          </w:p>
        </w:tc>
        <w:tc>
          <w:tcPr>
            <w:tcW w:type="dxa" w:w="3321"/>
          </w:tcPr>
          <w:p>
            <w:pPr>
              <w:spacing w:after="20" w:before="20"/>
            </w:pPr>
            <w:r/>
            <w:r>
              <w:rPr>
                <w:sz w:val="17"/>
              </w:rPr>
              <w:t>The error trace, with the ±1 W target marked. The y-axis is clipped because the t = 0 transient runs far off scale</w:t>
            </w:r>
          </w:p>
        </w:tc>
        <w:tc>
          <w:tcPr>
            <w:tcW w:type="dxa" w:w="3736"/>
          </w:tcPr>
          <w:p>
            <w:pPr>
              <w:spacing w:after="20" w:before="20"/>
            </w:pPr>
            <w:r/>
            <w:r>
              <w:rPr>
                <w:sz w:val="17"/>
              </w:rPr>
              <w:t>The minute at which the error first enters the ±1 W band, and that it then goes to zero rather than to a small constant</w:t>
            </w:r>
          </w:p>
        </w:tc>
      </w:tr>
      <w:tr>
        <w:tc>
          <w:tcPr>
            <w:tcW w:type="dxa" w:w="1972"/>
          </w:tcPr>
          <w:p>
            <w:pPr>
              <w:spacing w:after="20" w:before="20"/>
            </w:pPr>
            <w:r/>
            <w:r>
              <w:rPr>
                <w:b/>
                <w:sz w:val="17"/>
              </w:rPr>
              <w:t>Top right</w:t>
            </w:r>
            <w:r>
              <w:rPr>
                <w:sz w:val="17"/>
              </w:rPr>
              <w:t xml:space="preserve"> — node temperatures</w:t>
            </w:r>
          </w:p>
        </w:tc>
        <w:tc>
          <w:tcPr>
            <w:tcW w:type="dxa" w:w="3321"/>
          </w:tcPr>
          <w:p>
            <w:pPr>
              <w:spacing w:after="20" w:before="20"/>
            </w:pPr>
            <w:r/>
            <w:r>
              <w:rPr>
                <w:sz w:val="17"/>
              </w:rPr>
              <w:t>θ</w:t>
            </w:r>
            <w:r>
              <w:rPr>
                <w:sz w:val="17"/>
                <w:vertAlign w:val="subscript"/>
              </w:rPr>
              <w:t>i</w:t>
            </w:r>
            <w:r>
              <w:rPr>
                <w:sz w:val="17"/>
              </w:rPr>
              <w:t xml:space="preserve"> (air), θ</w:t>
            </w:r>
            <w:r>
              <w:rPr>
                <w:sz w:val="17"/>
                <w:vertAlign w:val="subscript"/>
              </w:rPr>
              <w:t>w</w:t>
            </w:r>
            <w:r>
              <w:rPr>
                <w:sz w:val="17"/>
              </w:rPr>
              <w:t xml:space="preserve"> (water), θ</w:t>
            </w:r>
            <w:r>
              <w:rPr>
                <w:sz w:val="17"/>
                <w:vertAlign w:val="subscript"/>
              </w:rPr>
              <w:t>e</w:t>
            </w:r>
            <w:r>
              <w:rPr>
                <w:sz w:val="17"/>
              </w:rPr>
              <w:t xml:space="preserve"> (guard) and the inlet rail, all in kelvin above ambient</w:t>
            </w:r>
          </w:p>
        </w:tc>
        <w:tc>
          <w:tcPr>
            <w:tcW w:type="dxa" w:w="3736"/>
          </w:tcPr>
          <w:p>
            <w:pPr>
              <w:spacing w:after="20" w:before="20"/>
            </w:pPr>
            <w:r/>
            <w:r>
              <w:rPr>
                <w:sz w:val="17"/>
              </w:rPr>
              <w:t>That θ</w:t>
            </w:r>
            <w:r>
              <w:rPr>
                <w:sz w:val="17"/>
                <w:vertAlign w:val="subscript"/>
              </w:rPr>
              <w:t>e</w:t>
            </w:r>
            <w:r>
              <w:rPr>
                <w:sz w:val="17"/>
              </w:rPr>
              <w:t xml:space="preserve"> tracks θ</w:t>
            </w:r>
            <w:r>
              <w:rPr>
                <w:sz w:val="17"/>
                <w:vertAlign w:val="subscript"/>
              </w:rPr>
              <w:t>i</w:t>
            </w:r>
            <w:r>
              <w:rPr>
                <w:sz w:val="17"/>
              </w:rPr>
              <w:t xml:space="preserve"> — the guard doing its job — and where the chamber settles relative to the rail</w:t>
            </w:r>
          </w:p>
        </w:tc>
      </w:tr>
      <w:tr>
        <w:tc>
          <w:tcPr>
            <w:tcW w:type="dxa" w:w="1972"/>
          </w:tcPr>
          <w:p>
            <w:pPr>
              <w:spacing w:after="20" w:before="20"/>
            </w:pPr>
            <w:r/>
            <w:r>
              <w:rPr>
                <w:b/>
                <w:sz w:val="17"/>
              </w:rPr>
              <w:t>Bottom left</w:t>
            </w:r>
            <w:r>
              <w:rPr>
                <w:sz w:val="17"/>
              </w:rPr>
              <w:t xml:space="preserve"> — guard null error</w:t>
            </w:r>
          </w:p>
        </w:tc>
        <w:tc>
          <w:tcPr>
            <w:tcW w:type="dxa" w:w="3321"/>
          </w:tcPr>
          <w:p>
            <w:pPr>
              <w:spacing w:after="20" w:before="20"/>
            </w:pPr>
            <w:r/>
            <w:r>
              <w:rPr>
                <w:sz w:val="17"/>
              </w:rPr>
              <w:t>e = θ</w:t>
            </w:r>
            <w:r>
              <w:rPr>
                <w:sz w:val="17"/>
                <w:vertAlign w:val="subscript"/>
              </w:rPr>
              <w:t>i</w:t>
            </w:r>
            <w:r>
              <w:rPr>
                <w:sz w:val="17"/>
              </w:rPr>
              <w:t xml:space="preserve"> − θ</w:t>
            </w:r>
            <w:r>
              <w:rPr>
                <w:sz w:val="17"/>
                <w:vertAlign w:val="subscript"/>
              </w:rPr>
              <w:t>e</w:t>
            </w:r>
            <w:r>
              <w:rPr>
                <w:sz w:val="17"/>
              </w:rPr>
              <w:t xml:space="preserve"> against the 1.79 K null gate</w:t>
            </w:r>
          </w:p>
        </w:tc>
        <w:tc>
          <w:tcPr>
            <w:tcW w:type="dxa" w:w="3736"/>
          </w:tcPr>
          <w:p>
            <w:pPr>
              <w:spacing w:after="20" w:before="20"/>
            </w:pPr>
            <w:r/>
            <w:r>
              <w:rPr>
                <w:sz w:val="17"/>
              </w:rPr>
              <w:t>The transient overshoot, whether it breaches the gate, and how fast it returns</w:t>
            </w:r>
          </w:p>
        </w:tc>
      </w:tr>
      <w:tr>
        <w:tc>
          <w:tcPr>
            <w:tcW w:type="dxa" w:w="1972"/>
          </w:tcPr>
          <w:p>
            <w:pPr>
              <w:spacing w:after="20" w:before="20"/>
            </w:pPr>
            <w:r/>
            <w:r>
              <w:rPr>
                <w:b/>
                <w:sz w:val="17"/>
              </w:rPr>
              <w:t>Bottom centre</w:t>
            </w:r>
            <w:r>
              <w:rPr>
                <w:sz w:val="17"/>
              </w:rPr>
              <w:t xml:space="preserve"> — actuator</w:t>
            </w:r>
          </w:p>
        </w:tc>
        <w:tc>
          <w:tcPr>
            <w:tcW w:type="dxa" w:w="3321"/>
          </w:tcPr>
          <w:p>
            <w:pPr>
              <w:spacing w:after="20" w:before="20"/>
            </w:pPr>
            <w:r/>
            <w:r>
              <w:rPr>
                <w:sz w:val="17"/>
              </w:rPr>
              <w:t>Demand v (dashed) against delivered P</w:t>
            </w:r>
            <w:r>
              <w:rPr>
                <w:sz w:val="17"/>
                <w:vertAlign w:val="subscript"/>
              </w:rPr>
              <w:t>e</w:t>
            </w:r>
            <w:r>
              <w:rPr>
                <w:sz w:val="17"/>
              </w:rPr>
              <w:t xml:space="preserve"> (solid), with P</w:t>
            </w:r>
            <w:r>
              <w:rPr>
                <w:sz w:val="17"/>
                <w:vertAlign w:val="subscript"/>
              </w:rPr>
              <w:t>max</w:t>
            </w:r>
            <w:r>
              <w:rPr>
                <w:sz w:val="17"/>
              </w:rPr>
              <w:t xml:space="preserve"> marked</w:t>
            </w:r>
          </w:p>
        </w:tc>
        <w:tc>
          <w:tcPr>
            <w:tcW w:type="dxa" w:w="3736"/>
          </w:tcPr>
          <w:p>
            <w:pPr>
              <w:spacing w:after="20" w:before="20"/>
            </w:pPr>
            <w:r/>
            <w:r>
              <w:rPr>
                <w:sz w:val="17"/>
              </w:rPr>
              <w:t>Saturation, which shows as the two curves separating. Also the steady guard power, which is what sizes the heater</w:t>
            </w:r>
          </w:p>
        </w:tc>
      </w:tr>
      <w:tr>
        <w:tc>
          <w:tcPr>
            <w:tcW w:type="dxa" w:w="1972"/>
          </w:tcPr>
          <w:p>
            <w:pPr>
              <w:spacing w:after="20" w:before="20"/>
            </w:pPr>
            <w:r/>
            <w:r>
              <w:rPr>
                <w:b/>
                <w:sz w:val="17"/>
              </w:rPr>
              <w:t>Bottom right</w:t>
            </w:r>
            <w:r>
              <w:rPr>
                <w:sz w:val="17"/>
              </w:rPr>
              <w:t xml:space="preserve"> — where the watts go</w:t>
            </w:r>
          </w:p>
        </w:tc>
        <w:tc>
          <w:tcPr>
            <w:tcW w:type="dxa" w:w="3321"/>
          </w:tcPr>
          <w:p>
            <w:pPr>
              <w:spacing w:after="20" w:before="20"/>
            </w:pPr>
            <w:r/>
            <w:r>
              <w:rPr>
                <w:sz w:val="17"/>
              </w:rPr>
              <w:t>P</w:t>
            </w:r>
            <w:r>
              <w:rPr>
                <w:sz w:val="17"/>
                <w:vertAlign w:val="subscript"/>
              </w:rPr>
              <w:t>rad</w:t>
            </w:r>
            <w:r>
              <w:rPr>
                <w:sz w:val="17"/>
              </w:rPr>
              <w:t xml:space="preserve"> (air→water), P</w:t>
            </w:r>
            <w:r>
              <w:rPr>
                <w:sz w:val="17"/>
                <w:vertAlign w:val="subscript"/>
              </w:rPr>
              <w:t>adv</w:t>
            </w:r>
            <w:r>
              <w:rPr>
                <w:sz w:val="17"/>
              </w:rPr>
              <w:t xml:space="preserve"> (the reading), P</w:t>
            </w:r>
            <w:r>
              <w:rPr>
                <w:sz w:val="17"/>
                <w:vertAlign w:val="subscript"/>
              </w:rPr>
              <w:t>leak</w:t>
            </w:r>
            <w:r>
              <w:rPr>
                <w:sz w:val="17"/>
              </w:rPr>
              <w:t xml:space="preserve"> (air→gap), P</w:t>
            </w:r>
            <w:r>
              <w:rPr>
                <w:sz w:val="17"/>
                <w:vertAlign w:val="subscript"/>
              </w:rPr>
              <w:t>out</w:t>
            </w:r>
            <w:r>
              <w:rPr>
                <w:sz w:val="17"/>
              </w:rPr>
              <w:t xml:space="preserve"> (gap→ambient)</w:t>
            </w:r>
          </w:p>
        </w:tc>
        <w:tc>
          <w:tcPr>
            <w:tcW w:type="dxa" w:w="3736"/>
          </w:tcPr>
          <w:p>
            <w:pPr>
              <w:spacing w:after="20" w:before="20"/>
            </w:pPr>
            <w:r/>
            <w:r>
              <w:rPr>
                <w:sz w:val="17"/>
              </w:rPr>
              <w:t>That P</w:t>
            </w:r>
            <w:r>
              <w:rPr>
                <w:sz w:val="17"/>
                <w:vertAlign w:val="subscript"/>
              </w:rPr>
              <w:t>adv</w:t>
            </w:r>
            <w:r>
              <w:rPr>
                <w:sz w:val="17"/>
              </w:rPr>
              <w:t xml:space="preserve"> converges to the DUT power, that P</w:t>
            </w:r>
            <w:r>
              <w:rPr>
                <w:sz w:val="17"/>
                <w:vertAlign w:val="subscript"/>
              </w:rPr>
              <w:t>leak</w:t>
            </w:r>
            <w:r>
              <w:rPr>
                <w:sz w:val="17"/>
              </w:rPr>
              <w:t xml:space="preserve"> collapses to zero, and that P</w:t>
            </w:r>
            <w:r>
              <w:rPr>
                <w:sz w:val="17"/>
                <w:vertAlign w:val="subscript"/>
              </w:rPr>
              <w:t>out</w:t>
            </w:r>
            <w:r>
              <w:rPr>
                <w:sz w:val="17"/>
              </w:rPr>
              <w:t xml:space="preserve"> is non-zero but harmless</w:t>
            </w:r>
          </w:p>
        </w:tc>
      </w:tr>
    </w:tbl>
    <w:p>
      <w:pPr>
        <w:spacing w:before="60" w:after="200"/>
        <w:jc w:val="left"/>
      </w:pPr>
      <w:r>
        <w:rPr>
          <w:i/>
          <w:sz w:val="18"/>
        </w:rPr>
        <w:t>Table 26. How to read the six-panel response figures.</w:t>
      </w:r>
    </w:p>
    <w:p>
      <w:pPr>
        <w:pStyle w:val="Heading3"/>
      </w:pPr>
      <w:r>
        <w:t>Nominal operating point — 150 W at 10 K water rise</w:t>
      </w:r>
    </w:p>
    <w:p>
      <w:pPr>
        <w:spacing w:before="16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response_150W_dT10K.png"/>
                    <pic:cNvPicPr/>
                  </pic:nvPicPr>
                  <pic:blipFill>
                    <a:blip r:embed="rId16"/>
                    <a:stretch>
                      <a:fillRect/>
                    </a:stretch>
                  </pic:blipFill>
                  <pic:spPr>
                    <a:xfrm>
                      <a:off x="0" y="0"/>
                      <a:ext cx="5669280" cy="2834640"/>
                    </a:xfrm>
                    <a:prstGeom prst="rect"/>
                  </pic:spPr>
                </pic:pic>
              </a:graphicData>
            </a:graphic>
          </wp:inline>
        </w:drawing>
      </w:r>
    </w:p>
    <w:p>
      <w:pPr>
        <w:spacing w:after="240"/>
        <w:jc w:val="left"/>
      </w:pPr>
      <w:r>
        <w:rPr>
          <w:b/>
          <w:sz w:val="18"/>
        </w:rPr>
        <w:t>Figure 1.</w:t>
      </w:r>
      <w:r>
        <w:rPr>
          <w:sz w:val="18"/>
        </w:rPr>
        <w:t xml:space="preserve"> </w:t>
      </w:r>
      <w:r>
        <w:rPr>
          <w:b/>
          <w:sz w:val="18"/>
        </w:rPr>
        <w:t>Closed-loop step response at the nominal point: P</w:t>
      </w:r>
      <w:r>
        <w:rPr>
          <w:b/>
          <w:sz w:val="18"/>
          <w:vertAlign w:val="subscript"/>
        </w:rPr>
        <w:t>DUT</w:t>
      </w:r>
      <w:r>
        <w:rPr>
          <w:b/>
          <w:sz w:val="18"/>
        </w:rPr>
        <w:t xml:space="preserve"> = 150 W, ΔT</w:t>
      </w:r>
      <w:r>
        <w:rPr>
          <w:b/>
          <w:sz w:val="18"/>
          <w:vertAlign w:val="subscript"/>
        </w:rPr>
        <w:t>set</w:t>
      </w:r>
      <w:r>
        <w:rPr>
          <w:b/>
          <w:sz w:val="18"/>
        </w:rPr>
        <w:t xml:space="preserve"> = 10 K, ṁc</w:t>
      </w:r>
      <w:r>
        <w:rPr>
          <w:b/>
          <w:sz w:val="18"/>
          <w:vertAlign w:val="subscript"/>
        </w:rPr>
        <w:t>p</w:t>
      </w:r>
      <w:r>
        <w:rPr>
          <w:b/>
          <w:sz w:val="18"/>
        </w:rPr>
        <w:t xml:space="preserve"> = 15 W/K (216 mL/min).</w:t>
      </w:r>
      <w:r>
        <w:rPr>
          <w:sz w:val="18"/>
        </w:rPr>
        <w:t xml:space="preserve"> The reading reaches 1 % of final in </w:t>
      </w:r>
      <w:r>
        <w:rPr>
          <w:b/>
          <w:sz w:val="18"/>
        </w:rPr>
        <w:t>12.9 min</w:t>
      </w:r>
      <w:r>
        <w:rPr>
          <w:sz w:val="18"/>
        </w:rPr>
        <w:t xml:space="preserve"> and enters the ±1 W band at about 14 min. The guard null error peaks at </w:t>
      </w:r>
      <w:r>
        <w:rPr>
          <w:b/>
          <w:sz w:val="18"/>
        </w:rPr>
        <w:t>1.76 K</w:t>
      </w:r>
      <w:r>
        <w:rPr>
          <w:sz w:val="18"/>
        </w:rPr>
        <w:t xml:space="preserve">, just under the 1.79 K gate, and the leak peaks at 0.99 W before collapsing. Steady guard power is </w:t>
      </w:r>
      <w:r>
        <w:rPr>
          <w:b/>
          <w:sz w:val="18"/>
        </w:rPr>
        <w:t>6.8 W</w:t>
      </w:r>
      <w:r>
        <w:rPr>
          <w:sz w:val="18"/>
        </w:rPr>
        <w:t>, against a 100 W ceiling — the actuator never comes close to saturating, and demand and delivered power are indistinguishable in the bottom-centre panel. In the bottom-right panel, note that P</w:t>
      </w:r>
      <w:r>
        <w:rPr>
          <w:sz w:val="18"/>
          <w:vertAlign w:val="subscript"/>
        </w:rPr>
        <w:t>rad</w:t>
      </w:r>
      <w:r>
        <w:rPr>
          <w:sz w:val="18"/>
        </w:rPr>
        <w:t xml:space="preserve"> goes sharply </w:t>
      </w:r>
      <w:r>
        <w:rPr>
          <w:b/>
          <w:sz w:val="18"/>
        </w:rPr>
        <w:t>negative</w:t>
      </w:r>
      <w:r>
        <w:rPr>
          <w:sz w:val="18"/>
        </w:rPr>
        <w:t xml:space="preserve"> in the first seconds: the water starts at the inlet rail temperature, below the chamber, so heat initially flows from water to air until the radiator bridge equalises. Note also that P</w:t>
      </w:r>
      <w:r>
        <w:rPr>
          <w:sz w:val="18"/>
          <w:vertAlign w:val="subscript"/>
        </w:rPr>
        <w:t>out</w:t>
      </w:r>
      <w:r>
        <w:rPr>
          <w:sz w:val="18"/>
        </w:rPr>
        <w:t xml:space="preserve"> settles to exactly the same value as the guard heater power — in steady state, with the leak nulled, the guard heater supplies precisely what the gap loses to the room, and none of it touches the reading.</w:t>
      </w:r>
    </w:p>
    <w:p>
      <w:pPr>
        <w:pStyle w:val="Heading3"/>
      </w:pPr>
      <w:r>
        <w:t>Same power, lower flow — the flow/settling trade</w:t>
      </w:r>
    </w:p>
    <w:p>
      <w:pPr>
        <w:spacing w:after="120"/>
      </w:pPr>
      <w:r>
        <w:t>Running the same 150 W at a larger water ΔT means less flow, which is attractive for the ΔT-pair error budget but slow, because τ</w:t>
      </w:r>
      <w:r>
        <w:rPr>
          <w:vertAlign w:val="subscript"/>
        </w:rPr>
        <w:t>slow</w:t>
      </w:r>
      <w:r>
        <w:t xml:space="preserve"> = (C</w:t>
      </w:r>
      <w:r>
        <w:rPr>
          <w:vertAlign w:val="subscript"/>
        </w:rPr>
        <w:t>i</w:t>
      </w:r>
      <w:r>
        <w:t xml:space="preserve"> + C</w:t>
      </w:r>
      <w:r>
        <w:rPr>
          <w:vertAlign w:val="subscript"/>
        </w:rPr>
        <w:t>w</w:t>
      </w:r>
      <w:r>
        <w:t>)/ṁc</w:t>
      </w:r>
      <w:r>
        <w:rPr>
          <w:vertAlign w:val="subscript"/>
        </w:rPr>
        <w:t>p</w:t>
      </w:r>
      <w:r>
        <w:t>. Figures 2 and 3 are the same load at 15 K and 20 K.</w:t>
      </w:r>
    </w:p>
    <w:p>
      <w:pPr>
        <w:spacing w:before="16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response_150W_dT15K.png"/>
                    <pic:cNvPicPr/>
                  </pic:nvPicPr>
                  <pic:blipFill>
                    <a:blip r:embed="rId17"/>
                    <a:stretch>
                      <a:fillRect/>
                    </a:stretch>
                  </pic:blipFill>
                  <pic:spPr>
                    <a:xfrm>
                      <a:off x="0" y="0"/>
                      <a:ext cx="5669280" cy="2834640"/>
                    </a:xfrm>
                    <a:prstGeom prst="rect"/>
                  </pic:spPr>
                </pic:pic>
              </a:graphicData>
            </a:graphic>
          </wp:inline>
        </w:drawing>
      </w:r>
    </w:p>
    <w:p>
      <w:pPr>
        <w:spacing w:after="240"/>
        <w:jc w:val="left"/>
      </w:pPr>
      <w:r>
        <w:rPr>
          <w:b/>
          <w:sz w:val="18"/>
        </w:rPr>
        <w:t>Figure 2.</w:t>
      </w:r>
      <w:r>
        <w:rPr>
          <w:sz w:val="18"/>
        </w:rPr>
        <w:t xml:space="preserve"> </w:t>
      </w:r>
      <w:r>
        <w:rPr>
          <w:b/>
          <w:sz w:val="18"/>
        </w:rPr>
        <w:t>150 W at ΔT</w:t>
      </w:r>
      <w:r>
        <w:rPr>
          <w:b/>
          <w:sz w:val="18"/>
          <w:vertAlign w:val="subscript"/>
        </w:rPr>
        <w:t>set</w:t>
      </w:r>
      <w:r>
        <w:rPr>
          <w:b/>
          <w:sz w:val="18"/>
        </w:rPr>
        <w:t xml:space="preserve"> = 15 K, ṁc</w:t>
      </w:r>
      <w:r>
        <w:rPr>
          <w:b/>
          <w:sz w:val="18"/>
          <w:vertAlign w:val="subscript"/>
        </w:rPr>
        <w:t>p</w:t>
      </w:r>
      <w:r>
        <w:rPr>
          <w:b/>
          <w:sz w:val="18"/>
        </w:rPr>
        <w:t xml:space="preserve"> = 10 W/K (144 mL/min).</w:t>
      </w:r>
      <w:r>
        <w:rPr>
          <w:sz w:val="18"/>
        </w:rPr>
        <w:t xml:space="preserve"> Settling stretches to </w:t>
      </w:r>
      <w:r>
        <w:rPr>
          <w:b/>
          <w:sz w:val="18"/>
        </w:rPr>
        <w:t>19.1 min</w:t>
      </w:r>
      <w:r>
        <w:rPr>
          <w:sz w:val="18"/>
        </w:rPr>
        <w:t xml:space="preserve"> and the null error peaks at </w:t>
      </w:r>
      <w:r>
        <w:rPr>
          <w:b/>
          <w:sz w:val="18"/>
        </w:rPr>
        <w:t>1.98 K</w:t>
      </w:r>
      <w:r>
        <w:rPr>
          <w:sz w:val="18"/>
        </w:rPr>
        <w:t>, now above the 1.79 K gate. Steady guard power rises to 9.1 W because the chamber sits higher above ambient (θ</w:t>
      </w:r>
      <w:r>
        <w:rPr>
          <w:sz w:val="18"/>
          <w:vertAlign w:val="subscript"/>
        </w:rPr>
        <w:t>i</w:t>
      </w:r>
      <w:r>
        <w:rPr>
          <w:sz w:val="18"/>
        </w:rPr>
        <w:t xml:space="preserve"> ≈ 20 K rather than 15 K), so the gap loses more through G</w:t>
      </w:r>
      <w:r>
        <w:rPr>
          <w:sz w:val="18"/>
          <w:vertAlign w:val="subscript"/>
        </w:rPr>
        <w:t>out</w:t>
      </w:r>
      <w:r>
        <w:rPr>
          <w:sz w:val="18"/>
        </w:rPr>
        <w:t xml:space="preserve"> and the guard has to replace it.</w:t>
      </w:r>
    </w:p>
    <w:p>
      <w:pPr>
        <w:spacing w:before="160" w:after="4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response_150W_dT20K.png"/>
                    <pic:cNvPicPr/>
                  </pic:nvPicPr>
                  <pic:blipFill>
                    <a:blip r:embed="rId18"/>
                    <a:stretch>
                      <a:fillRect/>
                    </a:stretch>
                  </pic:blipFill>
                  <pic:spPr>
                    <a:xfrm>
                      <a:off x="0" y="0"/>
                      <a:ext cx="5669280" cy="2834640"/>
                    </a:xfrm>
                    <a:prstGeom prst="rect"/>
                  </pic:spPr>
                </pic:pic>
              </a:graphicData>
            </a:graphic>
          </wp:inline>
        </w:drawing>
      </w:r>
    </w:p>
    <w:p>
      <w:pPr>
        <w:spacing w:after="240"/>
        <w:jc w:val="left"/>
      </w:pPr>
      <w:r>
        <w:rPr>
          <w:b/>
          <w:sz w:val="18"/>
        </w:rPr>
        <w:t>Figure 3.</w:t>
      </w:r>
      <w:r>
        <w:rPr>
          <w:sz w:val="18"/>
        </w:rPr>
        <w:t xml:space="preserve"> </w:t>
      </w:r>
      <w:r>
        <w:rPr>
          <w:b/>
          <w:sz w:val="18"/>
        </w:rPr>
        <w:t>150 W at ΔT</w:t>
      </w:r>
      <w:r>
        <w:rPr>
          <w:b/>
          <w:sz w:val="18"/>
          <w:vertAlign w:val="subscript"/>
        </w:rPr>
        <w:t>set</w:t>
      </w:r>
      <w:r>
        <w:rPr>
          <w:b/>
          <w:sz w:val="18"/>
        </w:rPr>
        <w:t xml:space="preserve"> = 20 K, ṁc</w:t>
      </w:r>
      <w:r>
        <w:rPr>
          <w:b/>
          <w:sz w:val="18"/>
          <w:vertAlign w:val="subscript"/>
        </w:rPr>
        <w:t>p</w:t>
      </w:r>
      <w:r>
        <w:rPr>
          <w:b/>
          <w:sz w:val="18"/>
        </w:rPr>
        <w:t xml:space="preserve"> = 7.5 W/K (108 mL/min).</w:t>
      </w:r>
      <w:r>
        <w:rPr>
          <w:sz w:val="18"/>
        </w:rPr>
        <w:t xml:space="preserve"> Settling </w:t>
      </w:r>
      <w:r>
        <w:rPr>
          <w:b/>
          <w:sz w:val="18"/>
        </w:rPr>
        <w:t>25.4 min</w:t>
      </w:r>
      <w:r>
        <w:rPr>
          <w:sz w:val="18"/>
        </w:rPr>
        <w:t xml:space="preserve">, null-error peak </w:t>
      </w:r>
      <w:r>
        <w:rPr>
          <w:b/>
          <w:sz w:val="18"/>
        </w:rPr>
        <w:t>2.12 K</w:t>
      </w:r>
      <w:r>
        <w:rPr>
          <w:sz w:val="18"/>
        </w:rPr>
        <w:t xml:space="preserve">, steady guard power </w:t>
      </w:r>
      <w:r>
        <w:rPr>
          <w:b/>
          <w:sz w:val="18"/>
        </w:rPr>
        <w:t>11.3 W</w:t>
      </w:r>
      <w:r>
        <w:rPr>
          <w:sz w:val="18"/>
        </w:rPr>
        <w:t xml:space="preserve">. Comparing Figures 1–3 gives the trade in one line: </w:t>
      </w:r>
      <w:r>
        <w:rPr>
          <w:b/>
          <w:sz w:val="18"/>
        </w:rPr>
        <w:t>halving the flow doubles the settling time, raises the transient null error and raises the guard's steady power, while improving the ΔT-pair error by the same factor of two.</w:t>
      </w:r>
      <w:r>
        <w:rPr>
          <w:sz w:val="18"/>
        </w:rPr>
        <w:t xml:space="preserve"> The auto-ranging rule in </w:t>
      </w:r>
      <w:r>
        <w:rPr>
          <w:rFonts w:ascii="Consolas" w:hAnsi="Consolas"/>
          <w:sz w:val="18"/>
        </w:rPr>
        <w:t>params.yaml</w:t>
      </w:r>
      <w:r>
        <w:rPr>
          <w:sz w:val="18"/>
        </w:rPr>
        <w:t xml:space="preserve"> exists to place this trade per operating point rather than fixing it once.</w:t>
      </w:r>
    </w:p>
    <w:p>
      <w:pPr>
        <w:pStyle w:val="Heading3"/>
      </w:pPr>
      <w:r>
        <w:t>Top of the envelope — 200 W</w:t>
      </w:r>
    </w:p>
    <w:p>
      <w:pPr>
        <w:spacing w:before="160" w:after="40"/>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response_200W_dT8K.png"/>
                    <pic:cNvPicPr/>
                  </pic:nvPicPr>
                  <pic:blipFill>
                    <a:blip r:embed="rId19"/>
                    <a:stretch>
                      <a:fillRect/>
                    </a:stretch>
                  </pic:blipFill>
                  <pic:spPr>
                    <a:xfrm>
                      <a:off x="0" y="0"/>
                      <a:ext cx="5669280" cy="2834640"/>
                    </a:xfrm>
                    <a:prstGeom prst="rect"/>
                  </pic:spPr>
                </pic:pic>
              </a:graphicData>
            </a:graphic>
          </wp:inline>
        </w:drawing>
      </w:r>
    </w:p>
    <w:p>
      <w:pPr>
        <w:spacing w:after="240"/>
        <w:jc w:val="left"/>
      </w:pPr>
      <w:r>
        <w:rPr>
          <w:b/>
          <w:sz w:val="18"/>
        </w:rPr>
        <w:t>Figure 4.</w:t>
      </w:r>
      <w:r>
        <w:rPr>
          <w:sz w:val="18"/>
        </w:rPr>
        <w:t xml:space="preserve"> </w:t>
      </w:r>
      <w:r>
        <w:rPr>
          <w:b/>
          <w:sz w:val="18"/>
        </w:rPr>
        <w:t>200 W at ΔT</w:t>
      </w:r>
      <w:r>
        <w:rPr>
          <w:b/>
          <w:sz w:val="18"/>
          <w:vertAlign w:val="subscript"/>
        </w:rPr>
        <w:t>set</w:t>
      </w:r>
      <w:r>
        <w:rPr>
          <w:b/>
          <w:sz w:val="18"/>
        </w:rPr>
        <w:t xml:space="preserve"> = 8 K, ṁc</w:t>
      </w:r>
      <w:r>
        <w:rPr>
          <w:b/>
          <w:sz w:val="18"/>
          <w:vertAlign w:val="subscript"/>
        </w:rPr>
        <w:t>p</w:t>
      </w:r>
      <w:r>
        <w:rPr>
          <w:b/>
          <w:sz w:val="18"/>
        </w:rPr>
        <w:t xml:space="preserve"> = 25 W/K (361 mL/min).</w:t>
      </w:r>
      <w:r>
        <w:rPr>
          <w:sz w:val="18"/>
        </w:rPr>
        <w:t xml:space="preserve"> The fastest corner in the set: </w:t>
      </w:r>
      <w:r>
        <w:rPr>
          <w:b/>
          <w:sz w:val="18"/>
        </w:rPr>
        <w:t>8.0 min</w:t>
      </w:r>
      <w:r>
        <w:rPr>
          <w:sz w:val="18"/>
        </w:rPr>
        <w:t xml:space="preserve"> to 1 %, inside the ±1 W band by about 9 min. Guard power is only </w:t>
      </w:r>
      <w:r>
        <w:rPr>
          <w:b/>
          <w:sz w:val="18"/>
        </w:rPr>
        <w:t>5.9 W</w:t>
      </w:r>
      <w:r>
        <w:rPr>
          <w:sz w:val="18"/>
        </w:rPr>
        <w:t xml:space="preserve"> steady, because the high flow pins the chamber lower (θ</w:t>
      </w:r>
      <w:r>
        <w:rPr>
          <w:sz w:val="18"/>
          <w:vertAlign w:val="subscript"/>
        </w:rPr>
        <w:t>i</w:t>
      </w:r>
      <w:r>
        <w:rPr>
          <w:sz w:val="18"/>
        </w:rPr>
        <w:t xml:space="preserve"> ≈ 13 K above ambient). The null error still peaks at 1.95 K, above the gate — the transient overshoot is driven by the mismatch between the fast chamber and the slow guard shell, not by the power level, and it is present at every corner.</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The transient null error breaches the gate at and above ~100 W</w:t>
            </w:r>
          </w:p>
          <w:p>
            <w:pPr>
              <w:spacing w:after="40"/>
            </w:pPr>
            <w:r>
              <w:rPr>
                <w:sz w:val="19"/>
              </w:rPr>
              <w:t>This is a genuine finding of the simulation and does not appear anywhere in the hand analysis, because it only exists once the guard is a real loop with a real τ</w:t>
            </w:r>
            <w:r>
              <w:rPr>
                <w:sz w:val="19"/>
                <w:vertAlign w:val="subscript"/>
              </w:rPr>
              <w:t>e</w:t>
            </w:r>
            <w:r>
              <w:rPr>
                <w:sz w:val="19"/>
              </w:rPr>
              <w:t xml:space="preserve"> instead of an assumed perfect null. The mechanism is a 20-to-1 speed mismatch: the chamber's fast mode is ~15 s while the guard shell's open-loop τ</w:t>
            </w:r>
            <w:r>
              <w:rPr>
                <w:sz w:val="19"/>
                <w:vertAlign w:val="subscript"/>
              </w:rPr>
              <w:t>e</w:t>
            </w:r>
            <w:r>
              <w:rPr>
                <w:sz w:val="19"/>
              </w:rPr>
              <w:t xml:space="preserve"> is 297 s, so the guard is chasing a reference that moves far faster than it can follow. </w:t>
            </w:r>
            <w:r>
              <w:rPr>
                <w:b/>
                <w:sz w:val="19"/>
              </w:rPr>
              <w:t>It is a transient, so it does not bias a logged point</w:t>
            </w:r>
            <w:r>
              <w:rPr>
                <w:sz w:val="19"/>
              </w:rPr>
              <w:t xml:space="preserve"> — the null gate holds the reading until e is back inside 1.79 K. What it costs is schedule, and what it forbids is logging early. The candidate fix is to ramp the load and the feedforward together rather than stepping them, which is a sequencer change, not a model change.</w:t>
            </w:r>
          </w:p>
        </w:tc>
      </w:tr>
    </w:tbl>
    <w:p>
      <w:pPr>
        <w:spacing w:after="80"/>
      </w:pPr>
    </w:p>
    <w:p>
      <w:pPr>
        <w:pStyle w:val="Heading3"/>
      </w:pPr>
      <w:r>
        <w:t>Actuator sizing, saturation and anti-windup</w:t>
      </w:r>
    </w:p>
    <w:p>
      <w:pPr>
        <w:spacing w:after="120"/>
      </w:pPr>
      <w:r>
        <w:t xml:space="preserve">The last pair of figures answers a hardware question: how big does the guard heater have to be, and what happens if it is undersized. The load is stepped to the corner power, then </w:t>
      </w:r>
      <w:r>
        <w:rPr>
          <w:b/>
        </w:rPr>
        <w:t>dumped to 15 W</w:t>
      </w:r>
      <w:r>
        <w:t xml:space="preserve"> partway through — the error reverses sign at that moment, which is precisely when a wound-up integrator shows itself. Four configurations are overlaid: the heater as designed (100 W), a marginal ceiling between the steady and peak demand with anti-windup on and off, and a deliberately undersized one below the steady demand.</w:t>
      </w:r>
    </w:p>
    <w:p>
      <w:pPr>
        <w:spacing w:before="160" w:after="40"/>
        <w:jc w:val="center"/>
      </w:pPr>
      <w:r>
        <w:drawing>
          <wp:inline xmlns:a="http://schemas.openxmlformats.org/drawingml/2006/main" xmlns:pic="http://schemas.openxmlformats.org/drawingml/2006/picture">
            <wp:extent cx="5669280" cy="1587398"/>
            <wp:docPr id="5" name="Picture 5"/>
            <wp:cNvGraphicFramePr>
              <a:graphicFrameLocks noChangeAspect="1"/>
            </wp:cNvGraphicFramePr>
            <a:graphic>
              <a:graphicData uri="http://schemas.openxmlformats.org/drawingml/2006/picture">
                <pic:pic>
                  <pic:nvPicPr>
                    <pic:cNvPr id="0" name="windup_150W_dT20K.png"/>
                    <pic:cNvPicPr/>
                  </pic:nvPicPr>
                  <pic:blipFill>
                    <a:blip r:embed="rId20"/>
                    <a:stretch>
                      <a:fillRect/>
                    </a:stretch>
                  </pic:blipFill>
                  <pic:spPr>
                    <a:xfrm>
                      <a:off x="0" y="0"/>
                      <a:ext cx="5669280" cy="1587398"/>
                    </a:xfrm>
                    <a:prstGeom prst="rect"/>
                  </pic:spPr>
                </pic:pic>
              </a:graphicData>
            </a:graphic>
          </wp:inline>
        </w:drawing>
      </w:r>
    </w:p>
    <w:p>
      <w:pPr>
        <w:spacing w:after="240"/>
        <w:jc w:val="left"/>
      </w:pPr>
      <w:r>
        <w:rPr>
          <w:b/>
          <w:sz w:val="18"/>
        </w:rPr>
        <w:t>Figure 5.</w:t>
      </w:r>
      <w:r>
        <w:rPr>
          <w:sz w:val="18"/>
        </w:rPr>
        <w:t xml:space="preserve"> </w:t>
      </w:r>
      <w:r>
        <w:rPr>
          <w:b/>
          <w:sz w:val="18"/>
        </w:rPr>
        <w:t>Saturation and anti-windup at 150 W / 20 K, load dumped to 15 W at 25 min.</w:t>
      </w:r>
      <w:r>
        <w:rPr>
          <w:sz w:val="18"/>
        </w:rPr>
        <w:t xml:space="preserve"> Steady guard demand at this corner is 11.5 W with a transient peak of 16.6 W. </w:t>
      </w:r>
      <w:r>
        <w:rPr>
          <w:b/>
          <w:sz w:val="18"/>
        </w:rPr>
        <w:t>Blue, 100 W as designed:</w:t>
      </w:r>
      <w:r>
        <w:rPr>
          <w:sz w:val="18"/>
        </w:rPr>
        <w:t xml:space="preserve"> never saturates, null error stays small, recovery after the dump takes 4.2 min. </w:t>
      </w:r>
      <w:r>
        <w:rPr>
          <w:b/>
          <w:sz w:val="18"/>
        </w:rPr>
        <w:t>Orange and green, 13.3 W marginal:</w:t>
      </w:r>
      <w:r>
        <w:rPr>
          <w:sz w:val="18"/>
        </w:rPr>
        <w:t xml:space="preserve"> clipped 24 % of the run; the two traces are nearly indistinguishable, so with a ceiling this close to the demand, anti-windup is barely exercised (peak integrator 1 442 vs 1 473 K·s, recovery 5.2 vs 5.3 min). </w:t>
      </w:r>
      <w:r>
        <w:rPr>
          <w:b/>
          <w:sz w:val="18"/>
        </w:rPr>
        <w:t>Red, 8.0 W undersized:</w:t>
      </w:r>
      <w:r>
        <w:rPr>
          <w:sz w:val="18"/>
        </w:rPr>
        <w:t xml:space="preserve"> clipped 48 % of the run, the integrator winds to 6 418 K·s — more than eight times the healthy case — the null error swings ±6 K, and recovery takes </w:t>
      </w:r>
      <w:r>
        <w:rPr>
          <w:b/>
          <w:sz w:val="18"/>
        </w:rPr>
        <w:t>22.4 min</w:t>
      </w:r>
      <w:r>
        <w:rPr>
          <w:sz w:val="18"/>
        </w:rPr>
        <w:t xml:space="preserve"> against 4.2. That is a sizing failure, and no amount of controller tuning fixes it.</w:t>
      </w:r>
    </w:p>
    <w:p>
      <w:pPr>
        <w:spacing w:before="160" w:after="40"/>
        <w:jc w:val="center"/>
      </w:pPr>
      <w:r>
        <w:drawing>
          <wp:inline xmlns:a="http://schemas.openxmlformats.org/drawingml/2006/main" xmlns:pic="http://schemas.openxmlformats.org/drawingml/2006/picture">
            <wp:extent cx="5669280" cy="1587398"/>
            <wp:docPr id="6" name="Picture 6"/>
            <wp:cNvGraphicFramePr>
              <a:graphicFrameLocks noChangeAspect="1"/>
            </wp:cNvGraphicFramePr>
            <a:graphic>
              <a:graphicData uri="http://schemas.openxmlformats.org/drawingml/2006/picture">
                <pic:pic>
                  <pic:nvPicPr>
                    <pic:cNvPr id="0" name="windup_200W_dT8K.png"/>
                    <pic:cNvPicPr/>
                  </pic:nvPicPr>
                  <pic:blipFill>
                    <a:blip r:embed="rId21"/>
                    <a:stretch>
                      <a:fillRect/>
                    </a:stretch>
                  </pic:blipFill>
                  <pic:spPr>
                    <a:xfrm>
                      <a:off x="0" y="0"/>
                      <a:ext cx="5669280" cy="1587398"/>
                    </a:xfrm>
                    <a:prstGeom prst="rect"/>
                  </pic:spPr>
                </pic:pic>
              </a:graphicData>
            </a:graphic>
          </wp:inline>
        </w:drawing>
      </w:r>
    </w:p>
    <w:p>
      <w:pPr>
        <w:spacing w:after="240"/>
        <w:jc w:val="left"/>
      </w:pPr>
      <w:r>
        <w:rPr>
          <w:b/>
          <w:sz w:val="18"/>
        </w:rPr>
        <w:t>Figure 6.</w:t>
      </w:r>
      <w:r>
        <w:rPr>
          <w:sz w:val="18"/>
        </w:rPr>
        <w:t xml:space="preserve"> </w:t>
      </w:r>
      <w:r>
        <w:rPr>
          <w:b/>
          <w:sz w:val="18"/>
        </w:rPr>
        <w:t>The same study at 200 W / 8 K.</w:t>
      </w:r>
      <w:r>
        <w:rPr>
          <w:sz w:val="18"/>
        </w:rPr>
        <w:t xml:space="preserve"> Steady demand 5.9 W, transient peak 14.1 W — note that the steady demand is </w:t>
      </w:r>
      <w:r>
        <w:rPr>
          <w:i/>
          <w:sz w:val="18"/>
        </w:rPr>
        <w:t>lower</w:t>
      </w:r>
      <w:r>
        <w:rPr>
          <w:sz w:val="18"/>
        </w:rPr>
        <w:t xml:space="preserve"> here than at 150 W / 20 K, because the high flow keeps the chamber cooler, while the transient peak is similar. An undersized 4.2 W heater is clipped for 58.7 % of the run and takes 17.4 min to recover. </w:t>
      </w:r>
      <w:r>
        <w:rPr>
          <w:b/>
          <w:sz w:val="18"/>
        </w:rPr>
        <w:t>The design conclusion is that the guard heater must be sized against the transient peak, not the steady demand</w:t>
      </w:r>
      <w:r>
        <w:rPr>
          <w:sz w:val="18"/>
        </w:rPr>
        <w:t xml:space="preserve"> — roughly a factor of 2.5 apart at these corners. The specified 100 W barrel resistor gives about 6× margin over the worst transient peak seen, which also covers its second role as the guard-side preheat element.</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Why every configuration has a slow tail after the load dump</w:t>
            </w:r>
          </w:p>
          <w:p>
            <w:pPr>
              <w:spacing w:after="40"/>
            </w:pPr>
            <w:r>
              <w:rPr>
                <w:sz w:val="19"/>
              </w:rPr>
              <w:t xml:space="preserve">In all four traces the delivered power sits at exactly zero for several minutes after the dump, and the null error takes minutes to come back. That is not a controller problem: </w:t>
            </w:r>
            <w:r>
              <w:rPr>
                <w:b/>
                <w:sz w:val="19"/>
              </w:rPr>
              <w:t>heaters cannot cool.</w:t>
            </w:r>
            <w:r>
              <w:rPr>
                <w:sz w:val="19"/>
              </w:rPr>
              <w:t xml:space="preserve"> Once the demand goes negative the output is pinned at the floor and the gap can only bleed its stored energy off through G</w:t>
            </w:r>
            <w:r>
              <w:rPr>
                <w:sz w:val="19"/>
                <w:vertAlign w:val="subscript"/>
              </w:rPr>
              <w:t>out</w:t>
            </w:r>
            <w:r>
              <w:rPr>
                <w:sz w:val="19"/>
              </w:rPr>
              <w:t xml:space="preserve">, at its own τ. The consequence for the test sequence is that </w:t>
            </w:r>
            <w:r>
              <w:rPr>
                <w:b/>
                <w:sz w:val="19"/>
              </w:rPr>
              <w:t>stepping the load down is slower than stepping it up</w:t>
            </w:r>
            <w:r>
              <w:rPr>
                <w:sz w:val="19"/>
              </w:rPr>
              <w:t>, so a load map should be swept upward wherever possible.</w:t>
            </w:r>
          </w:p>
        </w:tc>
      </w:tr>
    </w:tbl>
    <w:p>
      <w:pPr>
        <w:spacing w:after="80"/>
      </w:pPr>
    </w:p>
    <w:p>
      <w:pPr>
        <w:pStyle w:val="Heading2"/>
      </w:pPr>
      <w:r>
        <w:t>Corner sweep — the shipping configuration</w:t>
      </w:r>
    </w:p>
    <w:p>
      <w:pPr>
        <w:spacing w:after="120"/>
      </w:pPr>
      <w:r>
        <w:t xml:space="preserve">The table below is the model run at </w:t>
      </w:r>
      <w:r>
        <w:rPr>
          <w:b/>
        </w:rPr>
        <w:t>α = 0, the built rig</w:t>
      </w:r>
      <w:r>
        <w:t>, across the design envelope. It is the single most useful output of the simulation, because it is what sets the test schedule.</w:t>
      </w:r>
    </w:p>
    <w:tbl>
      <w:tblPr>
        <w:tblStyle w:val="TableGrid"/>
        <w:tblW w:type="auto" w:w="0"/>
        <w:jc w:val="center"/>
        <w:tblLayout w:type="fixed"/>
        <w:tblLook w:firstColumn="1" w:firstRow="1" w:lastColumn="0" w:lastRow="0" w:noHBand="0" w:noVBand="1" w:val="04A0"/>
      </w:tblPr>
      <w:tblGrid>
        <w:gridCol w:w="903"/>
        <w:gridCol w:w="903"/>
        <w:gridCol w:w="903"/>
        <w:gridCol w:w="903"/>
        <w:gridCol w:w="903"/>
        <w:gridCol w:w="903"/>
        <w:gridCol w:w="903"/>
        <w:gridCol w:w="903"/>
        <w:gridCol w:w="903"/>
        <w:gridCol w:w="903"/>
      </w:tblGrid>
      <w:tr>
        <w:trPr>
          <w:tblHeader w:val="true"/>
        </w:trPr>
        <w:tc>
          <w:tcPr>
            <w:tcW w:type="dxa" w:w="821"/>
            <w:shd w:val="clear" w:color="auto" w:fill="DEEAF6"/>
          </w:tcPr>
          <w:p>
            <w:pPr>
              <w:spacing w:after="20" w:before="20"/>
            </w:pPr>
            <w:r/>
            <w:r>
              <w:rPr>
                <w:b/>
                <w:sz w:val="17"/>
              </w:rPr>
              <w:t>P</w:t>
            </w:r>
            <w:r>
              <w:rPr>
                <w:b/>
                <w:sz w:val="17"/>
                <w:vertAlign w:val="subscript"/>
              </w:rPr>
              <w:t>DUT</w:t>
            </w:r>
          </w:p>
        </w:tc>
        <w:tc>
          <w:tcPr>
            <w:tcW w:type="dxa" w:w="739"/>
            <w:shd w:val="clear" w:color="auto" w:fill="DEEAF6"/>
          </w:tcPr>
          <w:p>
            <w:pPr>
              <w:spacing w:after="20" w:before="20"/>
            </w:pPr>
            <w:r/>
            <w:r>
              <w:rPr>
                <w:b/>
                <w:sz w:val="17"/>
              </w:rPr>
              <w:t>ΔT</w:t>
            </w:r>
            <w:r>
              <w:rPr>
                <w:b/>
                <w:sz w:val="17"/>
                <w:vertAlign w:val="subscript"/>
              </w:rPr>
              <w:t>set</w:t>
            </w:r>
          </w:p>
        </w:tc>
        <w:tc>
          <w:tcPr>
            <w:tcW w:type="dxa" w:w="821"/>
            <w:shd w:val="clear" w:color="auto" w:fill="DEEAF6"/>
          </w:tcPr>
          <w:p>
            <w:pPr>
              <w:spacing w:after="20" w:before="20"/>
            </w:pPr>
            <w:r/>
            <w:r>
              <w:rPr>
                <w:b/>
                <w:sz w:val="17"/>
              </w:rPr>
              <w:t>ṁc</w:t>
            </w:r>
            <w:r>
              <w:rPr>
                <w:b/>
                <w:sz w:val="17"/>
                <w:vertAlign w:val="subscript"/>
              </w:rPr>
              <w:t>p</w:t>
            </w:r>
          </w:p>
        </w:tc>
        <w:tc>
          <w:tcPr>
            <w:tcW w:type="dxa" w:w="903"/>
            <w:shd w:val="clear" w:color="auto" w:fill="DEEAF6"/>
          </w:tcPr>
          <w:p>
            <w:pPr>
              <w:spacing w:after="20" w:before="20"/>
            </w:pPr>
            <w:r/>
            <w:r>
              <w:rPr>
                <w:b/>
                <w:sz w:val="17"/>
              </w:rPr>
              <w:t>Flow</w:t>
            </w:r>
          </w:p>
        </w:tc>
        <w:tc>
          <w:tcPr>
            <w:tcW w:type="dxa" w:w="1231"/>
            <w:shd w:val="clear" w:color="auto" w:fill="DEEAF6"/>
          </w:tcPr>
          <w:p>
            <w:pPr>
              <w:spacing w:after="20" w:before="20"/>
            </w:pPr>
            <w:r/>
            <w:r>
              <w:rPr>
                <w:b/>
                <w:sz w:val="17"/>
              </w:rPr>
              <w:t>Gain, guard open</w:t>
            </w:r>
          </w:p>
        </w:tc>
        <w:tc>
          <w:tcPr>
            <w:tcW w:type="dxa" w:w="1067"/>
            <w:shd w:val="clear" w:color="auto" w:fill="DEEAF6"/>
          </w:tcPr>
          <w:p>
            <w:pPr>
              <w:spacing w:after="20" w:before="20"/>
            </w:pPr>
            <w:r/>
            <w:r>
              <w:rPr>
                <w:b/>
                <w:sz w:val="17"/>
              </w:rPr>
              <w:t>Gain, guard closed</w:t>
            </w:r>
          </w:p>
        </w:tc>
        <w:tc>
          <w:tcPr>
            <w:tcW w:type="dxa" w:w="985"/>
            <w:shd w:val="clear" w:color="auto" w:fill="DEEAF6"/>
          </w:tcPr>
          <w:p>
            <w:pPr>
              <w:spacing w:after="20" w:before="20"/>
            </w:pPr>
            <w:r/>
            <w:r>
              <w:rPr>
                <w:b/>
                <w:sz w:val="17"/>
              </w:rPr>
              <w:t>1 % settling</w:t>
            </w:r>
          </w:p>
        </w:tc>
        <w:tc>
          <w:tcPr>
            <w:tcW w:type="dxa" w:w="821"/>
            <w:shd w:val="clear" w:color="auto" w:fill="DEEAF6"/>
          </w:tcPr>
          <w:p>
            <w:pPr>
              <w:spacing w:after="20" w:before="20"/>
            </w:pPr>
            <w:r/>
            <w:r>
              <w:rPr>
                <w:b/>
                <w:sz w:val="17"/>
              </w:rPr>
              <w:t>Peak |e|</w:t>
            </w:r>
          </w:p>
        </w:tc>
        <w:tc>
          <w:tcPr>
            <w:tcW w:type="dxa" w:w="821"/>
            <w:shd w:val="clear" w:color="auto" w:fill="DEEAF6"/>
          </w:tcPr>
          <w:p>
            <w:pPr>
              <w:spacing w:after="20" w:before="20"/>
            </w:pPr>
            <w:r/>
            <w:r>
              <w:rPr>
                <w:b/>
                <w:sz w:val="17"/>
              </w:rPr>
              <w:t>Peak leak</w:t>
            </w:r>
          </w:p>
        </w:tc>
        <w:tc>
          <w:tcPr>
            <w:tcW w:type="dxa" w:w="821"/>
            <w:shd w:val="clear" w:color="auto" w:fill="DEEAF6"/>
          </w:tcPr>
          <w:p>
            <w:pPr>
              <w:spacing w:after="20" w:before="20"/>
            </w:pPr>
            <w:r/>
            <w:r>
              <w:rPr>
                <w:b/>
                <w:sz w:val="17"/>
              </w:rPr>
              <w:t>P</w:t>
            </w:r>
            <w:r>
              <w:rPr>
                <w:b/>
                <w:sz w:val="17"/>
                <w:vertAlign w:val="subscript"/>
              </w:rPr>
              <w:t>e</w:t>
            </w:r>
            <w:r>
              <w:rPr>
                <w:b/>
                <w:sz w:val="17"/>
              </w:rPr>
              <w:t xml:space="preserve"> steady</w:t>
            </w:r>
          </w:p>
        </w:tc>
      </w:tr>
      <w:tr>
        <w:tc>
          <w:tcPr>
            <w:tcW w:type="dxa" w:w="821"/>
          </w:tcPr>
          <w:p>
            <w:pPr>
              <w:spacing w:after="20" w:before="20"/>
            </w:pPr>
            <w:r/>
            <w:r>
              <w:rPr>
                <w:sz w:val="17"/>
              </w:rPr>
              <w:t>15 W</w:t>
            </w:r>
          </w:p>
        </w:tc>
        <w:tc>
          <w:tcPr>
            <w:tcW w:type="dxa" w:w="739"/>
          </w:tcPr>
          <w:p>
            <w:pPr>
              <w:spacing w:after="20" w:before="20"/>
            </w:pPr>
            <w:r/>
            <w:r>
              <w:rPr>
                <w:sz w:val="17"/>
              </w:rPr>
              <w:t>5 K</w:t>
            </w:r>
          </w:p>
        </w:tc>
        <w:tc>
          <w:tcPr>
            <w:tcW w:type="dxa" w:w="821"/>
          </w:tcPr>
          <w:p>
            <w:pPr>
              <w:spacing w:after="20" w:before="20"/>
            </w:pPr>
            <w:r/>
            <w:r>
              <w:rPr>
                <w:sz w:val="17"/>
              </w:rPr>
              <w:t>3.00 W/K</w:t>
            </w:r>
          </w:p>
        </w:tc>
        <w:tc>
          <w:tcPr>
            <w:tcW w:type="dxa" w:w="903"/>
          </w:tcPr>
          <w:p>
            <w:pPr>
              <w:spacing w:after="20" w:before="20"/>
            </w:pPr>
            <w:r/>
            <w:r>
              <w:rPr>
                <w:sz w:val="17"/>
              </w:rPr>
              <w:t>43 mL/min</w:t>
            </w:r>
          </w:p>
        </w:tc>
        <w:tc>
          <w:tcPr>
            <w:tcW w:type="dxa" w:w="1231"/>
          </w:tcPr>
          <w:p>
            <w:pPr>
              <w:spacing w:after="20" w:before="20"/>
            </w:pPr>
            <w:r/>
            <w:r>
              <w:rPr>
                <w:sz w:val="17"/>
              </w:rPr>
              <w:t>0.9162 (−8.4 %)</w:t>
            </w:r>
          </w:p>
        </w:tc>
        <w:tc>
          <w:tcPr>
            <w:tcW w:type="dxa" w:w="1067"/>
          </w:tcPr>
          <w:p>
            <w:pPr>
              <w:spacing w:after="20" w:before="20"/>
            </w:pPr>
            <w:r/>
            <w:r>
              <w:rPr>
                <w:b/>
                <w:sz w:val="17"/>
              </w:rPr>
              <w:t>1.000000</w:t>
            </w:r>
          </w:p>
        </w:tc>
        <w:tc>
          <w:tcPr>
            <w:tcW w:type="dxa" w:w="985"/>
          </w:tcPr>
          <w:p>
            <w:pPr>
              <w:spacing w:after="20" w:before="20"/>
            </w:pPr>
            <w:r/>
            <w:r>
              <w:rPr>
                <w:b/>
                <w:sz w:val="17"/>
              </w:rPr>
              <w:t>63.6 min</w:t>
            </w:r>
          </w:p>
        </w:tc>
        <w:tc>
          <w:tcPr>
            <w:tcW w:type="dxa" w:w="821"/>
          </w:tcPr>
          <w:p>
            <w:pPr>
              <w:spacing w:after="20" w:before="20"/>
            </w:pPr>
            <w:r/>
            <w:r>
              <w:rPr>
                <w:sz w:val="17"/>
              </w:rPr>
              <w:t>0.32 K ✓</w:t>
            </w:r>
          </w:p>
        </w:tc>
        <w:tc>
          <w:tcPr>
            <w:tcW w:type="dxa" w:w="821"/>
          </w:tcPr>
          <w:p>
            <w:pPr>
              <w:spacing w:after="20" w:before="20"/>
            </w:pPr>
            <w:r/>
            <w:r>
              <w:rPr>
                <w:sz w:val="17"/>
              </w:rPr>
              <w:t>0.18 W</w:t>
            </w:r>
          </w:p>
        </w:tc>
        <w:tc>
          <w:tcPr>
            <w:tcW w:type="dxa" w:w="821"/>
          </w:tcPr>
          <w:p>
            <w:pPr>
              <w:spacing w:after="20" w:before="20"/>
            </w:pPr>
            <w:r/>
            <w:r>
              <w:rPr>
                <w:sz w:val="17"/>
              </w:rPr>
              <w:t>4.7 W</w:t>
            </w:r>
          </w:p>
        </w:tc>
      </w:tr>
      <w:tr>
        <w:tc>
          <w:tcPr>
            <w:tcW w:type="dxa" w:w="821"/>
          </w:tcPr>
          <w:p>
            <w:pPr>
              <w:spacing w:after="20" w:before="20"/>
            </w:pPr>
            <w:r/>
            <w:r>
              <w:rPr>
                <w:sz w:val="17"/>
              </w:rPr>
              <w:t>50 W</w:t>
            </w:r>
          </w:p>
        </w:tc>
        <w:tc>
          <w:tcPr>
            <w:tcW w:type="dxa" w:w="739"/>
          </w:tcPr>
          <w:p>
            <w:pPr>
              <w:spacing w:after="20" w:before="20"/>
            </w:pPr>
            <w:r/>
            <w:r>
              <w:rPr>
                <w:sz w:val="17"/>
              </w:rPr>
              <w:t>8 K</w:t>
            </w:r>
          </w:p>
        </w:tc>
        <w:tc>
          <w:tcPr>
            <w:tcW w:type="dxa" w:w="821"/>
          </w:tcPr>
          <w:p>
            <w:pPr>
              <w:spacing w:after="20" w:before="20"/>
            </w:pPr>
            <w:r/>
            <w:r>
              <w:rPr>
                <w:sz w:val="17"/>
              </w:rPr>
              <w:t>6.25 W/K</w:t>
            </w:r>
          </w:p>
        </w:tc>
        <w:tc>
          <w:tcPr>
            <w:tcW w:type="dxa" w:w="903"/>
          </w:tcPr>
          <w:p>
            <w:pPr>
              <w:spacing w:after="20" w:before="20"/>
            </w:pPr>
            <w:r/>
            <w:r>
              <w:rPr>
                <w:sz w:val="17"/>
              </w:rPr>
              <w:t>90 mL/min</w:t>
            </w:r>
          </w:p>
        </w:tc>
        <w:tc>
          <w:tcPr>
            <w:tcW w:type="dxa" w:w="1231"/>
          </w:tcPr>
          <w:p>
            <w:pPr>
              <w:spacing w:after="20" w:before="20"/>
            </w:pPr>
            <w:r/>
            <w:r>
              <w:rPr>
                <w:sz w:val="17"/>
              </w:rPr>
              <w:t>0.9540 (−4.6 %)</w:t>
            </w:r>
          </w:p>
        </w:tc>
        <w:tc>
          <w:tcPr>
            <w:tcW w:type="dxa" w:w="1067"/>
          </w:tcPr>
          <w:p>
            <w:pPr>
              <w:spacing w:after="20" w:before="20"/>
            </w:pPr>
            <w:r/>
            <w:r>
              <w:rPr>
                <w:b/>
                <w:sz w:val="17"/>
              </w:rPr>
              <w:t>1.000000</w:t>
            </w:r>
          </w:p>
        </w:tc>
        <w:tc>
          <w:tcPr>
            <w:tcW w:type="dxa" w:w="985"/>
          </w:tcPr>
          <w:p>
            <w:pPr>
              <w:spacing w:after="20" w:before="20"/>
            </w:pPr>
            <w:r/>
            <w:r>
              <w:rPr>
                <w:sz w:val="17"/>
              </w:rPr>
              <w:t>30.8 min</w:t>
            </w:r>
          </w:p>
        </w:tc>
        <w:tc>
          <w:tcPr>
            <w:tcW w:type="dxa" w:w="821"/>
          </w:tcPr>
          <w:p>
            <w:pPr>
              <w:spacing w:after="20" w:before="20"/>
            </w:pPr>
            <w:r/>
            <w:r>
              <w:rPr>
                <w:sz w:val="17"/>
              </w:rPr>
              <w:t>1.07 K ✓</w:t>
            </w:r>
          </w:p>
        </w:tc>
        <w:tc>
          <w:tcPr>
            <w:tcW w:type="dxa" w:w="821"/>
          </w:tcPr>
          <w:p>
            <w:pPr>
              <w:spacing w:after="20" w:before="20"/>
            </w:pPr>
            <w:r/>
            <w:r>
              <w:rPr>
                <w:sz w:val="17"/>
              </w:rPr>
              <w:t>0.60 W</w:t>
            </w:r>
          </w:p>
        </w:tc>
        <w:tc>
          <w:tcPr>
            <w:tcW w:type="dxa" w:w="821"/>
          </w:tcPr>
          <w:p>
            <w:pPr>
              <w:spacing w:after="20" w:before="20"/>
            </w:pPr>
            <w:r/>
            <w:r>
              <w:rPr>
                <w:sz w:val="17"/>
              </w:rPr>
              <w:t>6.6 W</w:t>
            </w:r>
          </w:p>
        </w:tc>
      </w:tr>
      <w:tr>
        <w:tc>
          <w:tcPr>
            <w:tcW w:type="dxa" w:w="821"/>
          </w:tcPr>
          <w:p>
            <w:pPr>
              <w:spacing w:after="20" w:before="20"/>
            </w:pPr>
            <w:r/>
            <w:r>
              <w:rPr>
                <w:sz w:val="17"/>
              </w:rPr>
              <w:t>100 W</w:t>
            </w:r>
          </w:p>
        </w:tc>
        <w:tc>
          <w:tcPr>
            <w:tcW w:type="dxa" w:w="739"/>
          </w:tcPr>
          <w:p>
            <w:pPr>
              <w:spacing w:after="20" w:before="20"/>
            </w:pPr>
            <w:r/>
            <w:r>
              <w:rPr>
                <w:sz w:val="17"/>
              </w:rPr>
              <w:t>10 K</w:t>
            </w:r>
          </w:p>
        </w:tc>
        <w:tc>
          <w:tcPr>
            <w:tcW w:type="dxa" w:w="821"/>
          </w:tcPr>
          <w:p>
            <w:pPr>
              <w:spacing w:after="20" w:before="20"/>
            </w:pPr>
            <w:r/>
            <w:r>
              <w:rPr>
                <w:sz w:val="17"/>
              </w:rPr>
              <w:t>10.0 W/K</w:t>
            </w:r>
          </w:p>
        </w:tc>
        <w:tc>
          <w:tcPr>
            <w:tcW w:type="dxa" w:w="903"/>
          </w:tcPr>
          <w:p>
            <w:pPr>
              <w:spacing w:after="20" w:before="20"/>
            </w:pPr>
            <w:r/>
            <w:r>
              <w:rPr>
                <w:sz w:val="17"/>
              </w:rPr>
              <w:t>144 mL/min</w:t>
            </w:r>
          </w:p>
        </w:tc>
        <w:tc>
          <w:tcPr>
            <w:tcW w:type="dxa" w:w="1231"/>
          </w:tcPr>
          <w:p>
            <w:pPr>
              <w:spacing w:after="20" w:before="20"/>
            </w:pPr>
            <w:r/>
            <w:r>
              <w:rPr>
                <w:sz w:val="17"/>
              </w:rPr>
              <w:t>0.9678 (−3.2 %)</w:t>
            </w:r>
          </w:p>
        </w:tc>
        <w:tc>
          <w:tcPr>
            <w:tcW w:type="dxa" w:w="1067"/>
          </w:tcPr>
          <w:p>
            <w:pPr>
              <w:spacing w:after="20" w:before="20"/>
            </w:pPr>
            <w:r/>
            <w:r>
              <w:rPr>
                <w:b/>
                <w:sz w:val="17"/>
              </w:rPr>
              <w:t>1.000000</w:t>
            </w:r>
          </w:p>
        </w:tc>
        <w:tc>
          <w:tcPr>
            <w:tcW w:type="dxa" w:w="985"/>
          </w:tcPr>
          <w:p>
            <w:pPr>
              <w:spacing w:after="20" w:before="20"/>
            </w:pPr>
            <w:r/>
            <w:r>
              <w:rPr>
                <w:sz w:val="17"/>
              </w:rPr>
              <w:t>19.4 min</w:t>
            </w:r>
          </w:p>
        </w:tc>
        <w:tc>
          <w:tcPr>
            <w:tcW w:type="dxa" w:w="821"/>
          </w:tcPr>
          <w:p>
            <w:pPr>
              <w:spacing w:after="20" w:before="20"/>
            </w:pPr>
            <w:r/>
            <w:r>
              <w:rPr>
                <w:sz w:val="17"/>
              </w:rPr>
              <w:t>2.13 K ✗</w:t>
            </w:r>
          </w:p>
        </w:tc>
        <w:tc>
          <w:tcPr>
            <w:tcW w:type="dxa" w:w="821"/>
          </w:tcPr>
          <w:p>
            <w:pPr>
              <w:spacing w:after="20" w:before="20"/>
            </w:pPr>
            <w:r/>
            <w:r>
              <w:rPr>
                <w:sz w:val="17"/>
              </w:rPr>
              <w:t>1.19 W</w:t>
            </w:r>
          </w:p>
        </w:tc>
        <w:tc>
          <w:tcPr>
            <w:tcW w:type="dxa" w:w="821"/>
          </w:tcPr>
          <w:p>
            <w:pPr>
              <w:spacing w:after="20" w:before="20"/>
            </w:pPr>
            <w:r/>
            <w:r>
              <w:rPr>
                <w:sz w:val="17"/>
              </w:rPr>
              <w:t>8.3 W</w:t>
            </w:r>
          </w:p>
        </w:tc>
      </w:tr>
      <w:tr>
        <w:tc>
          <w:tcPr>
            <w:tcW w:type="dxa" w:w="821"/>
          </w:tcPr>
          <w:p>
            <w:pPr>
              <w:spacing w:after="20" w:before="20"/>
            </w:pPr>
            <w:r/>
            <w:r>
              <w:rPr>
                <w:sz w:val="17"/>
              </w:rPr>
              <w:t>150 W</w:t>
            </w:r>
          </w:p>
        </w:tc>
        <w:tc>
          <w:tcPr>
            <w:tcW w:type="dxa" w:w="739"/>
          </w:tcPr>
          <w:p>
            <w:pPr>
              <w:spacing w:after="20" w:before="20"/>
            </w:pPr>
            <w:r/>
            <w:r>
              <w:rPr>
                <w:sz w:val="17"/>
              </w:rPr>
              <w:t>10 K</w:t>
            </w:r>
          </w:p>
        </w:tc>
        <w:tc>
          <w:tcPr>
            <w:tcW w:type="dxa" w:w="821"/>
          </w:tcPr>
          <w:p>
            <w:pPr>
              <w:spacing w:after="20" w:before="20"/>
            </w:pPr>
            <w:r/>
            <w:r>
              <w:rPr>
                <w:sz w:val="17"/>
              </w:rPr>
              <w:t>15.0 W/K</w:t>
            </w:r>
          </w:p>
        </w:tc>
        <w:tc>
          <w:tcPr>
            <w:tcW w:type="dxa" w:w="903"/>
          </w:tcPr>
          <w:p>
            <w:pPr>
              <w:spacing w:after="20" w:before="20"/>
            </w:pPr>
            <w:r/>
            <w:r>
              <w:rPr>
                <w:sz w:val="17"/>
              </w:rPr>
              <w:t>216 mL/min</w:t>
            </w:r>
          </w:p>
        </w:tc>
        <w:tc>
          <w:tcPr>
            <w:tcW w:type="dxa" w:w="1231"/>
          </w:tcPr>
          <w:p>
            <w:pPr>
              <w:spacing w:after="20" w:before="20"/>
            </w:pPr>
            <w:r/>
            <w:r>
              <w:rPr>
                <w:sz w:val="17"/>
              </w:rPr>
              <w:t>0.9757 (−2.4 %)</w:t>
            </w:r>
          </w:p>
        </w:tc>
        <w:tc>
          <w:tcPr>
            <w:tcW w:type="dxa" w:w="1067"/>
          </w:tcPr>
          <w:p>
            <w:pPr>
              <w:spacing w:after="20" w:before="20"/>
            </w:pPr>
            <w:r/>
            <w:r>
              <w:rPr>
                <w:b/>
                <w:sz w:val="17"/>
              </w:rPr>
              <w:t>1.000000</w:t>
            </w:r>
          </w:p>
        </w:tc>
        <w:tc>
          <w:tcPr>
            <w:tcW w:type="dxa" w:w="985"/>
          </w:tcPr>
          <w:p>
            <w:pPr>
              <w:spacing w:after="20" w:before="20"/>
            </w:pPr>
            <w:r/>
            <w:r>
              <w:rPr>
                <w:sz w:val="17"/>
              </w:rPr>
              <w:t>13.2 min</w:t>
            </w:r>
          </w:p>
        </w:tc>
        <w:tc>
          <w:tcPr>
            <w:tcW w:type="dxa" w:w="821"/>
          </w:tcPr>
          <w:p>
            <w:pPr>
              <w:spacing w:after="20" w:before="20"/>
            </w:pPr>
            <w:r/>
            <w:r>
              <w:rPr>
                <w:sz w:val="17"/>
              </w:rPr>
              <w:t>3.16 K ✗</w:t>
            </w:r>
          </w:p>
        </w:tc>
        <w:tc>
          <w:tcPr>
            <w:tcW w:type="dxa" w:w="821"/>
          </w:tcPr>
          <w:p>
            <w:pPr>
              <w:spacing w:after="20" w:before="20"/>
            </w:pPr>
            <w:r/>
            <w:r>
              <w:rPr>
                <w:sz w:val="17"/>
              </w:rPr>
              <w:t>1.77 W</w:t>
            </w:r>
          </w:p>
        </w:tc>
        <w:tc>
          <w:tcPr>
            <w:tcW w:type="dxa" w:w="821"/>
          </w:tcPr>
          <w:p>
            <w:pPr>
              <w:spacing w:after="20" w:before="20"/>
            </w:pPr>
            <w:r/>
            <w:r>
              <w:rPr>
                <w:sz w:val="17"/>
              </w:rPr>
              <w:t>9.0 W</w:t>
            </w:r>
          </w:p>
        </w:tc>
      </w:tr>
      <w:tr>
        <w:tc>
          <w:tcPr>
            <w:tcW w:type="dxa" w:w="821"/>
          </w:tcPr>
          <w:p>
            <w:pPr>
              <w:spacing w:after="20" w:before="20"/>
            </w:pPr>
            <w:r/>
            <w:r>
              <w:rPr>
                <w:sz w:val="17"/>
              </w:rPr>
              <w:t>200 W</w:t>
            </w:r>
          </w:p>
        </w:tc>
        <w:tc>
          <w:tcPr>
            <w:tcW w:type="dxa" w:w="739"/>
          </w:tcPr>
          <w:p>
            <w:pPr>
              <w:spacing w:after="20" w:before="20"/>
            </w:pPr>
            <w:r/>
            <w:r>
              <w:rPr>
                <w:sz w:val="17"/>
              </w:rPr>
              <w:t>10 K</w:t>
            </w:r>
          </w:p>
        </w:tc>
        <w:tc>
          <w:tcPr>
            <w:tcW w:type="dxa" w:w="821"/>
          </w:tcPr>
          <w:p>
            <w:pPr>
              <w:spacing w:after="20" w:before="20"/>
            </w:pPr>
            <w:r/>
            <w:r>
              <w:rPr>
                <w:sz w:val="17"/>
              </w:rPr>
              <w:t>20.0 W/K</w:t>
            </w:r>
          </w:p>
        </w:tc>
        <w:tc>
          <w:tcPr>
            <w:tcW w:type="dxa" w:w="903"/>
          </w:tcPr>
          <w:p>
            <w:pPr>
              <w:spacing w:after="20" w:before="20"/>
            </w:pPr>
            <w:r/>
            <w:r>
              <w:rPr>
                <w:sz w:val="17"/>
              </w:rPr>
              <w:t>289 mL/min</w:t>
            </w:r>
          </w:p>
        </w:tc>
        <w:tc>
          <w:tcPr>
            <w:tcW w:type="dxa" w:w="1231"/>
          </w:tcPr>
          <w:p>
            <w:pPr>
              <w:spacing w:after="20" w:before="20"/>
            </w:pPr>
            <w:r/>
            <w:r>
              <w:rPr>
                <w:sz w:val="17"/>
              </w:rPr>
              <w:t>0.9796 (−2.0 %)</w:t>
            </w:r>
          </w:p>
        </w:tc>
        <w:tc>
          <w:tcPr>
            <w:tcW w:type="dxa" w:w="1067"/>
          </w:tcPr>
          <w:p>
            <w:pPr>
              <w:spacing w:after="20" w:before="20"/>
            </w:pPr>
            <w:r/>
            <w:r>
              <w:rPr>
                <w:b/>
                <w:sz w:val="17"/>
              </w:rPr>
              <w:t>1.000000</w:t>
            </w:r>
          </w:p>
        </w:tc>
        <w:tc>
          <w:tcPr>
            <w:tcW w:type="dxa" w:w="985"/>
          </w:tcPr>
          <w:p>
            <w:pPr>
              <w:spacing w:after="20" w:before="20"/>
            </w:pPr>
            <w:r/>
            <w:r>
              <w:rPr>
                <w:sz w:val="17"/>
              </w:rPr>
              <w:t>10.1 min</w:t>
            </w:r>
          </w:p>
        </w:tc>
        <w:tc>
          <w:tcPr>
            <w:tcW w:type="dxa" w:w="821"/>
          </w:tcPr>
          <w:p>
            <w:pPr>
              <w:spacing w:after="20" w:before="20"/>
            </w:pPr>
            <w:r/>
            <w:r>
              <w:rPr>
                <w:sz w:val="17"/>
              </w:rPr>
              <w:t>4.18 K ✗</w:t>
            </w:r>
          </w:p>
        </w:tc>
        <w:tc>
          <w:tcPr>
            <w:tcW w:type="dxa" w:w="821"/>
          </w:tcPr>
          <w:p>
            <w:pPr>
              <w:spacing w:after="20" w:before="20"/>
            </w:pPr>
            <w:r/>
            <w:r>
              <w:rPr>
                <w:sz w:val="17"/>
              </w:rPr>
              <w:t>2.34 W</w:t>
            </w:r>
          </w:p>
        </w:tc>
        <w:tc>
          <w:tcPr>
            <w:tcW w:type="dxa" w:w="821"/>
          </w:tcPr>
          <w:p>
            <w:pPr>
              <w:spacing w:after="20" w:before="20"/>
            </w:pPr>
            <w:r/>
            <w:r>
              <w:rPr>
                <w:sz w:val="17"/>
              </w:rPr>
              <w:t>9.8 W</w:t>
            </w:r>
          </w:p>
        </w:tc>
      </w:tr>
    </w:tbl>
    <w:p>
      <w:pPr>
        <w:spacing w:before="60" w:after="200"/>
        <w:jc w:val="left"/>
      </w:pPr>
      <w:r>
        <w:rPr>
          <w:i/>
          <w:sz w:val="18"/>
        </w:rPr>
        <w:t xml:space="preserve">Table 27. Closed-loop corner sweep at α = 0, flow matched to the load, step from a parked rig. ✓/✗ marks the 1.79 K null gate on the </w:t>
      </w:r>
      <w:r>
        <w:rPr>
          <w:b/>
          <w:i/>
          <w:sz w:val="18"/>
        </w:rPr>
        <w:t>transient</w:t>
      </w:r>
      <w:r>
        <w:rPr>
          <w:i/>
          <w:sz w:val="18"/>
        </w:rPr>
        <w:t xml:space="preserve"> peak; every corner satisfies it in steady state, which is what the logged point depends on.</w:t>
      </w:r>
    </w:p>
    <w:p>
      <w:pPr>
        <w:spacing w:after="120"/>
      </w:pPr>
      <w:r>
        <w:t>Three readings, two of which are warnings:</w:t>
      </w:r>
    </w:p>
    <w:p>
      <w:pPr>
        <w:spacing w:after="60" w:before="0"/>
        <w:ind w:left="720" w:hanging="360"/>
      </w:pPr>
      <w:r>
        <w:t>•</w:t>
        <w:tab/>
      </w:r>
      <w:r>
        <w:rPr>
          <w:b/>
        </w:rPr>
        <w:t>The closed-loop gain is exactly 1 at every corner.</w:t>
      </w:r>
      <w:r>
        <w:t xml:space="preserve"> Five different flows, five different plants, one answer. This is the central result of the whole modelling effort: the instrument is unbiased by construction, not by calibration.</w:t>
      </w:r>
    </w:p>
    <w:p>
      <w:pPr>
        <w:spacing w:after="60" w:before="0"/>
        <w:ind w:left="720" w:hanging="360"/>
      </w:pPr>
      <w:r>
        <w:t>•</w:t>
        <w:tab/>
      </w:r>
      <w:r>
        <w:rPr>
          <w:b/>
        </w:rPr>
        <w:t>The cold corner is an hour.</w:t>
      </w:r>
      <w:r>
        <w:t xml:space="preserve"> 63.6 min at 15 W. The mechanism is not the foam — it is that (C</w:t>
      </w:r>
      <w:r>
        <w:rPr>
          <w:vertAlign w:val="subscript"/>
        </w:rPr>
        <w:t>i</w:t>
      </w:r>
      <w:r>
        <w:t xml:space="preserve"> + C</w:t>
      </w:r>
      <w:r>
        <w:rPr>
          <w:vertAlign w:val="subscript"/>
        </w:rPr>
        <w:t>w</w:t>
      </w:r>
      <w:r>
        <w:t>) ≈ 2.45 kJ/K has to be swept out through only 3 W/K of advection at 43 mL/min. Three levers exist, cheapest first: raise the flow and accept a smaller water ΔT; reduce C</w:t>
      </w:r>
      <w:r>
        <w:rPr>
          <w:vertAlign w:val="subscript"/>
        </w:rPr>
        <w:t>w</w:t>
      </w:r>
      <w:r>
        <w:t xml:space="preserve"> (every kJ/K removed is worth roughly five minutes); or estimate the steady value from the transient instead of waiting for it, which is a firmware change rather than a hardware one and is discussed in §7.9.2.</w:t>
      </w:r>
    </w:p>
    <w:p>
      <w:pPr>
        <w:spacing w:after="60" w:before="0"/>
        <w:ind w:left="720" w:hanging="360"/>
      </w:pPr>
      <w:r>
        <w:t>•</w:t>
        <w:tab/>
      </w:r>
      <w:r>
        <w:rPr>
          <w:b/>
        </w:rPr>
        <w:t>The transient null error grows with power</w:t>
      </w:r>
      <w:r>
        <w:t xml:space="preserve"> and crosses the gate above about 100 W. As established above, it costs schedule rather than accuracy.</w:t>
      </w:r>
    </w:p>
    <w:p>
      <w:pPr>
        <w:pStyle w:val="Heading2"/>
      </w:pPr>
      <w:r>
        <w:t>Ablation — what the guard is actually worth</w:t>
      </w:r>
    </w:p>
    <w:p>
      <w:pPr>
        <w:spacing w:after="120"/>
      </w:pPr>
      <w:r>
        <w:t>Same plant, same operating point, three guard configurations:</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2176"/>
            <w:shd w:val="clear" w:color="auto" w:fill="DEEAF6"/>
          </w:tcPr>
          <w:p>
            <w:pPr>
              <w:spacing w:after="20" w:before="20"/>
            </w:pPr>
            <w:r/>
            <w:r>
              <w:rPr>
                <w:b/>
                <w:sz w:val="18"/>
              </w:rPr>
              <w:t>Guard configuration</w:t>
            </w:r>
          </w:p>
        </w:tc>
        <w:tc>
          <w:tcPr>
            <w:tcW w:type="dxa" w:w="1632"/>
            <w:shd w:val="clear" w:color="auto" w:fill="DEEAF6"/>
          </w:tcPr>
          <w:p>
            <w:pPr>
              <w:spacing w:after="20" w:before="20"/>
            </w:pPr>
            <w:r/>
            <w:r>
              <w:rPr>
                <w:b/>
                <w:sz w:val="18"/>
              </w:rPr>
              <w:t>DC gain P</w:t>
            </w:r>
            <w:r>
              <w:rPr>
                <w:b/>
                <w:sz w:val="18"/>
                <w:vertAlign w:val="subscript"/>
              </w:rPr>
              <w:t>DUT</w:t>
            </w:r>
            <w:r>
              <w:rPr>
                <w:b/>
                <w:sz w:val="18"/>
              </w:rPr>
              <w:t xml:space="preserve"> → P̂</w:t>
            </w:r>
          </w:p>
        </w:tc>
        <w:tc>
          <w:tcPr>
            <w:tcW w:type="dxa" w:w="1088"/>
            <w:shd w:val="clear" w:color="auto" w:fill="DEEAF6"/>
          </w:tcPr>
          <w:p>
            <w:pPr>
              <w:spacing w:after="20" w:before="20"/>
            </w:pPr>
            <w:r/>
            <w:r>
              <w:rPr>
                <w:b/>
                <w:sz w:val="18"/>
              </w:rPr>
              <w:t>Deficit</w:t>
            </w:r>
          </w:p>
        </w:tc>
        <w:tc>
          <w:tcPr>
            <w:tcW w:type="dxa" w:w="1305"/>
            <w:shd w:val="clear" w:color="auto" w:fill="DEEAF6"/>
          </w:tcPr>
          <w:p>
            <w:pPr>
              <w:spacing w:after="20" w:before="20"/>
            </w:pPr>
            <w:r/>
            <w:r>
              <w:rPr>
                <w:b/>
                <w:sz w:val="18"/>
              </w:rPr>
              <w:t>Error at 150 W</w:t>
            </w:r>
          </w:p>
        </w:tc>
        <w:tc>
          <w:tcPr>
            <w:tcW w:type="dxa" w:w="1523"/>
            <w:shd w:val="clear" w:color="auto" w:fill="DEEAF6"/>
          </w:tcPr>
          <w:p>
            <w:pPr>
              <w:spacing w:after="20" w:before="20"/>
            </w:pPr>
            <w:r/>
            <w:r>
              <w:rPr>
                <w:b/>
                <w:sz w:val="18"/>
              </w:rPr>
              <w:t>Steady null error e</w:t>
            </w:r>
            <w:r>
              <w:rPr>
                <w:b/>
                <w:sz w:val="18"/>
                <w:vertAlign w:val="subscript"/>
              </w:rPr>
              <w:t>ss</w:t>
            </w:r>
          </w:p>
        </w:tc>
        <w:tc>
          <w:tcPr>
            <w:tcW w:type="dxa" w:w="1305"/>
            <w:shd w:val="clear" w:color="auto" w:fill="DEEAF6"/>
          </w:tcPr>
          <w:p>
            <w:pPr>
              <w:spacing w:after="20" w:before="20"/>
            </w:pPr>
            <w:r/>
            <w:r>
              <w:rPr>
                <w:b/>
                <w:sz w:val="18"/>
              </w:rPr>
              <w:t>G</w:t>
            </w:r>
            <w:r>
              <w:rPr>
                <w:b/>
                <w:sz w:val="18"/>
                <w:vertAlign w:val="subscript"/>
              </w:rPr>
              <w:t>gap</w:t>
            </w:r>
            <w:r>
              <w:rPr>
                <w:b/>
                <w:sz w:val="18"/>
              </w:rPr>
              <w:t>·e</w:t>
            </w:r>
            <w:r>
              <w:rPr>
                <w:b/>
                <w:sz w:val="18"/>
                <w:vertAlign w:val="subscript"/>
              </w:rPr>
              <w:t>ss</w:t>
            </w:r>
          </w:p>
        </w:tc>
      </w:tr>
      <w:tr>
        <w:tc>
          <w:tcPr>
            <w:tcW w:type="dxa" w:w="2176"/>
          </w:tcPr>
          <w:p>
            <w:pPr>
              <w:spacing w:after="20" w:before="20"/>
            </w:pPr>
            <w:r/>
            <w:r>
              <w:rPr>
                <w:b/>
                <w:sz w:val="18"/>
              </w:rPr>
              <w:t>PI — integral action</w:t>
            </w:r>
          </w:p>
        </w:tc>
        <w:tc>
          <w:tcPr>
            <w:tcW w:type="dxa" w:w="1632"/>
          </w:tcPr>
          <w:p>
            <w:pPr>
              <w:spacing w:after="20" w:before="20"/>
            </w:pPr>
            <w:r/>
            <w:r>
              <w:rPr>
                <w:b/>
                <w:sz w:val="18"/>
              </w:rPr>
              <w:t>1.000000</w:t>
            </w:r>
          </w:p>
        </w:tc>
        <w:tc>
          <w:tcPr>
            <w:tcW w:type="dxa" w:w="1088"/>
          </w:tcPr>
          <w:p>
            <w:pPr>
              <w:spacing w:after="20" w:before="20"/>
            </w:pPr>
            <w:r/>
            <w:r>
              <w:rPr>
                <w:sz w:val="18"/>
              </w:rPr>
              <w:t>0.0000 %</w:t>
            </w:r>
          </w:p>
        </w:tc>
        <w:tc>
          <w:tcPr>
            <w:tcW w:type="dxa" w:w="1305"/>
          </w:tcPr>
          <w:p>
            <w:pPr>
              <w:spacing w:after="20" w:before="20"/>
            </w:pPr>
            <w:r/>
            <w:r>
              <w:rPr>
                <w:b/>
                <w:sz w:val="18"/>
              </w:rPr>
              <w:t>0.000 W</w:t>
            </w:r>
          </w:p>
        </w:tc>
        <w:tc>
          <w:tcPr>
            <w:tcW w:type="dxa" w:w="1523"/>
          </w:tcPr>
          <w:p>
            <w:pPr>
              <w:spacing w:after="20" w:before="20"/>
            </w:pPr>
            <w:r/>
            <w:r>
              <w:rPr>
                <w:sz w:val="18"/>
              </w:rPr>
              <w:t>0.00000 K</w:t>
            </w:r>
          </w:p>
        </w:tc>
        <w:tc>
          <w:tcPr>
            <w:tcW w:type="dxa" w:w="1305"/>
          </w:tcPr>
          <w:p>
            <w:pPr>
              <w:spacing w:after="20" w:before="20"/>
            </w:pPr>
            <w:r/>
            <w:r>
              <w:rPr>
                <w:sz w:val="18"/>
              </w:rPr>
              <w:t>0.0000 W</w:t>
            </w:r>
          </w:p>
        </w:tc>
      </w:tr>
      <w:tr>
        <w:tc>
          <w:tcPr>
            <w:tcW w:type="dxa" w:w="2176"/>
          </w:tcPr>
          <w:p>
            <w:pPr>
              <w:spacing w:after="20" w:before="20"/>
            </w:pPr>
            <w:r/>
            <w:r>
              <w:rPr>
                <w:sz w:val="18"/>
              </w:rPr>
              <w:t>P-only (K</w:t>
            </w:r>
            <w:r>
              <w:rPr>
                <w:sz w:val="18"/>
                <w:vertAlign w:val="subscript"/>
              </w:rPr>
              <w:t>i</w:t>
            </w:r>
            <w:r>
              <w:rPr>
                <w:sz w:val="18"/>
              </w:rPr>
              <w:t xml:space="preserve"> = 0)</w:t>
            </w:r>
          </w:p>
        </w:tc>
        <w:tc>
          <w:tcPr>
            <w:tcW w:type="dxa" w:w="1632"/>
          </w:tcPr>
          <w:p>
            <w:pPr>
              <w:spacing w:after="20" w:before="20"/>
            </w:pPr>
            <w:r/>
            <w:r>
              <w:rPr>
                <w:sz w:val="18"/>
              </w:rPr>
              <w:t>0.994433</w:t>
            </w:r>
          </w:p>
        </w:tc>
        <w:tc>
          <w:tcPr>
            <w:tcW w:type="dxa" w:w="1088"/>
          </w:tcPr>
          <w:p>
            <w:pPr>
              <w:spacing w:after="20" w:before="20"/>
            </w:pPr>
            <w:r/>
            <w:r>
              <w:rPr>
                <w:sz w:val="18"/>
              </w:rPr>
              <w:t>0.5567 %</w:t>
            </w:r>
          </w:p>
        </w:tc>
        <w:tc>
          <w:tcPr>
            <w:tcW w:type="dxa" w:w="1305"/>
          </w:tcPr>
          <w:p>
            <w:pPr>
              <w:spacing w:after="20" w:before="20"/>
            </w:pPr>
            <w:r/>
            <w:r>
              <w:rPr>
                <w:sz w:val="18"/>
              </w:rPr>
              <w:t>0.835 W</w:t>
            </w:r>
          </w:p>
        </w:tc>
        <w:tc>
          <w:tcPr>
            <w:tcW w:type="dxa" w:w="1523"/>
          </w:tcPr>
          <w:p>
            <w:pPr>
              <w:spacing w:after="20" w:before="20"/>
            </w:pPr>
            <w:r/>
            <w:r>
              <w:rPr>
                <w:sz w:val="18"/>
              </w:rPr>
              <w:t>1.49125 K</w:t>
            </w:r>
          </w:p>
        </w:tc>
        <w:tc>
          <w:tcPr>
            <w:tcW w:type="dxa" w:w="1305"/>
          </w:tcPr>
          <w:p>
            <w:pPr>
              <w:spacing w:after="20" w:before="20"/>
            </w:pPr>
            <w:r/>
            <w:r>
              <w:rPr>
                <w:sz w:val="18"/>
              </w:rPr>
              <w:t>0.8351 W</w:t>
            </w:r>
          </w:p>
        </w:tc>
      </w:tr>
      <w:tr>
        <w:tc>
          <w:tcPr>
            <w:tcW w:type="dxa" w:w="2176"/>
          </w:tcPr>
          <w:p>
            <w:pPr>
              <w:spacing w:after="20" w:before="20"/>
            </w:pPr>
            <w:r/>
            <w:r>
              <w:rPr>
                <w:b/>
                <w:sz w:val="18"/>
              </w:rPr>
              <w:t>Guard OFF (open loop)</w:t>
            </w:r>
          </w:p>
        </w:tc>
        <w:tc>
          <w:tcPr>
            <w:tcW w:type="dxa" w:w="1632"/>
          </w:tcPr>
          <w:p>
            <w:pPr>
              <w:spacing w:after="20" w:before="20"/>
            </w:pPr>
            <w:r/>
            <w:r>
              <w:rPr>
                <w:sz w:val="18"/>
              </w:rPr>
              <w:t>0.967543</w:t>
            </w:r>
          </w:p>
        </w:tc>
        <w:tc>
          <w:tcPr>
            <w:tcW w:type="dxa" w:w="1088"/>
          </w:tcPr>
          <w:p>
            <w:pPr>
              <w:spacing w:after="20" w:before="20"/>
            </w:pPr>
            <w:r/>
            <w:r>
              <w:rPr>
                <w:sz w:val="18"/>
              </w:rPr>
              <w:t>3.2457 %</w:t>
            </w:r>
          </w:p>
        </w:tc>
        <w:tc>
          <w:tcPr>
            <w:tcW w:type="dxa" w:w="1305"/>
          </w:tcPr>
          <w:p>
            <w:pPr>
              <w:spacing w:after="20" w:before="20"/>
            </w:pPr>
            <w:r/>
            <w:r>
              <w:rPr>
                <w:b/>
                <w:sz w:val="18"/>
              </w:rPr>
              <w:t>4.869 W</w:t>
            </w:r>
          </w:p>
        </w:tc>
        <w:tc>
          <w:tcPr>
            <w:tcW w:type="dxa" w:w="1523"/>
          </w:tcPr>
          <w:p>
            <w:pPr>
              <w:spacing w:after="20" w:before="20"/>
            </w:pPr>
            <w:r/>
            <w:r>
              <w:rPr>
                <w:sz w:val="18"/>
              </w:rPr>
              <w:t>8.69397 K</w:t>
            </w:r>
          </w:p>
        </w:tc>
        <w:tc>
          <w:tcPr>
            <w:tcW w:type="dxa" w:w="1305"/>
          </w:tcPr>
          <w:p>
            <w:pPr>
              <w:spacing w:after="20" w:before="20"/>
            </w:pPr>
            <w:r/>
            <w:r>
              <w:rPr>
                <w:sz w:val="18"/>
              </w:rPr>
              <w:t>4.8686 W</w:t>
            </w:r>
          </w:p>
        </w:tc>
      </w:tr>
    </w:tbl>
    <w:p>
      <w:pPr>
        <w:spacing w:before="60" w:after="200"/>
        <w:jc w:val="left"/>
      </w:pPr>
      <w:r>
        <w:rPr>
          <w:i/>
          <w:sz w:val="18"/>
        </w:rPr>
        <w:t>Table 28. Guard ablation at 150 W / 10 K, α = 0. The identity ε = G</w:t>
      </w:r>
      <w:r>
        <w:rPr>
          <w:i/>
          <w:sz w:val="18"/>
          <w:vertAlign w:val="subscript"/>
        </w:rPr>
        <w:t>gap</w:t>
      </w:r>
      <w:r>
        <w:rPr>
          <w:i/>
          <w:sz w:val="18"/>
        </w:rPr>
        <w:t>·e</w:t>
      </w:r>
      <w:r>
        <w:rPr>
          <w:i/>
          <w:sz w:val="18"/>
          <w:vertAlign w:val="subscript"/>
        </w:rPr>
        <w:t>ss</w:t>
      </w:r>
      <w:r>
        <w:rPr>
          <w:i/>
          <w:sz w:val="18"/>
        </w:rPr>
        <w:t xml:space="preserve"> holds exactly in the last two rows, which is a strong consistency check: the error in watts really is the null error in kelvin multiplied by the leak conductance.</w:t>
      </w:r>
    </w:p>
    <w:p>
      <w:pPr>
        <w:spacing w:after="120"/>
      </w:pPr>
      <w:r>
        <w:t>Two conclusions, and the second is the less obvious one:</w:t>
      </w:r>
    </w:p>
    <w:p>
      <w:pPr>
        <w:spacing w:after="60" w:before="0"/>
        <w:ind w:left="792" w:hanging="432"/>
      </w:pPr>
      <w:r>
        <w:t>1.</w:t>
        <w:tab/>
      </w:r>
      <w:r>
        <w:rPr>
          <w:b/>
        </w:rPr>
        <w:t>The guard is load-bearing, not a refinement.</w:t>
      </w:r>
      <w:r>
        <w:t xml:space="preserve"> Without it the rig is a 3.2 % instrument — 4.9 W at 150 W, five times outside the ±1 W target, and worse at low flow, where Table 19 shows the open-guard deficit reaching 8.4 %. This is the same failure mode Nair (RD-03) measured on a real unguarded build.</w:t>
      </w:r>
    </w:p>
    <w:p>
      <w:pPr>
        <w:spacing w:after="60" w:before="0"/>
        <w:ind w:left="792" w:hanging="432"/>
      </w:pPr>
      <w:r>
        <w:t>2.</w:t>
        <w:tab/>
      </w:r>
      <w:r>
        <w:rPr>
          <w:b/>
        </w:rPr>
        <w:t>What makes it exact is the integrator, not the hardware.</w:t>
      </w:r>
      <w:r>
        <w:t xml:space="preserve"> Proportional control alone recovers 83 % of the deficit, from 4.87 W down to 0.84 W — but 0.84 W of the ±1 W budget is still spent on a single error term. The last 0.84 W is bought by one state, the integrator, and by nothing else. "Add integral action to the guard PI" and "make the calorimeter unbiased" are the same sentence — which is also why anti-windup is not optional.</w:t>
      </w:r>
    </w:p>
    <w:p>
      <w:pPr>
        <w:pStyle w:val="Heading2"/>
      </w:pPr>
      <w:r>
        <w:t>Findings and open items</w:t>
      </w:r>
    </w:p>
    <w:p>
      <w:pPr>
        <w:pStyle w:val="Heading3"/>
      </w:pPr>
      <w:r>
        <w:t>What the model settles</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384"/>
            <w:shd w:val="clear" w:color="auto" w:fill="DEEAF6"/>
          </w:tcPr>
          <w:p>
            <w:pPr>
              <w:spacing w:after="20" w:before="20"/>
            </w:pPr>
            <w:r/>
            <w:r>
              <w:rPr>
                <w:b/>
                <w:sz w:val="18"/>
              </w:rPr>
              <w:t>#</w:t>
            </w:r>
          </w:p>
        </w:tc>
        <w:tc>
          <w:tcPr>
            <w:tcW w:type="dxa" w:w="8645"/>
            <w:shd w:val="clear" w:color="auto" w:fill="DEEAF6"/>
          </w:tcPr>
          <w:p>
            <w:pPr>
              <w:spacing w:after="20" w:before="20"/>
            </w:pPr>
            <w:r/>
            <w:r>
              <w:rPr>
                <w:b/>
                <w:sz w:val="18"/>
              </w:rPr>
              <w:t>Result</w:t>
            </w:r>
          </w:p>
        </w:tc>
      </w:tr>
      <w:tr>
        <w:tc>
          <w:tcPr>
            <w:tcW w:type="dxa" w:w="384"/>
          </w:tcPr>
          <w:p>
            <w:pPr>
              <w:spacing w:after="20" w:before="20"/>
            </w:pPr>
            <w:r/>
            <w:r>
              <w:rPr>
                <w:sz w:val="18"/>
              </w:rPr>
              <w:t>1</w:t>
            </w:r>
          </w:p>
        </w:tc>
        <w:tc>
          <w:tcPr>
            <w:tcW w:type="dxa" w:w="8645"/>
          </w:tcPr>
          <w:p>
            <w:pPr>
              <w:spacing w:after="20" w:before="20"/>
            </w:pPr>
            <w:r/>
            <w:r>
              <w:rPr>
                <w:sz w:val="18"/>
              </w:rPr>
              <w:t xml:space="preserve">The reading is </w:t>
            </w:r>
            <w:r>
              <w:rPr>
                <w:b/>
                <w:sz w:val="18"/>
              </w:rPr>
              <w:t>exactly unbiased</w:t>
            </w:r>
            <w:r>
              <w:rPr>
                <w:sz w:val="18"/>
              </w:rPr>
              <w:t xml:space="preserve"> with the guard closed — DC gain 1.000000 at every flow, every power and every α tested.</w:t>
            </w:r>
          </w:p>
        </w:tc>
      </w:tr>
      <w:tr>
        <w:tc>
          <w:tcPr>
            <w:tcW w:type="dxa" w:w="384"/>
          </w:tcPr>
          <w:p>
            <w:pPr>
              <w:spacing w:after="20" w:before="20"/>
            </w:pPr>
            <w:r/>
            <w:r>
              <w:rPr>
                <w:sz w:val="18"/>
              </w:rPr>
              <w:t>2</w:t>
            </w:r>
          </w:p>
        </w:tc>
        <w:tc>
          <w:tcPr>
            <w:tcW w:type="dxa" w:w="8645"/>
          </w:tcPr>
          <w:p>
            <w:pPr>
              <w:spacing w:after="20" w:before="20"/>
            </w:pPr>
            <w:r/>
            <w:r>
              <w:rPr>
                <w:sz w:val="18"/>
              </w:rPr>
              <w:t xml:space="preserve">The systematic error with the guard open is a </w:t>
            </w:r>
            <w:r>
              <w:rPr>
                <w:b/>
                <w:sz w:val="18"/>
              </w:rPr>
              <w:t>leakage divider</w:t>
            </w:r>
            <w:r>
              <w:rPr>
                <w:sz w:val="18"/>
              </w:rPr>
              <w:t>, equation (13), verified against the state-space DC gain to machine precision across the flow range.</w:t>
            </w:r>
          </w:p>
        </w:tc>
      </w:tr>
      <w:tr>
        <w:tc>
          <w:tcPr>
            <w:tcW w:type="dxa" w:w="384"/>
          </w:tcPr>
          <w:p>
            <w:pPr>
              <w:spacing w:after="20" w:before="20"/>
            </w:pPr>
            <w:r/>
            <w:r>
              <w:rPr>
                <w:sz w:val="18"/>
              </w:rPr>
              <w:t>3</w:t>
            </w:r>
          </w:p>
        </w:tc>
        <w:tc>
          <w:tcPr>
            <w:tcW w:type="dxa" w:w="8645"/>
          </w:tcPr>
          <w:p>
            <w:pPr>
              <w:spacing w:after="20" w:before="20"/>
            </w:pPr>
            <w:r/>
            <w:r>
              <w:rPr>
                <w:b/>
                <w:sz w:val="18"/>
              </w:rPr>
              <w:t>The reading is independent of α.</w:t>
            </w:r>
            <w:r>
              <w:rPr>
                <w:sz w:val="18"/>
              </w:rPr>
              <w:t xml:space="preserve"> The copper block was never an accuracy feature, which is what made dropping it a pure scope decision.</w:t>
            </w:r>
          </w:p>
        </w:tc>
      </w:tr>
      <w:tr>
        <w:tc>
          <w:tcPr>
            <w:tcW w:type="dxa" w:w="384"/>
          </w:tcPr>
          <w:p>
            <w:pPr>
              <w:spacing w:after="20" w:before="20"/>
            </w:pPr>
            <w:r/>
            <w:r>
              <w:rPr>
                <w:sz w:val="18"/>
              </w:rPr>
              <w:t>4</w:t>
            </w:r>
          </w:p>
        </w:tc>
        <w:tc>
          <w:tcPr>
            <w:tcW w:type="dxa" w:w="8645"/>
          </w:tcPr>
          <w:p>
            <w:pPr>
              <w:spacing w:after="20" w:before="20"/>
            </w:pPr>
            <w:r/>
            <w:r>
              <w:rPr>
                <w:b/>
                <w:sz w:val="18"/>
              </w:rPr>
              <w:t>The guard's integral action is what makes the instrument exact</w:t>
            </w:r>
            <w:r>
              <w:rPr>
                <w:sz w:val="18"/>
              </w:rPr>
              <w:t xml:space="preserve"> — 3.25 % open, 0.56 % proportional-only, exactly zero with the integrator.</w:t>
            </w:r>
          </w:p>
        </w:tc>
      </w:tr>
      <w:tr>
        <w:tc>
          <w:tcPr>
            <w:tcW w:type="dxa" w:w="384"/>
          </w:tcPr>
          <w:p>
            <w:pPr>
              <w:spacing w:after="20" w:before="20"/>
            </w:pPr>
            <w:r/>
            <w:r>
              <w:rPr>
                <w:sz w:val="18"/>
              </w:rPr>
              <w:t>5</w:t>
            </w:r>
          </w:p>
        </w:tc>
        <w:tc>
          <w:tcPr>
            <w:tcW w:type="dxa" w:w="8645"/>
          </w:tcPr>
          <w:p>
            <w:pPr>
              <w:spacing w:after="20" w:before="20"/>
            </w:pPr>
            <w:r/>
            <w:r>
              <w:rPr>
                <w:sz w:val="18"/>
              </w:rPr>
              <w:t xml:space="preserve">The water setpoint and the metered auxiliary power both have </w:t>
            </w:r>
            <w:r>
              <w:rPr>
                <w:b/>
                <w:sz w:val="18"/>
              </w:rPr>
              <w:t>exactly zero</w:t>
            </w:r>
            <w:r>
              <w:rPr>
                <w:sz w:val="18"/>
              </w:rPr>
              <w:t xml:space="preserve"> DC gain to the error, so auto-ranging the water ΔT between points is free and the P</w:t>
            </w:r>
            <w:r>
              <w:rPr>
                <w:sz w:val="18"/>
                <w:vertAlign w:val="subscript"/>
              </w:rPr>
              <w:t>aux</w:t>
            </w:r>
            <w:r>
              <w:rPr>
                <w:sz w:val="18"/>
              </w:rPr>
              <w:t xml:space="preserve"> subtraction is provably correct.</w:t>
            </w:r>
          </w:p>
        </w:tc>
      </w:tr>
      <w:tr>
        <w:tc>
          <w:tcPr>
            <w:tcW w:type="dxa" w:w="384"/>
          </w:tcPr>
          <w:p>
            <w:pPr>
              <w:spacing w:after="20" w:before="20"/>
            </w:pPr>
            <w:r/>
            <w:r>
              <w:rPr>
                <w:sz w:val="18"/>
              </w:rPr>
              <w:t>6</w:t>
            </w:r>
          </w:p>
        </w:tc>
        <w:tc>
          <w:tcPr>
            <w:tcW w:type="dxa" w:w="8645"/>
          </w:tcPr>
          <w:p>
            <w:pPr>
              <w:spacing w:after="20" w:before="20"/>
            </w:pPr>
            <w:r/>
            <w:r>
              <w:rPr>
                <w:b/>
                <w:sz w:val="18"/>
              </w:rPr>
              <w:t>Guard heater sizing is set by the transient peak, not the steady demand</w:t>
            </w:r>
            <w:r>
              <w:rPr>
                <w:sz w:val="18"/>
              </w:rPr>
              <w:t xml:space="preserve"> — about 2.5× apart. The specified 100 W part has ~6× margin.</w:t>
            </w:r>
          </w:p>
        </w:tc>
      </w:tr>
      <w:tr>
        <w:tc>
          <w:tcPr>
            <w:tcW w:type="dxa" w:w="384"/>
          </w:tcPr>
          <w:p>
            <w:pPr>
              <w:spacing w:after="20" w:before="20"/>
            </w:pPr>
            <w:r/>
            <w:r>
              <w:rPr>
                <w:sz w:val="18"/>
              </w:rPr>
              <w:t>7</w:t>
            </w:r>
          </w:p>
        </w:tc>
        <w:tc>
          <w:tcPr>
            <w:tcW w:type="dxa" w:w="8645"/>
          </w:tcPr>
          <w:p>
            <w:pPr>
              <w:spacing w:after="20" w:before="20"/>
            </w:pPr>
            <w:r/>
            <w:r>
              <w:rPr>
                <w:sz w:val="18"/>
              </w:rPr>
              <w:t xml:space="preserve">The settling schedule across the envelope: </w:t>
            </w:r>
            <w:r>
              <w:rPr>
                <w:b/>
                <w:sz w:val="18"/>
              </w:rPr>
              <w:t>10 min at 200 W to 64 min at 15 W</w:t>
            </w:r>
            <w:r>
              <w:rPr>
                <w:sz w:val="18"/>
              </w:rPr>
              <w:t>, driven by (C</w:t>
            </w:r>
            <w:r>
              <w:rPr>
                <w:sz w:val="18"/>
                <w:vertAlign w:val="subscript"/>
              </w:rPr>
              <w:t>i</w:t>
            </w:r>
            <w:r>
              <w:rPr>
                <w:sz w:val="18"/>
              </w:rPr>
              <w:t xml:space="preserve"> + C</w:t>
            </w:r>
            <w:r>
              <w:rPr>
                <w:sz w:val="18"/>
                <w:vertAlign w:val="subscript"/>
              </w:rPr>
              <w:t>w</w:t>
            </w:r>
            <w:r>
              <w:rPr>
                <w:sz w:val="18"/>
              </w:rPr>
              <w:t>)/ṁc</w:t>
            </w:r>
            <w:r>
              <w:rPr>
                <w:sz w:val="18"/>
                <w:vertAlign w:val="subscript"/>
              </w:rPr>
              <w:t>p</w:t>
            </w:r>
            <w:r>
              <w:rPr>
                <w:sz w:val="18"/>
              </w:rPr>
              <w:t>.</w:t>
            </w:r>
          </w:p>
        </w:tc>
      </w:tr>
      <w:tr>
        <w:tc>
          <w:tcPr>
            <w:tcW w:type="dxa" w:w="384"/>
          </w:tcPr>
          <w:p>
            <w:pPr>
              <w:spacing w:after="20" w:before="20"/>
            </w:pPr>
            <w:r/>
            <w:r>
              <w:rPr>
                <w:sz w:val="18"/>
              </w:rPr>
              <w:t>8</w:t>
            </w:r>
          </w:p>
        </w:tc>
        <w:tc>
          <w:tcPr>
            <w:tcW w:type="dxa" w:w="8645"/>
          </w:tcPr>
          <w:p>
            <w:pPr>
              <w:spacing w:after="20" w:before="20"/>
            </w:pPr>
            <w:r/>
            <w:r>
              <w:rPr>
                <w:sz w:val="18"/>
              </w:rPr>
              <w:t xml:space="preserve">The steady gate can be </w:t>
            </w:r>
            <w:r>
              <w:rPr>
                <w:b/>
                <w:sz w:val="18"/>
              </w:rPr>
              <w:t>derived rather than guessed</w:t>
            </w:r>
            <w:r>
              <w:rPr>
                <w:sz w:val="18"/>
              </w:rPr>
              <w:t>: the slope threshold is the residual power threshold divided by the slowest observed time constant, computed per point.</w:t>
            </w:r>
          </w:p>
        </w:tc>
      </w:tr>
    </w:tbl>
    <w:p>
      <w:pPr>
        <w:spacing w:after="80"/>
      </w:pPr>
    </w:p>
    <w:p>
      <w:pPr>
        <w:pStyle w:val="Heading3"/>
      </w:pPr>
      <w:r>
        <w:t>Open items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376"/>
            <w:shd w:val="clear" w:color="auto" w:fill="DEEAF6"/>
          </w:tcPr>
          <w:p>
            <w:pPr>
              <w:spacing w:after="20" w:before="20"/>
            </w:pPr>
            <w:r/>
            <w:r>
              <w:rPr>
                <w:b/>
                <w:sz w:val="17"/>
              </w:rPr>
              <w:t>#</w:t>
            </w:r>
          </w:p>
        </w:tc>
        <w:tc>
          <w:tcPr>
            <w:tcW w:type="dxa" w:w="2821"/>
            <w:shd w:val="clear" w:color="auto" w:fill="DEEAF6"/>
          </w:tcPr>
          <w:p>
            <w:pPr>
              <w:spacing w:after="20" w:before="20"/>
            </w:pPr>
            <w:r/>
            <w:r>
              <w:rPr>
                <w:b/>
                <w:sz w:val="17"/>
              </w:rPr>
              <w:t>Item</w:t>
            </w:r>
          </w:p>
        </w:tc>
        <w:tc>
          <w:tcPr>
            <w:tcW w:type="dxa" w:w="3010"/>
            <w:shd w:val="clear" w:color="auto" w:fill="DEEAF6"/>
          </w:tcPr>
          <w:p>
            <w:pPr>
              <w:spacing w:after="20" w:before="20"/>
            </w:pPr>
            <w:r/>
            <w:r>
              <w:rPr>
                <w:b/>
                <w:sz w:val="17"/>
              </w:rPr>
              <w:t>Why it matters</w:t>
            </w:r>
          </w:p>
        </w:tc>
        <w:tc>
          <w:tcPr>
            <w:tcW w:type="dxa" w:w="2821"/>
            <w:shd w:val="clear" w:color="auto" w:fill="DEEAF6"/>
          </w:tcPr>
          <w:p>
            <w:pPr>
              <w:spacing w:after="20" w:before="20"/>
            </w:pPr>
            <w:r/>
            <w:r>
              <w:rPr>
                <w:b/>
                <w:sz w:val="17"/>
              </w:rPr>
              <w:t>Where it lands</w:t>
            </w:r>
          </w:p>
        </w:tc>
      </w:tr>
      <w:tr>
        <w:tc>
          <w:tcPr>
            <w:tcW w:type="dxa" w:w="376"/>
          </w:tcPr>
          <w:p>
            <w:pPr>
              <w:spacing w:after="20" w:before="20"/>
            </w:pPr>
            <w:r/>
            <w:r>
              <w:rPr>
                <w:sz w:val="17"/>
              </w:rPr>
              <w:t>1</w:t>
            </w:r>
          </w:p>
        </w:tc>
        <w:tc>
          <w:tcPr>
            <w:tcW w:type="dxa" w:w="2821"/>
          </w:tcPr>
          <w:p>
            <w:pPr>
              <w:spacing w:after="20" w:before="20"/>
            </w:pPr>
            <w:r/>
            <w:r>
              <w:rPr>
                <w:b/>
                <w:sz w:val="17"/>
              </w:rPr>
              <w:t>The revised 30–40 K target and the flow floor.</w:t>
            </w:r>
            <w:r>
              <w:rPr>
                <w:sz w:val="17"/>
              </w:rPr>
              <w:t xml:space="preserve"> Treating the 50–60 °C chamber target directly as the water-loop ΔT puts the 15 W corner at 5–7 mL/min. Simulated, that corner has an open-guard gain of only 0.60–0.66, and 1 % settling of </w:t>
            </w:r>
            <w:r>
              <w:rPr>
                <w:b/>
                <w:sz w:val="17"/>
              </w:rPr>
              <w:t>6–8 hours</w:t>
            </w:r>
            <w:r>
              <w:rPr>
                <w:sz w:val="17"/>
              </w:rPr>
              <w:t>. It also sits below the model's own sanity window (</w:t>
            </w:r>
            <w:r>
              <w:rPr>
                <w:rFonts w:ascii="Consolas" w:hAnsi="Consolas"/>
                <w:sz w:val="17"/>
              </w:rPr>
              <w:t>build_plant</w:t>
            </w:r>
            <w:r>
              <w:rPr>
                <w:sz w:val="17"/>
              </w:rPr>
              <w:t xml:space="preserve"> asserts 1 &lt; ṁc</w:t>
            </w:r>
            <w:r>
              <w:rPr>
                <w:sz w:val="17"/>
                <w:vertAlign w:val="subscript"/>
              </w:rPr>
              <w:t>p</w:t>
            </w:r>
            <w:r>
              <w:rPr>
                <w:sz w:val="17"/>
              </w:rPr>
              <w:t xml:space="preserve"> &lt; 50 W/K, i.e. 14–721 mL/min).</w:t>
            </w:r>
          </w:p>
        </w:tc>
        <w:tc>
          <w:tcPr>
            <w:tcW w:type="dxa" w:w="3010"/>
          </w:tcPr>
          <w:p>
            <w:pPr>
              <w:spacing w:after="20" w:before="20"/>
            </w:pPr>
            <w:r/>
            <w:r>
              <w:rPr>
                <w:sz w:val="17"/>
              </w:rPr>
              <w:t xml:space="preserve">The 30–40 K figure is a </w:t>
            </w:r>
            <w:r>
              <w:rPr>
                <w:b/>
                <w:sz w:val="17"/>
              </w:rPr>
              <w:t>chamber-above-ambient</w:t>
            </w:r>
            <w:r>
              <w:rPr>
                <w:sz w:val="17"/>
              </w:rPr>
              <w:t xml:space="preserve"> target being used as a stand-in for the water-loop ΔT, and the two only converge if the pickup radiator is very effective. If it is applied literally to the water loop at low power, the cold corner becomes impractical.</w:t>
            </w:r>
          </w:p>
        </w:tc>
        <w:tc>
          <w:tcPr>
            <w:tcW w:type="dxa" w:w="2821"/>
          </w:tcPr>
          <w:p>
            <w:pPr>
              <w:spacing w:after="20" w:before="20"/>
            </w:pPr>
            <w:r/>
            <w:r>
              <w:rPr>
                <w:b/>
                <w:sz w:val="17"/>
              </w:rPr>
              <w:t>Recommend keeping the auto-ranging table</w:t>
            </w:r>
            <w:r>
              <w:rPr>
                <w:sz w:val="17"/>
              </w:rPr>
              <w:t xml:space="preserve"> (5 K at 15 W, rising to 10 K by 200 W) and treating 50–60 °C as the chamber setpoint, not the water ΔT. Confirm against the first commissioning run.</w:t>
            </w:r>
          </w:p>
        </w:tc>
      </w:tr>
      <w:tr>
        <w:tc>
          <w:tcPr>
            <w:tcW w:type="dxa" w:w="376"/>
          </w:tcPr>
          <w:p>
            <w:pPr>
              <w:spacing w:after="20" w:before="20"/>
            </w:pPr>
            <w:r/>
            <w:r>
              <w:rPr>
                <w:sz w:val="17"/>
              </w:rPr>
              <w:t>2</w:t>
            </w:r>
          </w:p>
        </w:tc>
        <w:tc>
          <w:tcPr>
            <w:tcW w:type="dxa" w:w="2821"/>
          </w:tcPr>
          <w:p>
            <w:pPr>
              <w:spacing w:after="20" w:before="20"/>
            </w:pPr>
            <w:r/>
            <w:r>
              <w:rPr>
                <w:sz w:val="17"/>
              </w:rPr>
              <w:t>Transient null error breaches the 1.79 K gate above ~100 W</w:t>
            </w:r>
          </w:p>
        </w:tc>
        <w:tc>
          <w:tcPr>
            <w:tcW w:type="dxa" w:w="3010"/>
          </w:tcPr>
          <w:p>
            <w:pPr>
              <w:spacing w:after="20" w:before="20"/>
            </w:pPr>
            <w:r/>
            <w:r>
              <w:rPr>
                <w:sz w:val="17"/>
              </w:rPr>
              <w:t>Costs schedule and forbids early logging; new at closed loop</w:t>
            </w:r>
          </w:p>
        </w:tc>
        <w:tc>
          <w:tcPr>
            <w:tcW w:type="dxa" w:w="2821"/>
          </w:tcPr>
          <w:p>
            <w:pPr>
              <w:spacing w:after="20" w:before="20"/>
            </w:pPr>
            <w:r/>
            <w:r>
              <w:rPr>
                <w:sz w:val="17"/>
              </w:rPr>
              <w:t>Candidate fix is a ramped load and feedforward instead of a step — a sequencer change</w:t>
            </w:r>
          </w:p>
        </w:tc>
      </w:tr>
      <w:tr>
        <w:tc>
          <w:tcPr>
            <w:tcW w:type="dxa" w:w="376"/>
          </w:tcPr>
          <w:p>
            <w:pPr>
              <w:spacing w:after="20" w:before="20"/>
            </w:pPr>
            <w:r/>
            <w:r>
              <w:rPr>
                <w:sz w:val="17"/>
              </w:rPr>
              <w:t>3</w:t>
            </w:r>
          </w:p>
        </w:tc>
        <w:tc>
          <w:tcPr>
            <w:tcW w:type="dxa" w:w="2821"/>
          </w:tcPr>
          <w:p>
            <w:pPr>
              <w:spacing w:after="20" w:before="20"/>
            </w:pPr>
            <w:r/>
            <w:r>
              <w:rPr>
                <w:sz w:val="17"/>
              </w:rPr>
              <w:t>The foam wall's boundary condition — charged from one face or both</w:t>
            </w:r>
          </w:p>
        </w:tc>
        <w:tc>
          <w:tcPr>
            <w:tcW w:type="dxa" w:w="3010"/>
          </w:tcPr>
          <w:p>
            <w:pPr>
              <w:spacing w:after="20" w:before="20"/>
            </w:pPr>
            <w:r/>
            <w:r>
              <w:rPr>
                <w:sz w:val="17"/>
              </w:rPr>
              <w:t>A factor of four (5.6 vs 22 min) on the first-point wait, which is on the critical path</w:t>
            </w:r>
          </w:p>
        </w:tc>
        <w:tc>
          <w:tcPr>
            <w:tcW w:type="dxa" w:w="2821"/>
          </w:tcPr>
          <w:p>
            <w:pPr>
              <w:spacing w:after="20" w:before="20"/>
            </w:pPr>
            <w:r/>
            <w:r>
              <w:rPr>
                <w:sz w:val="17"/>
              </w:rPr>
              <w:t>A short Python job, not yet done</w:t>
            </w:r>
          </w:p>
        </w:tc>
      </w:tr>
      <w:tr>
        <w:tc>
          <w:tcPr>
            <w:tcW w:type="dxa" w:w="376"/>
          </w:tcPr>
          <w:p>
            <w:pPr>
              <w:spacing w:after="20" w:before="20"/>
            </w:pPr>
            <w:r/>
            <w:r>
              <w:rPr>
                <w:sz w:val="17"/>
              </w:rPr>
              <w:t>4</w:t>
            </w:r>
          </w:p>
        </w:tc>
        <w:tc>
          <w:tcPr>
            <w:tcW w:type="dxa" w:w="2821"/>
          </w:tcPr>
          <w:p>
            <w:pPr>
              <w:spacing w:after="20" w:before="20"/>
            </w:pPr>
            <w:r/>
            <w:r>
              <w:rPr>
                <w:rFonts w:ascii="Consolas" w:hAnsi="Consolas"/>
                <w:sz w:val="17"/>
              </w:rPr>
              <w:t>params.yaml</w:t>
            </w:r>
            <w:r>
              <w:rPr>
                <w:sz w:val="17"/>
              </w:rPr>
              <w:t xml:space="preserve"> still defaults to </w:t>
            </w:r>
            <w:r>
              <w:rPr>
                <w:rFonts w:ascii="Consolas" w:hAnsi="Consolas"/>
                <w:sz w:val="17"/>
              </w:rPr>
              <w:t>alpha: 0.97</w:t>
            </w:r>
          </w:p>
        </w:tc>
        <w:tc>
          <w:tcPr>
            <w:tcW w:type="dxa" w:w="3010"/>
          </w:tcPr>
          <w:p>
            <w:pPr>
              <w:spacing w:after="20" w:before="20"/>
            </w:pPr>
            <w:r/>
            <w:r>
              <w:rPr>
                <w:sz w:val="17"/>
              </w:rPr>
              <w:t>Harmless to the answer, misleading to a reader</w:t>
            </w:r>
          </w:p>
        </w:tc>
        <w:tc>
          <w:tcPr>
            <w:tcW w:type="dxa" w:w="2821"/>
          </w:tcPr>
          <w:p>
            <w:pPr>
              <w:spacing w:after="20" w:before="20"/>
            </w:pPr>
            <w:r/>
            <w:r>
              <w:rPr>
                <w:sz w:val="17"/>
              </w:rPr>
              <w:t>One-line change</w:t>
            </w:r>
          </w:p>
        </w:tc>
      </w:tr>
      <w:tr>
        <w:tc>
          <w:tcPr>
            <w:tcW w:type="dxa" w:w="376"/>
          </w:tcPr>
          <w:p>
            <w:pPr>
              <w:spacing w:after="20" w:before="20"/>
            </w:pPr>
            <w:r/>
            <w:r>
              <w:rPr>
                <w:sz w:val="17"/>
              </w:rPr>
              <w:t>5</w:t>
            </w:r>
          </w:p>
        </w:tc>
        <w:tc>
          <w:tcPr>
            <w:tcW w:type="dxa" w:w="2821"/>
          </w:tcPr>
          <w:p>
            <w:pPr>
              <w:spacing w:after="20" w:before="20"/>
            </w:pPr>
            <w:r/>
            <w:r>
              <w:rPr>
                <w:sz w:val="17"/>
              </w:rPr>
              <w:t>Model-based early stopping</w:t>
            </w:r>
          </w:p>
        </w:tc>
        <w:tc>
          <w:tcPr>
            <w:tcW w:type="dxa" w:w="3010"/>
          </w:tcPr>
          <w:p>
            <w:pPr>
              <w:spacing w:after="20" w:before="20"/>
            </w:pPr>
            <w:r/>
            <w:r>
              <w:rPr>
                <w:sz w:val="17"/>
              </w:rPr>
              <w:t>Estimating the steady value from the transient collapses the cold-corner wait by roughly an order of magnitude, for about 40 lines of firmware and no hardware</w:t>
            </w:r>
          </w:p>
        </w:tc>
        <w:tc>
          <w:tcPr>
            <w:tcW w:type="dxa" w:w="2821"/>
          </w:tcPr>
          <w:p>
            <w:pPr>
              <w:spacing w:after="20" w:before="20"/>
            </w:pPr>
            <w:r/>
            <w:r>
              <w:rPr>
                <w:sz w:val="17"/>
              </w:rPr>
              <w:t xml:space="preserve">Should be commissioned </w:t>
            </w:r>
            <w:r>
              <w:rPr>
                <w:b/>
                <w:sz w:val="17"/>
              </w:rPr>
              <w:t>alongside</w:t>
            </w:r>
            <w:r>
              <w:rPr>
                <w:sz w:val="17"/>
              </w:rPr>
              <w:t xml:space="preserve"> the full wait for one campaign and compared, not shipped unvalidated</w:t>
            </w:r>
          </w:p>
        </w:tc>
      </w:tr>
      <w:tr>
        <w:tc>
          <w:tcPr>
            <w:tcW w:type="dxa" w:w="376"/>
          </w:tcPr>
          <w:p>
            <w:pPr>
              <w:spacing w:after="20" w:before="20"/>
            </w:pPr>
            <w:r/>
            <w:r>
              <w:rPr>
                <w:sz w:val="17"/>
              </w:rPr>
              <w:t>6</w:t>
            </w:r>
          </w:p>
        </w:tc>
        <w:tc>
          <w:tcPr>
            <w:tcW w:type="dxa" w:w="2821"/>
          </w:tcPr>
          <w:p>
            <w:pPr>
              <w:spacing w:after="20" w:before="20"/>
            </w:pPr>
            <w:r/>
            <w:r>
              <w:rPr>
                <w:sz w:val="17"/>
              </w:rPr>
              <w:t>Monte-Carlo over the estimated parameter ranges</w:t>
            </w:r>
          </w:p>
        </w:tc>
        <w:tc>
          <w:tcPr>
            <w:tcW w:type="dxa" w:w="3010"/>
          </w:tcPr>
          <w:p>
            <w:pPr>
              <w:spacing w:after="20" w:before="20"/>
            </w:pPr>
            <w:r/>
            <w:r>
              <w:rPr>
                <w:sz w:val="17"/>
              </w:rPr>
              <w:t>Every number in this report is a point estimate from mid-range design values</w:t>
            </w:r>
          </w:p>
        </w:tc>
        <w:tc>
          <w:tcPr>
            <w:tcW w:type="dxa" w:w="2821"/>
          </w:tcPr>
          <w:p>
            <w:pPr>
              <w:spacing w:after="20" w:before="20"/>
            </w:pPr>
            <w:r/>
            <w:r>
              <w:rPr>
                <w:sz w:val="17"/>
              </w:rPr>
              <w:t>Turns each figure into a confidence interval</w:t>
            </w:r>
          </w:p>
        </w:tc>
      </w:tr>
      <w:tr>
        <w:tc>
          <w:tcPr>
            <w:tcW w:type="dxa" w:w="376"/>
          </w:tcPr>
          <w:p>
            <w:pPr>
              <w:spacing w:after="20" w:before="20"/>
            </w:pPr>
            <w:r/>
            <w:r>
              <w:rPr>
                <w:sz w:val="17"/>
              </w:rPr>
              <w:t>7</w:t>
            </w:r>
          </w:p>
        </w:tc>
        <w:tc>
          <w:tcPr>
            <w:tcW w:type="dxa" w:w="2821"/>
          </w:tcPr>
          <w:p>
            <w:pPr>
              <w:spacing w:after="20" w:before="20"/>
            </w:pPr>
            <w:r/>
            <w:r>
              <w:rPr>
                <w:sz w:val="17"/>
              </w:rPr>
              <w:t>Sensor lags τ</w:t>
            </w:r>
            <w:r>
              <w:rPr>
                <w:sz w:val="17"/>
                <w:vertAlign w:val="subscript"/>
              </w:rPr>
              <w:t>s</w:t>
            </w:r>
            <w:r>
              <w:rPr>
                <w:sz w:val="17"/>
              </w:rPr>
              <w:t xml:space="preserve"> are placeholders (5 s)</w:t>
            </w:r>
          </w:p>
        </w:tc>
        <w:tc>
          <w:tcPr>
            <w:tcW w:type="dxa" w:w="3010"/>
          </w:tcPr>
          <w:p>
            <w:pPr>
              <w:spacing w:after="20" w:before="20"/>
            </w:pPr>
            <w:r/>
            <w:r>
              <w:rPr>
                <w:sz w:val="17"/>
              </w:rPr>
              <w:t>They set the effective dead time the PI is tuned against</w:t>
            </w:r>
          </w:p>
        </w:tc>
        <w:tc>
          <w:tcPr>
            <w:tcW w:type="dxa" w:w="2821"/>
          </w:tcPr>
          <w:p>
            <w:pPr>
              <w:spacing w:after="20" w:before="20"/>
            </w:pPr>
            <w:r/>
            <w:r>
              <w:rPr>
                <w:sz w:val="17"/>
              </w:rPr>
              <w:t>Commissioning</w:t>
            </w:r>
          </w:p>
        </w:tc>
      </w:tr>
      <w:tr>
        <w:tc>
          <w:tcPr>
            <w:tcW w:type="dxa" w:w="376"/>
          </w:tcPr>
          <w:p>
            <w:pPr>
              <w:spacing w:after="20" w:before="20"/>
            </w:pPr>
            <w:r/>
            <w:r>
              <w:rPr>
                <w:sz w:val="17"/>
              </w:rPr>
              <w:t>8</w:t>
            </w:r>
          </w:p>
        </w:tc>
        <w:tc>
          <w:tcPr>
            <w:tcW w:type="dxa" w:w="2821"/>
          </w:tcPr>
          <w:p>
            <w:pPr>
              <w:spacing w:after="20" w:before="20"/>
            </w:pPr>
            <w:r/>
            <w:r>
              <w:rPr>
                <w:sz w:val="17"/>
              </w:rPr>
              <w:t>Zonal guard — the gap is modelled as one lump</w:t>
            </w:r>
          </w:p>
        </w:tc>
        <w:tc>
          <w:tcPr>
            <w:tcW w:type="dxa" w:w="3010"/>
          </w:tcPr>
          <w:p>
            <w:pPr>
              <w:spacing w:after="20" w:before="20"/>
            </w:pPr>
            <w:r/>
            <w:r>
              <w:rPr>
                <w:sz w:val="17"/>
              </w:rPr>
              <w:t xml:space="preserve">A zero </w:t>
            </w:r>
            <w:r>
              <w:rPr>
                <w:i/>
                <w:sz w:val="17"/>
              </w:rPr>
              <w:t>average</w:t>
            </w:r>
            <w:r>
              <w:rPr>
                <w:sz w:val="17"/>
              </w:rPr>
              <w:t xml:space="preserve"> null is not a zero leak; patchy faces still pay ΣG</w:t>
            </w:r>
            <w:r>
              <w:rPr>
                <w:sz w:val="17"/>
                <w:vertAlign w:val="subscript"/>
              </w:rPr>
              <w:t>face</w:t>
            </w:r>
            <w:r>
              <w:rPr>
                <w:sz w:val="17"/>
              </w:rPr>
              <w:t>·δT</w:t>
            </w:r>
            <w:r>
              <w:rPr>
                <w:sz w:val="17"/>
                <w:vertAlign w:val="subscript"/>
              </w:rPr>
              <w:t>face</w:t>
            </w:r>
          </w:p>
        </w:tc>
        <w:tc>
          <w:tcPr>
            <w:tcW w:type="dxa" w:w="2821"/>
          </w:tcPr>
          <w:p>
            <w:pPr>
              <w:spacing w:after="20" w:before="20"/>
            </w:pPr>
            <w:r/>
            <w:r>
              <w:rPr>
                <w:sz w:val="17"/>
              </w:rPr>
              <w:t>After single-zone tuning works</w:t>
            </w:r>
          </w:p>
        </w:tc>
      </w:tr>
    </w:tbl>
    <w:p>
      <w:pPr>
        <w:spacing w:before="60" w:after="200"/>
        <w:jc w:val="left"/>
      </w:pPr>
      <w:r>
        <w:rPr>
          <w:i/>
          <w:sz w:val="18"/>
        </w:rPr>
        <w:t>Table 29. Open items, in priority order.</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Commissioning overrides everything in this report</w:t>
            </w:r>
          </w:p>
          <w:p>
            <w:pPr>
              <w:spacing w:after="40"/>
            </w:pPr>
            <w:r>
              <w:rPr>
                <w:sz w:val="19"/>
              </w:rPr>
              <w:t>Every conductance and capacitance above is a design estimate computed from geometry and material data. The commissioning step test — inject a known power with the calibration resistor, take C from the initial slope (C = P/Ṫ|₀), G from the endpoint (G = P/(T</w:t>
            </w:r>
            <w:r>
              <w:rPr>
                <w:sz w:val="19"/>
                <w:vertAlign w:val="subscript"/>
              </w:rPr>
              <w:t>ss</w:t>
            </w:r>
            <w:r>
              <w:rPr>
                <w:sz w:val="19"/>
              </w:rPr>
              <w:t xml:space="preserve"> − T</w:t>
            </w:r>
            <w:r>
              <w:rPr>
                <w:sz w:val="19"/>
                <w:vertAlign w:val="subscript"/>
              </w:rPr>
              <w:t>a</w:t>
            </w:r>
            <w:r>
              <w:rPr>
                <w:sz w:val="19"/>
              </w:rPr>
              <w:t xml:space="preserve">)), and check that τ = C/G is consistent — measures the </w:t>
            </w:r>
            <w:r>
              <w:rPr>
                <w:b/>
                <w:sz w:val="19"/>
              </w:rPr>
              <w:t>assembled</w:t>
            </w:r>
            <w:r>
              <w:rPr>
                <w:sz w:val="19"/>
              </w:rPr>
              <w:t xml:space="preserve"> rig and replaces them. The equations, the matrix structure, the audit and every conclusion in sections 5 to 7 survive that substitution unchanged; only the numbers move.</w:t>
            </w:r>
          </w:p>
        </w:tc>
      </w:tr>
    </w:tbl>
    <w:p>
      <w:pPr>
        <w:spacing w:after="80"/>
      </w:pPr>
    </w:p>
    <w:p>
      <w:pPr>
        <w:pStyle w:val="Heading1"/>
      </w:pPr>
      <w:r>
        <w:t>Hardware Design</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Section to be completed</w:t>
            </w:r>
          </w:p>
          <w:p>
            <w:pPr>
              <w:spacing w:after="40"/>
            </w:pPr>
            <w:r>
              <w:rPr>
                <w:sz w:val="19"/>
              </w:rPr>
              <w:t>This section will cover the carrier PCB for the ESP32-S3 DevKitC: the 12 V → 5 V buck converter, the two independent heater power domains (inner chamber and guard) with their MOSFET stages and current sensing, the stepper driver for the peristaltic pump, PWM connectors for the fans, the RTD signal conditioning, and the protection strategy — ESD, overcurrent, overvoltage, short-circuit and thermal. It will also carry the bottom-up rail budget (≈22 A on the 12 V rail against a 29 A supply) and the measurement-grade versus protection-grade split on the current-sense channels.</w:t>
            </w:r>
          </w:p>
        </w:tc>
      </w:tr>
    </w:tbl>
    <w:p>
      <w:pPr>
        <w:spacing w:after="80"/>
      </w:pPr>
    </w:p>
    <w:p>
      <w:pPr>
        <w:pStyle w:val="Heading1"/>
      </w:pPr>
      <w:r>
        <w:t>Firmware</w:t>
      </w:r>
    </w:p>
    <w:tbl>
      <w:tblPr>
        <w:tblStyle w:val="TableGrid"/>
        <w:tblW w:type="auto" w:w="0"/>
        <w:tblLayout w:type="fixed"/>
        <w:tblLook w:firstColumn="1" w:firstRow="1" w:lastColumn="0" w:lastRow="0" w:noHBand="0" w:noVBand="1" w:val="04A0"/>
      </w:tblPr>
      <w:tblGrid>
        <w:gridCol w:w="9026"/>
      </w:tblGrid>
      <w:tr>
        <w:tc>
          <w:tcPr>
            <w:tcW w:type="dxa" w:w="9029"/>
            <w:shd w:val="clear" w:color="auto" w:fill="F2F2F2"/>
          </w:tcPr>
          <w:p>
            <w:r/>
            <w:r>
              <w:rPr>
                <w:b/>
                <w:sz w:val="19"/>
              </w:rPr>
              <w:t>Section to be completed</w:t>
            </w:r>
          </w:p>
          <w:p>
            <w:pPr>
              <w:spacing w:after="40"/>
            </w:pPr>
            <w:r>
              <w:rPr>
                <w:sz w:val="19"/>
              </w:rPr>
              <w:t>This section will cover the Zephyr application on the ESP32-S3: the task split across the control, sensing, supervisor and telemetry threads; the devicetree description of the signal chains; the discretised guard loop (1 s sample rate, plant discretised zero-order-hold, controller Tustin) with its saturation and anti-windup; the null and steady gates of §4.6.3; the auto-ranging supervisor state machine; the staged power-up and heater interlocks; and the telemetry path — one JSON snapshot per second over WebSocket, rendered both by the local LVGL panel and by a browser dashboard.</w:t>
            </w:r>
          </w:p>
        </w:tc>
      </w:tr>
    </w:tbl>
    <w:p>
      <w:pPr>
        <w:spacing w:after="80"/>
      </w:pPr>
    </w:p>
    <w:sectPr w:rsidR="0065783A" w:rsidSect="005C6D9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D07533" w14:textId="77777777" w:rsidR="001F1A32" w:rsidRDefault="001F1A32" w:rsidP="005C6D9A">
      <w:pPr>
        <w:spacing w:after="0" w:line="240" w:lineRule="auto"/>
      </w:pPr>
      <w:r>
        <w:separator/>
      </w:r>
    </w:p>
  </w:endnote>
  <w:endnote w:type="continuationSeparator" w:id="0">
    <w:p w14:paraId="56DA8FFE" w14:textId="77777777" w:rsidR="001F1A32" w:rsidRDefault="001F1A32" w:rsidP="005C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0C4A44" w14:textId="77777777" w:rsidR="005E3EE1" w:rsidRDefault="005E3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223DB3" w14:textId="02CE5812" w:rsidR="0054421B" w:rsidRDefault="00DF756E" w:rsidP="00DF756E">
    <w:pPr>
      <w:pStyle w:val="Header"/>
    </w:pPr>
    <w:r>
      <w:rPr>
        <w:noProof/>
      </w:rPr>
      <w:drawing>
        <wp:inline distT="0" distB="0" distL="0" distR="0" wp14:anchorId="41156D73" wp14:editId="58E1B9FE">
          <wp:extent cx="1348740" cy="428257"/>
          <wp:effectExtent l="0" t="0" r="3810" b="0"/>
          <wp:docPr id="548893376" name="Picture 3"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3376" name="Picture 3"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25258" cy="452553"/>
                  </a:xfrm>
                  <a:prstGeom prst="rect">
                    <a:avLst/>
                  </a:prstGeom>
                </pic:spPr>
              </pic:pic>
            </a:graphicData>
          </a:graphic>
        </wp:inline>
      </w:drawing>
    </w:r>
    <w:r>
      <w:tab/>
    </w:r>
    <w:r w:rsidR="0054421B" w:rsidRPr="00D63C77">
      <w:t xml:space="preserve">Page </w:t>
    </w:r>
    <w:r w:rsidR="0054421B" w:rsidRPr="00D63C77">
      <w:fldChar w:fldCharType="begin"/>
    </w:r>
    <w:r w:rsidR="0054421B" w:rsidRPr="00D63C77">
      <w:instrText xml:space="preserve"> PAGE  \* Arabic  \* MERGEFORMAT </w:instrText>
    </w:r>
    <w:r w:rsidR="0054421B" w:rsidRPr="00D63C77">
      <w:fldChar w:fldCharType="separate"/>
    </w:r>
    <w:r w:rsidR="0054421B" w:rsidRPr="00D63C77">
      <w:rPr>
        <w:noProof/>
      </w:rPr>
      <w:t>1</w:t>
    </w:r>
    <w:r w:rsidR="0054421B" w:rsidRPr="00D63C77">
      <w:fldChar w:fldCharType="end"/>
    </w:r>
    <w:r w:rsidR="0054421B" w:rsidRPr="00D63C77">
      <w:t xml:space="preserve"> of </w:t>
    </w:r>
    <w:fldSimple w:instr=" NUMPAGES  \* Arabic  \* MERGEFORMAT ">
      <w:r w:rsidR="0054421B" w:rsidRPr="00D63C77">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49096B" w14:textId="77777777" w:rsidR="0014774D" w:rsidRDefault="0014774D" w:rsidP="001D0AE4">
    <w:pPr>
      <w:pBdr>
        <w:bottom w:val="single" w:sz="12" w:space="1" w:color="auto"/>
      </w:pBdr>
    </w:pPr>
  </w:p>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546"/>
    </w:tblGrid>
    <w:tr w:rsidR="0054421B" w14:paraId="0BC1A028" w14:textId="77777777" w:rsidTr="00DF756E">
      <w:tc>
        <w:tcPr>
          <w:tcW w:w="4810" w:type="dxa"/>
        </w:tcPr>
        <w:p w14:paraId="18FB387F" w14:textId="55920440" w:rsidR="0054421B" w:rsidRDefault="00DF756E" w:rsidP="0054421B">
          <w:pPr>
            <w:pStyle w:val="Footer"/>
          </w:pPr>
          <w:r>
            <w:rPr>
              <w:noProof/>
            </w:rPr>
            <w:drawing>
              <wp:inline distT="0" distB="0" distL="0" distR="0" wp14:anchorId="5DB9F9B1" wp14:editId="5C1049A5">
                <wp:extent cx="1367898" cy="434340"/>
                <wp:effectExtent l="0" t="0" r="3810" b="3810"/>
                <wp:docPr id="288926913" name="Picture 1"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6913" name="Picture 1"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6722" cy="481595"/>
                        </a:xfrm>
                        <a:prstGeom prst="rect">
                          <a:avLst/>
                        </a:prstGeom>
                      </pic:spPr>
                    </pic:pic>
                  </a:graphicData>
                </a:graphic>
              </wp:inline>
            </w:drawing>
          </w:r>
        </w:p>
      </w:tc>
      <w:tc>
        <w:tcPr>
          <w:tcW w:w="4546" w:type="dxa"/>
          <w:vAlign w:val="bottom"/>
        </w:tcPr>
        <w:p w14:paraId="78B325E4" w14:textId="77777777" w:rsidR="0054421B" w:rsidRDefault="0054421B" w:rsidP="0054421B">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bl>
  <w:p w14:paraId="1E29C99E" w14:textId="77777777" w:rsidR="0054421B" w:rsidRDefault="0054421B" w:rsidP="00DF7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3B4EFF" w14:textId="77777777" w:rsidR="001F1A32" w:rsidRDefault="001F1A32" w:rsidP="005C6D9A">
      <w:pPr>
        <w:spacing w:after="0" w:line="240" w:lineRule="auto"/>
      </w:pPr>
      <w:r>
        <w:separator/>
      </w:r>
    </w:p>
  </w:footnote>
  <w:footnote w:type="continuationSeparator" w:id="0">
    <w:p w14:paraId="4363DF58" w14:textId="77777777" w:rsidR="001F1A32" w:rsidRDefault="001F1A32" w:rsidP="005C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B5BD5B" w14:textId="77777777" w:rsidR="005E3EE1" w:rsidRDefault="005E3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PlainTable4"/>
      <w:tblW w:w="9214" w:type="dxa"/>
      <w:tblInd w:w="-142" w:type="dxa"/>
      <w:tblLook w:val="04A0" w:firstRow="1" w:lastRow="0" w:firstColumn="1" w:lastColumn="0" w:noHBand="0" w:noVBand="1"/>
    </w:tblPr>
    <w:tblGrid>
      <w:gridCol w:w="3005"/>
      <w:gridCol w:w="3005"/>
      <w:gridCol w:w="3204"/>
    </w:tblGrid>
    <w:tr w:rsidR="00305C02" w14:paraId="3AC26353" w14:textId="77777777" w:rsidTr="00871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val="restart"/>
        </w:tcPr>
        <w:p w14:paraId="43BC419E" w14:textId="77777777" w:rsidR="00305C02" w:rsidRDefault="003839CF" w:rsidP="00305C02">
          <w:pPr>
            <w:pStyle w:val="Header"/>
          </w:pPr>
          <w:r w:rsidRPr="003839CF">
            <w:rPr>
              <w:noProof/>
            </w:rPr>
            <w:drawing>
              <wp:inline distT="0" distB="0" distL="0" distR="0" wp14:anchorId="5752CEEE" wp14:editId="1ED95701">
                <wp:extent cx="981075" cy="490682"/>
                <wp:effectExtent l="0" t="0" r="0" b="5080"/>
                <wp:docPr id="2224067" name="Graphic 3">
                  <a:extLst xmlns:a="http://schemas.openxmlformats.org/drawingml/2006/main">
                    <a:ext uri="{FF2B5EF4-FFF2-40B4-BE49-F238E27FC236}">
                      <a16:creationId xmlns:a16="http://schemas.microsoft.com/office/drawing/2014/main" id="{AFBBC18C-2506-2435-8F05-02E8A4E1F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a:extLst>
                            <a:ext uri="{FF2B5EF4-FFF2-40B4-BE49-F238E27FC236}">
                              <a16:creationId xmlns:a16="http://schemas.microsoft.com/office/drawing/2014/main" id="{AFBBC18C-2506-2435-8F05-02E8A4E1F906}"/>
                            </a:ext>
                          </a:extLst>
                        </pic:cNvPr>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992915" cy="496604"/>
                        </a:xfrm>
                        <a:prstGeom prst="rect">
                          <a:avLst/>
                        </a:prstGeom>
                      </pic:spPr>
                    </pic:pic>
                  </a:graphicData>
                </a:graphic>
              </wp:inline>
            </w:drawing>
          </w:r>
        </w:p>
      </w:tc>
      <w:tc>
        <w:tcPr>
          <w:tcW w:w="3005" w:type="dxa"/>
        </w:tcPr>
        <w:p w14:paraId="282E3240" w14:textId="77777777" w:rsidR="00305C02" w:rsidRDefault="00305C02" w:rsidP="00305C02">
          <w:pPr>
            <w:pStyle w:val="Header"/>
            <w:jc w:val="center"/>
            <w:cnfStyle w:val="100000000000" w:firstRow="1" w:lastRow="0" w:firstColumn="0" w:lastColumn="0" w:oddVBand="0" w:evenVBand="0" w:oddHBand="0" w:evenHBand="0" w:firstRowFirstColumn="0" w:firstRowLastColumn="0" w:lastRowFirstColumn="0" w:lastRowLastColumn="0"/>
          </w:pPr>
          <w:r>
            <w:t>Document ID</w:t>
          </w:r>
        </w:p>
      </w:tc>
      <w:tc>
        <w:tcPr>
          <w:tcW w:w="3204" w:type="dxa"/>
        </w:tcPr>
        <w:p w14:paraId="0F4A91A7" w14:textId="77777777" w:rsidR="00305C02" w:rsidRDefault="00FA00E5" w:rsidP="00305C02">
          <w:pPr>
            <w:pStyle w:val="Header"/>
            <w:jc w:val="right"/>
            <w:cnfStyle w:val="100000000000" w:firstRow="1" w:lastRow="0" w:firstColumn="0" w:lastColumn="0" w:oddVBand="0" w:evenVBand="0" w:oddHBand="0" w:evenHBand="0" w:firstRowFirstColumn="0" w:firstRowLastColumn="0" w:lastRowFirstColumn="0" w:lastRowLastColumn="0"/>
          </w:pPr>
          <w:r w:rsidRPr="002E1D90">
            <w:rPr>
              <w:b w:val="0"/>
              <w:bCs w:val="0"/>
            </w:rPr>
            <w:t>Iss</w:t>
          </w:r>
          <w:r>
            <w:rPr>
              <w:b w:val="0"/>
              <w:bCs w:val="0"/>
            </w:rPr>
            <w:t>:1</w:t>
          </w:r>
          <w:r w:rsidRPr="002E1D90">
            <w:rPr>
              <w:b w:val="0"/>
              <w:bCs w:val="0"/>
            </w:rPr>
            <w:t>/Rev</w:t>
          </w:r>
          <w:r>
            <w:rPr>
              <w:b w:val="0"/>
              <w:bCs w:val="0"/>
            </w:rPr>
            <w:t>.:0</w:t>
          </w:r>
        </w:p>
      </w:tc>
    </w:tr>
    <w:tr w:rsidR="00305C02" w14:paraId="6D9F7F15" w14:textId="77777777" w:rsidTr="00871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tcPr>
        <w:p w14:paraId="4E692EB5" w14:textId="77777777" w:rsidR="00305C02" w:rsidRDefault="00305C02" w:rsidP="00305C02">
          <w:pPr>
            <w:pStyle w:val="Header"/>
          </w:pPr>
        </w:p>
      </w:tc>
      <w:tc>
        <w:tcPr>
          <w:tcW w:w="3005" w:type="dxa"/>
          <w:shd w:val="clear" w:color="auto" w:fill="auto"/>
        </w:tcPr>
        <w:p w14:paraId="3431C180" w14:textId="77777777" w:rsidR="00305C02" w:rsidRPr="002E1D90" w:rsidRDefault="00305C02" w:rsidP="00305C02">
          <w:pPr>
            <w:pStyle w:val="Header"/>
            <w:jc w:val="center"/>
            <w:cnfStyle w:val="000000100000" w:firstRow="0" w:lastRow="0" w:firstColumn="0" w:lastColumn="0" w:oddVBand="0" w:evenVBand="0" w:oddHBand="1" w:evenHBand="0" w:firstRowFirstColumn="0" w:firstRowLastColumn="0" w:lastRowFirstColumn="0" w:lastRowLastColumn="0"/>
            <w:rPr>
              <w:b/>
              <w:bCs/>
            </w:rPr>
          </w:pPr>
        </w:p>
      </w:tc>
      <w:tc>
        <w:tcPr>
          <w:tcW w:w="3204" w:type="dxa"/>
          <w:shd w:val="clear" w:color="auto" w:fill="auto"/>
        </w:tcPr>
        <w:p w14:paraId="73D92CFB" w14:textId="77777777" w:rsidR="00305C02" w:rsidRPr="002E1D90" w:rsidRDefault="00305C02" w:rsidP="00305C02">
          <w:pPr>
            <w:pStyle w:val="Header"/>
            <w:jc w:val="right"/>
            <w:cnfStyle w:val="000000100000" w:firstRow="0" w:lastRow="0" w:firstColumn="0" w:lastColumn="0" w:oddVBand="0" w:evenVBand="0" w:oddHBand="1" w:evenHBand="0" w:firstRowFirstColumn="0" w:firstRowLastColumn="0" w:lastRowFirstColumn="0" w:lastRowLastColumn="0"/>
            <w:rPr>
              <w:b/>
              <w:bCs/>
            </w:rPr>
          </w:pPr>
        </w:p>
      </w:tc>
    </w:tr>
  </w:tbl>
  <w:p w14:paraId="1ADB4A08" w14:textId="77777777" w:rsidR="005C6D9A" w:rsidRPr="0054421B" w:rsidRDefault="005C6D9A" w:rsidP="005442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PlainTable4"/>
      <w:tblW w:w="9356" w:type="dxa"/>
      <w:tblInd w:w="-142" w:type="dxa"/>
      <w:tblLook w:val="04A0" w:firstRow="1" w:lastRow="0" w:firstColumn="1" w:lastColumn="0" w:noHBand="0" w:noVBand="1"/>
    </w:tblPr>
    <w:tblGrid>
      <w:gridCol w:w="3005"/>
      <w:gridCol w:w="3005"/>
      <w:gridCol w:w="3346"/>
    </w:tblGrid>
    <w:tr w:rsidR="002E1D90" w14:paraId="0270212B" w14:textId="77777777" w:rsidTr="001D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val="restart"/>
        </w:tcPr>
        <w:p w14:paraId="02C57A6E" w14:textId="77777777" w:rsidR="002E1D90" w:rsidRDefault="003839CF" w:rsidP="001D0AE4">
          <w:pPr>
            <w:pStyle w:val="Header"/>
          </w:pPr>
          <w:r w:rsidRPr="003839CF">
            <w:rPr>
              <w:noProof/>
            </w:rPr>
            <w:drawing>
              <wp:inline distT="0" distB="0" distL="0" distR="0" wp14:anchorId="37515E2F" wp14:editId="4796FE53">
                <wp:extent cx="981075" cy="490682"/>
                <wp:effectExtent l="0" t="0" r="0" b="5080"/>
                <wp:docPr id="1843595681" name="Graphic 3">
                  <a:extLst xmlns:a="http://schemas.openxmlformats.org/drawingml/2006/main">
                    <a:ext uri="{FF2B5EF4-FFF2-40B4-BE49-F238E27FC236}">
                      <a16:creationId xmlns:a16="http://schemas.microsoft.com/office/drawing/2014/main" id="{AFBBC18C-2506-2435-8F05-02E8A4E1F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a:extLst>
                            <a:ext uri="{FF2B5EF4-FFF2-40B4-BE49-F238E27FC236}">
                              <a16:creationId xmlns:a16="http://schemas.microsoft.com/office/drawing/2014/main" id="{AFBBC18C-2506-2435-8F05-02E8A4E1F906}"/>
                            </a:ext>
                          </a:extLst>
                        </pic:cNvPr>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992915" cy="496604"/>
                        </a:xfrm>
                        <a:prstGeom prst="rect">
                          <a:avLst/>
                        </a:prstGeom>
                      </pic:spPr>
                    </pic:pic>
                  </a:graphicData>
                </a:graphic>
              </wp:inline>
            </w:drawing>
          </w:r>
        </w:p>
      </w:tc>
      <w:tc>
        <w:tcPr>
          <w:tcW w:w="3005" w:type="dxa"/>
        </w:tcPr>
        <w:p w14:paraId="6CF670CD" w14:textId="77777777" w:rsidR="002E1D90" w:rsidRPr="00903A6D" w:rsidRDefault="002E1D90" w:rsidP="002E1D90">
          <w:pPr>
            <w:pStyle w:val="Header"/>
            <w:jc w:val="center"/>
            <w:cnfStyle w:val="100000000000" w:firstRow="1" w:lastRow="0" w:firstColumn="0" w:lastColumn="0" w:oddVBand="0" w:evenVBand="0" w:oddHBand="0" w:evenHBand="0" w:firstRowFirstColumn="0" w:firstRowLastColumn="0" w:lastRowFirstColumn="0" w:lastRowLastColumn="0"/>
          </w:pPr>
          <w:r w:rsidRPr="00903A6D">
            <w:t>Document ID</w:t>
          </w:r>
        </w:p>
      </w:tc>
      <w:tc>
        <w:tcPr>
          <w:tcW w:w="3346" w:type="dxa"/>
        </w:tcPr>
        <w:p w14:paraId="45525412" w14:textId="77777777" w:rsidR="002E1D90" w:rsidRDefault="00FA00E5" w:rsidP="002E1D90">
          <w:pPr>
            <w:pStyle w:val="Header"/>
            <w:jc w:val="right"/>
            <w:cnfStyle w:val="100000000000" w:firstRow="1" w:lastRow="0" w:firstColumn="0" w:lastColumn="0" w:oddVBand="0" w:evenVBand="0" w:oddHBand="0" w:evenHBand="0" w:firstRowFirstColumn="0" w:firstRowLastColumn="0" w:lastRowFirstColumn="0" w:lastRowLastColumn="0"/>
          </w:pPr>
          <w:r w:rsidRPr="002E1D90">
            <w:rPr>
              <w:b w:val="0"/>
              <w:bCs w:val="0"/>
            </w:rPr>
            <w:t>Iss</w:t>
          </w:r>
          <w:r>
            <w:rPr>
              <w:b w:val="0"/>
              <w:bCs w:val="0"/>
            </w:rPr>
            <w:t>:1</w:t>
          </w:r>
          <w:r w:rsidRPr="002E1D90">
            <w:rPr>
              <w:b w:val="0"/>
              <w:bCs w:val="0"/>
            </w:rPr>
            <w:t>/Rev</w:t>
          </w:r>
          <w:r>
            <w:rPr>
              <w:b w:val="0"/>
              <w:bCs w:val="0"/>
            </w:rPr>
            <w:t>.:0</w:t>
          </w:r>
        </w:p>
      </w:tc>
    </w:tr>
    <w:tr w:rsidR="002E1D90" w14:paraId="59379FD7" w14:textId="77777777" w:rsidTr="001D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tcPr>
        <w:p w14:paraId="22B50DF1" w14:textId="77777777" w:rsidR="002E1D90" w:rsidRDefault="002E1D90" w:rsidP="001D0AE4">
          <w:pPr>
            <w:pStyle w:val="Header"/>
          </w:pPr>
        </w:p>
      </w:tc>
      <w:tc>
        <w:tcPr>
          <w:tcW w:w="3005" w:type="dxa"/>
          <w:shd w:val="clear" w:color="auto" w:fill="auto"/>
        </w:tcPr>
        <w:p w14:paraId="16E4AD8C" w14:textId="77777777" w:rsidR="002E1D90" w:rsidRPr="002E1D90" w:rsidRDefault="002E1D90" w:rsidP="002E1D90">
          <w:pPr>
            <w:pStyle w:val="Header"/>
            <w:jc w:val="center"/>
            <w:cnfStyle w:val="000000100000" w:firstRow="0" w:lastRow="0" w:firstColumn="0" w:lastColumn="0" w:oddVBand="0" w:evenVBand="0" w:oddHBand="1" w:evenHBand="0" w:firstRowFirstColumn="0" w:firstRowLastColumn="0" w:lastRowFirstColumn="0" w:lastRowLastColumn="0"/>
            <w:rPr>
              <w:b/>
              <w:bCs/>
            </w:rPr>
          </w:pPr>
        </w:p>
      </w:tc>
      <w:tc>
        <w:tcPr>
          <w:tcW w:w="3346" w:type="dxa"/>
          <w:shd w:val="clear" w:color="auto" w:fill="auto"/>
        </w:tcPr>
        <w:p w14:paraId="5DE299EA" w14:textId="77777777" w:rsidR="002E1D90" w:rsidRPr="00903A6D" w:rsidRDefault="002E1D90" w:rsidP="002E1D90">
          <w:pPr>
            <w:pStyle w:val="Header"/>
            <w:jc w:val="right"/>
            <w:cnfStyle w:val="000000100000" w:firstRow="0" w:lastRow="0" w:firstColumn="0" w:lastColumn="0" w:oddVBand="0" w:evenVBand="0" w:oddHBand="1" w:evenHBand="0" w:firstRowFirstColumn="0" w:firstRowLastColumn="0" w:lastRowFirstColumn="0" w:lastRowLastColumn="0"/>
          </w:pPr>
          <w:r w:rsidRPr="00903A6D">
            <w:t>Date</w:t>
          </w:r>
        </w:p>
      </w:tc>
    </w:tr>
  </w:tbl>
  <w:p w14:paraId="45FBE248" w14:textId="77777777" w:rsidR="004C073D" w:rsidRDefault="004C073D" w:rsidP="001D0AE4">
    <w:pPr>
      <w:pStyle w:val="Header"/>
      <w:pBdr>
        <w:bottom w:val="single" w:sz="12" w:space="1" w:color="auto"/>
      </w:pBdr>
    </w:pPr>
    <w:r>
      <w:softHyphen/>
    </w:r>
    <w:r>
      <w:softHyphen/>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807CF7"/>
    <w:multiLevelType w:val="multilevel"/>
    <w:tmpl w:val="5B2E767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50F02B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5479383">
    <w:abstractNumId w:val="1"/>
  </w:num>
  <w:num w:numId="2" w16cid:durableId="2144664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6E"/>
    <w:rsid w:val="00000E44"/>
    <w:rsid w:val="00006E76"/>
    <w:rsid w:val="00006FD6"/>
    <w:rsid w:val="0004426F"/>
    <w:rsid w:val="000C3817"/>
    <w:rsid w:val="001352EC"/>
    <w:rsid w:val="0013759C"/>
    <w:rsid w:val="0014774D"/>
    <w:rsid w:val="001D0AE4"/>
    <w:rsid w:val="001E056F"/>
    <w:rsid w:val="001F1A32"/>
    <w:rsid w:val="002613DF"/>
    <w:rsid w:val="00291390"/>
    <w:rsid w:val="002E1D90"/>
    <w:rsid w:val="00301DC4"/>
    <w:rsid w:val="00305C02"/>
    <w:rsid w:val="00334C0B"/>
    <w:rsid w:val="0035576C"/>
    <w:rsid w:val="00364696"/>
    <w:rsid w:val="003671C2"/>
    <w:rsid w:val="003839CF"/>
    <w:rsid w:val="00413C08"/>
    <w:rsid w:val="00452C06"/>
    <w:rsid w:val="004C073D"/>
    <w:rsid w:val="004D383C"/>
    <w:rsid w:val="0054421B"/>
    <w:rsid w:val="00545C41"/>
    <w:rsid w:val="0057365E"/>
    <w:rsid w:val="005C6D9A"/>
    <w:rsid w:val="005E3EE1"/>
    <w:rsid w:val="0065783A"/>
    <w:rsid w:val="006F1CCB"/>
    <w:rsid w:val="00716353"/>
    <w:rsid w:val="00734B73"/>
    <w:rsid w:val="00751B20"/>
    <w:rsid w:val="007A0D90"/>
    <w:rsid w:val="007B2D3D"/>
    <w:rsid w:val="007F0932"/>
    <w:rsid w:val="008408AF"/>
    <w:rsid w:val="008714BC"/>
    <w:rsid w:val="008D3B0E"/>
    <w:rsid w:val="00903A6D"/>
    <w:rsid w:val="00954A66"/>
    <w:rsid w:val="00BB3FFE"/>
    <w:rsid w:val="00BC6582"/>
    <w:rsid w:val="00C53DC0"/>
    <w:rsid w:val="00CA6E9F"/>
    <w:rsid w:val="00CA7220"/>
    <w:rsid w:val="00CC74BA"/>
    <w:rsid w:val="00D6083C"/>
    <w:rsid w:val="00D63C77"/>
    <w:rsid w:val="00D83345"/>
    <w:rsid w:val="00DF756E"/>
    <w:rsid w:val="00EE0FD3"/>
    <w:rsid w:val="00F74055"/>
    <w:rsid w:val="00FA00E5"/>
    <w:rsid w:val="00FC04B0"/>
    <w:rsid w:val="00FC7F01"/>
    <w:rsid w:val="00FF732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B07BF"/>
  <w15:chartTrackingRefBased/>
  <w15:docId w15:val="{5DE15880-94F4-48B3-8B1F-F1392C8171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0E5"/>
    <w:pPr>
      <w:keepNext/>
      <w:keepLines/>
      <w:numPr>
        <w:numId w:val="2"/>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FA00E5"/>
    <w:pPr>
      <w:keepNext/>
      <w:keepLines/>
      <w:numPr>
        <w:ilvl w:val="1"/>
        <w:numId w:val="2"/>
      </w:numPr>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FA00E5"/>
    <w:pPr>
      <w:keepNext/>
      <w:keepLines/>
      <w:numPr>
        <w:ilvl w:val="2"/>
        <w:numId w:val="2"/>
      </w:numPr>
      <w:spacing w:before="40" w:after="0"/>
      <w:outlineLvl w:val="2"/>
    </w:pPr>
    <w:rPr>
      <w:rFonts w:asciiTheme="majorHAnsi" w:eastAsiaTheme="majorEastAsia" w:hAnsiTheme="majorHAnsi" w:cstheme="majorBidi"/>
      <w:i/>
      <w:color w:val="1F3763" w:themeColor="accent1" w:themeShade="7F"/>
      <w:sz w:val="24"/>
      <w:szCs w:val="24"/>
    </w:rPr>
  </w:style>
  <w:style w:type="paragraph" w:styleId="Heading4">
    <w:name w:val="heading 4"/>
    <w:basedOn w:val="Normal"/>
    <w:next w:val="Normal"/>
    <w:link w:val="Heading4Char"/>
    <w:uiPriority w:val="9"/>
    <w:unhideWhenUsed/>
    <w:qFormat/>
    <w:rsid w:val="00734B73"/>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00E5"/>
    <w:pPr>
      <w:keepNext/>
      <w:keepLines/>
      <w:numPr>
        <w:ilvl w:val="4"/>
        <w:numId w:val="2"/>
      </w:numPr>
      <w:spacing w:before="40" w:after="0"/>
      <w:outlineLvl w:val="4"/>
    </w:pPr>
    <w:rPr>
      <w:rFonts w:asciiTheme="majorHAnsi" w:eastAsiaTheme="majorEastAsia" w:hAnsiTheme="majorHAnsi" w:cstheme="majorBidi"/>
      <w:i/>
      <w:color w:val="2F5496" w:themeColor="accent1" w:themeShade="BF"/>
    </w:rPr>
  </w:style>
  <w:style w:type="paragraph" w:styleId="Heading6">
    <w:name w:val="heading 6"/>
    <w:basedOn w:val="Normal"/>
    <w:next w:val="Normal"/>
    <w:link w:val="Heading6Char"/>
    <w:uiPriority w:val="9"/>
    <w:semiHidden/>
    <w:unhideWhenUsed/>
    <w:qFormat/>
    <w:rsid w:val="00734B73"/>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34B73"/>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34B7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4B7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6D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D9A"/>
  </w:style>
  <w:style w:type="paragraph" w:styleId="Footer">
    <w:name w:val="footer"/>
    <w:basedOn w:val="Normal"/>
    <w:link w:val="FooterChar"/>
    <w:uiPriority w:val="99"/>
    <w:unhideWhenUsed/>
    <w:rsid w:val="005C6D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6D9A"/>
  </w:style>
  <w:style w:type="table" w:styleId="TableGrid">
    <w:name w:val="Table Grid"/>
    <w:basedOn w:val="TableNormal"/>
    <w:uiPriority w:val="39"/>
    <w:rsid w:val="005C6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E1D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FA00E5"/>
    <w:rPr>
      <w:rFonts w:asciiTheme="majorHAnsi" w:eastAsiaTheme="majorEastAsia" w:hAnsiTheme="majorHAnsi" w:cstheme="majorBidi"/>
      <w:b/>
      <w:color w:val="2F5496" w:themeColor="accent1" w:themeShade="BF"/>
      <w:sz w:val="32"/>
      <w:szCs w:val="32"/>
    </w:rPr>
  </w:style>
  <w:style w:type="paragraph" w:styleId="TOCHeading">
    <w:name w:val="TOC Heading"/>
    <w:basedOn w:val="Heading1"/>
    <w:next w:val="Normal"/>
    <w:uiPriority w:val="39"/>
    <w:unhideWhenUsed/>
    <w:qFormat/>
    <w:rsid w:val="0014774D"/>
    <w:pPr>
      <w:outlineLvl w:val="9"/>
    </w:pPr>
    <w:rPr>
      <w:lang w:val="en-US" w:bidi="ar-SA"/>
    </w:rPr>
  </w:style>
  <w:style w:type="paragraph" w:styleId="TOC1">
    <w:name w:val="toc 1"/>
    <w:basedOn w:val="Normal"/>
    <w:next w:val="Normal"/>
    <w:autoRedefine/>
    <w:uiPriority w:val="39"/>
    <w:unhideWhenUsed/>
    <w:rsid w:val="00452C06"/>
    <w:pPr>
      <w:spacing w:after="100"/>
    </w:pPr>
  </w:style>
  <w:style w:type="character" w:styleId="Hyperlink">
    <w:name w:val="Hyperlink"/>
    <w:basedOn w:val="DefaultParagraphFont"/>
    <w:uiPriority w:val="99"/>
    <w:unhideWhenUsed/>
    <w:rsid w:val="00452C06"/>
    <w:rPr>
      <w:color w:val="0563C1" w:themeColor="hyperlink"/>
      <w:u w:val="single"/>
    </w:rPr>
  </w:style>
  <w:style w:type="character" w:customStyle="1" w:styleId="Heading2Char">
    <w:name w:val="Heading 2 Char"/>
    <w:basedOn w:val="DefaultParagraphFont"/>
    <w:link w:val="Heading2"/>
    <w:uiPriority w:val="9"/>
    <w:rsid w:val="00FA00E5"/>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FA00E5"/>
    <w:rPr>
      <w:rFonts w:asciiTheme="majorHAnsi" w:eastAsiaTheme="majorEastAsia" w:hAnsiTheme="majorHAnsi" w:cstheme="majorBidi"/>
      <w:i/>
      <w:color w:val="1F3763" w:themeColor="accent1" w:themeShade="7F"/>
      <w:sz w:val="24"/>
      <w:szCs w:val="24"/>
    </w:rPr>
  </w:style>
  <w:style w:type="character" w:customStyle="1" w:styleId="Heading4Char">
    <w:name w:val="Heading 4 Char"/>
    <w:basedOn w:val="DefaultParagraphFont"/>
    <w:link w:val="Heading4"/>
    <w:uiPriority w:val="9"/>
    <w:rsid w:val="00734B7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A00E5"/>
    <w:rPr>
      <w:rFonts w:asciiTheme="majorHAnsi" w:eastAsiaTheme="majorEastAsia" w:hAnsiTheme="majorHAnsi" w:cstheme="majorBidi"/>
      <w:i/>
      <w:color w:val="2F5496" w:themeColor="accent1" w:themeShade="BF"/>
    </w:rPr>
  </w:style>
  <w:style w:type="character" w:customStyle="1" w:styleId="Heading6Char">
    <w:name w:val="Heading 6 Char"/>
    <w:basedOn w:val="DefaultParagraphFont"/>
    <w:link w:val="Heading6"/>
    <w:uiPriority w:val="9"/>
    <w:semiHidden/>
    <w:rsid w:val="00734B7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34B7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34B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4B73"/>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65783A"/>
    <w:pPr>
      <w:spacing w:after="100"/>
      <w:ind w:left="220"/>
    </w:pPr>
  </w:style>
  <w:style w:type="paragraph" w:styleId="TOC3">
    <w:name w:val="toc 3"/>
    <w:basedOn w:val="Normal"/>
    <w:next w:val="Normal"/>
    <w:autoRedefine/>
    <w:uiPriority w:val="39"/>
    <w:unhideWhenUsed/>
    <w:rsid w:val="0065783A"/>
    <w:pPr>
      <w:spacing w:after="100"/>
      <w:ind w:left="440"/>
    </w:pPr>
  </w:style>
  <w:style w:type="paragraph" w:customStyle="1" w:styleId="font-claude-response-body">
    <w:name w:val="font-claude-response-body"/>
    <w:basedOn w:val="Normal"/>
    <w:rsid w:val="008408AF"/>
    <w:pPr>
      <w:spacing w:before="100" w:beforeAutospacing="1" w:after="100" w:afterAutospacing="1" w:line="240" w:lineRule="auto"/>
    </w:pPr>
    <w:rPr>
      <w:rFonts w:ascii="Times New Roman" w:eastAsia="Times New Roman" w:hAnsi="Times New Roman" w:cs="Times New Roman"/>
      <w:sz w:val="24"/>
      <w:szCs w:val="24"/>
      <w:lang w:val="en-GR"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ros.grivakos\OneDrive%20-%20Nidec\Desktop\Nidec%20Automation,%20Roboteq_Word_%20document_template_lat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AC95F-2DB6-6E48-B074-A357A10921F5}">
  <we:reference id="wa200010453" version="1.0.0.1" store="en-US" storeType="OMEX"/>
  <we:alternateReferences>
    <we:reference id="WA200010453" version="1.0.0.1" store="" storeType="OMEX"/>
  </we:alternateReferences>
  <we:properties>
    <we:property name="claude.fileId" value="&quot;d5d20759-b3fd-4bf0-b3d7-695e1966d41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CD480-5051-4718-B4A0-3E81F6428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C:\Users\petros.grivakos\OneDrive - Nidec\Desktop\Nidec Automation, Roboteq_Word_ document_template_latest.dotx</Template>
  <TotalTime>72</TotalTime>
  <Pages>5</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Grivakos, Petros [ACIM/MC/MAR]</dc:creator>
  <cp:keywords/>
  <dc:description/>
  <cp:lastModifiedBy>Vasilis Gkionis</cp:lastModifiedBy>
  <cp:revision>8</cp:revision>
  <dcterms:created xsi:type="dcterms:W3CDTF">2026-08-03T05:55:00Z</dcterms:created>
  <dcterms:modified xsi:type="dcterms:W3CDTF">2026-08-05T07:34:00Z</dcterms:modified>
</cp:coreProperties>
</file>