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69D7E" w14:textId="77777777" w:rsidR="00EF0FCA" w:rsidRPr="00CE18DB" w:rsidRDefault="00EF0FCA">
      <w:pPr>
        <w:rPr>
          <w:color w:val="000000" w:themeColor="text1"/>
        </w:rPr>
      </w:pPr>
    </w:p>
    <w:p w14:paraId="72D4A238" w14:textId="77777777" w:rsidR="00EF0FCA" w:rsidRPr="00CE18DB" w:rsidRDefault="00EF0FCA">
      <w:pPr>
        <w:rPr>
          <w:color w:val="000000" w:themeColor="text1"/>
        </w:rPr>
      </w:pPr>
    </w:p>
    <w:p w14:paraId="62602811" w14:textId="77777777" w:rsidR="00EF0FCA" w:rsidRPr="00CE18DB" w:rsidRDefault="00000000">
      <w:pPr>
        <w:spacing w:before="1440" w:after="240"/>
        <w:jc w:val="center"/>
        <w:rPr>
          <w:color w:val="000000" w:themeColor="text1"/>
        </w:rPr>
      </w:pPr>
      <w:r w:rsidRPr="00CE18DB">
        <w:rPr>
          <w:b/>
          <w:bCs/>
          <w:color w:val="000000" w:themeColor="text1"/>
          <w:sz w:val="48"/>
          <w:szCs w:val="48"/>
        </w:rPr>
        <w:t>SECTOR PERFORMANCE ANALYSIS:</w:t>
      </w:r>
    </w:p>
    <w:p w14:paraId="1DEDF968" w14:textId="77777777" w:rsidR="00EF0FCA" w:rsidRPr="00CE18DB" w:rsidRDefault="00000000">
      <w:pPr>
        <w:spacing w:after="240"/>
        <w:jc w:val="center"/>
        <w:rPr>
          <w:color w:val="000000" w:themeColor="text1"/>
        </w:rPr>
      </w:pPr>
      <w:r w:rsidRPr="00CE18DB">
        <w:rPr>
          <w:b/>
          <w:bCs/>
          <w:color w:val="000000" w:themeColor="text1"/>
          <w:sz w:val="40"/>
          <w:szCs w:val="40"/>
        </w:rPr>
        <w:t>Event Impact &amp; Long-Term Growth</w:t>
      </w:r>
    </w:p>
    <w:p w14:paraId="14DBF87D" w14:textId="4C56E4CD" w:rsidR="00EF0FCA" w:rsidRPr="00CE18DB" w:rsidRDefault="00000000" w:rsidP="00F5122A">
      <w:pPr>
        <w:spacing w:before="240" w:after="480"/>
        <w:jc w:val="center"/>
        <w:rPr>
          <w:color w:val="000000" w:themeColor="text1"/>
        </w:rPr>
      </w:pPr>
      <w:r w:rsidRPr="00CE18DB">
        <w:rPr>
          <w:i/>
          <w:iCs/>
          <w:color w:val="000000" w:themeColor="text1"/>
          <w:sz w:val="26"/>
          <w:szCs w:val="26"/>
        </w:rPr>
        <w:t>A Data-Driven Guide for Investors to Navigate Market Events Without FOMO</w:t>
      </w:r>
    </w:p>
    <w:p w14:paraId="55D89E1D" w14:textId="77777777" w:rsidR="00EF0FCA" w:rsidRPr="00CE18DB" w:rsidRDefault="00000000">
      <w:pPr>
        <w:pBdr>
          <w:top w:val="single" w:sz="2" w:space="1" w:color="CCCCCC"/>
        </w:pBdr>
        <w:spacing w:before="480" w:after="120"/>
        <w:jc w:val="center"/>
        <w:rPr>
          <w:color w:val="000000" w:themeColor="text1"/>
        </w:rPr>
      </w:pPr>
      <w:r w:rsidRPr="00CE18DB">
        <w:rPr>
          <w:b/>
          <w:bCs/>
          <w:color w:val="000000" w:themeColor="text1"/>
          <w:sz w:val="18"/>
          <w:szCs w:val="18"/>
        </w:rPr>
        <w:t>DISCLAIMER</w:t>
      </w:r>
    </w:p>
    <w:p w14:paraId="72369C0B" w14:textId="77777777" w:rsidR="00EF0FCA" w:rsidRPr="00CE18DB" w:rsidRDefault="00000000">
      <w:pPr>
        <w:spacing w:before="80" w:after="80"/>
        <w:jc w:val="center"/>
        <w:rPr>
          <w:color w:val="000000" w:themeColor="text1"/>
        </w:rPr>
      </w:pPr>
      <w:r w:rsidRPr="00CE18DB">
        <w:rPr>
          <w:i/>
          <w:iCs/>
          <w:color w:val="000000" w:themeColor="text1"/>
          <w:sz w:val="18"/>
          <w:szCs w:val="18"/>
        </w:rPr>
        <w:t>This report is produced solely for educational and informational purposes. It does not constitute financial advice, a solicitation, or a recommendation to buy or sell any financial instrument. The author accepts no responsibility for any investment decisions made based on the information contained herein. Past performance is not indicative of future results. Investors should conduct their own due diligence and consult a qualified financial advisor before making any investment decisions.</w:t>
      </w:r>
    </w:p>
    <w:p w14:paraId="340D4636" w14:textId="77777777" w:rsidR="00EF0FCA" w:rsidRPr="00CE18DB" w:rsidRDefault="00000000">
      <w:pPr>
        <w:rPr>
          <w:color w:val="000000" w:themeColor="text1"/>
        </w:rPr>
      </w:pPr>
      <w:r w:rsidRPr="00CE18DB">
        <w:rPr>
          <w:color w:val="000000" w:themeColor="text1"/>
        </w:rPr>
        <w:br w:type="page"/>
      </w:r>
    </w:p>
    <w:p w14:paraId="7C4B54F7" w14:textId="77777777" w:rsidR="00EF0FCA" w:rsidRPr="00CE18DB" w:rsidRDefault="00000000">
      <w:pPr>
        <w:pStyle w:val="Heading1"/>
        <w:rPr>
          <w:color w:val="000000" w:themeColor="text1"/>
        </w:rPr>
      </w:pPr>
      <w:r w:rsidRPr="00CE18DB">
        <w:rPr>
          <w:color w:val="000000" w:themeColor="text1"/>
        </w:rPr>
        <w:lastRenderedPageBreak/>
        <w:t>1. Executive Summary</w:t>
      </w:r>
    </w:p>
    <w:p w14:paraId="71076F47" w14:textId="77777777" w:rsidR="00EF0FCA" w:rsidRPr="00CE18DB" w:rsidRDefault="00000000">
      <w:pPr>
        <w:spacing w:after="160" w:line="360" w:lineRule="auto"/>
        <w:jc w:val="both"/>
        <w:rPr>
          <w:color w:val="000000" w:themeColor="text1"/>
        </w:rPr>
      </w:pPr>
      <w:r w:rsidRPr="00CE18DB">
        <w:rPr>
          <w:color w:val="000000" w:themeColor="text1"/>
        </w:rPr>
        <w:t>Fear Of Missing Out (FOMO) is one of the most pervasive and financially damaging behaviours in modern investing. When a geopolitical or economic event causes a particular sector to spike in price, retail investors frequently rush to purchase stocks in that sector, believing they are capitalising on a meaningful opportunity. This report demonstrates, using 17 years of US sector ETF data, that such behaviour is largely counterproductive.</w:t>
      </w:r>
    </w:p>
    <w:p w14:paraId="4544F832" w14:textId="77777777" w:rsidR="00EF0FCA" w:rsidRPr="00CE18DB" w:rsidRDefault="00EF0FCA">
      <w:pPr>
        <w:rPr>
          <w:color w:val="000000" w:themeColor="text1"/>
        </w:rPr>
      </w:pPr>
    </w:p>
    <w:p w14:paraId="4AFF3C36" w14:textId="48CCB783" w:rsidR="00EF0FCA" w:rsidRDefault="00000000" w:rsidP="00214CC4">
      <w:pPr>
        <w:spacing w:after="160" w:line="360" w:lineRule="auto"/>
        <w:jc w:val="both"/>
        <w:rPr>
          <w:color w:val="000000" w:themeColor="text1"/>
        </w:rPr>
      </w:pPr>
      <w:r w:rsidRPr="00CE18DB">
        <w:rPr>
          <w:color w:val="000000" w:themeColor="text1"/>
        </w:rPr>
        <w:t>The analysis covers 47,000+ daily stock price records across 9 US sector ETFs from 2008 to 2025, examining performance during and after five major market events. The central finding is clear: event-driven sector spikes are predominantly short-term in nature, with prices reverting toward their structural trend within 3 to 6 months in most cases. Sectors that generate consistent long-term returns do so because of fundamental structural drivers, not because of temporary disruptions.</w:t>
      </w:r>
    </w:p>
    <w:p w14:paraId="1FC8ABB1" w14:textId="77777777" w:rsidR="00214CC4" w:rsidRPr="00CE18DB" w:rsidRDefault="00214CC4" w:rsidP="00214CC4">
      <w:pPr>
        <w:spacing w:after="160" w:line="360" w:lineRule="auto"/>
        <w:jc w:val="both"/>
        <w:rPr>
          <w:color w:val="000000" w:themeColor="text1"/>
        </w:rPr>
      </w:pPr>
    </w:p>
    <w:p w14:paraId="3CB5B3B8" w14:textId="6ECADEB4" w:rsidR="00EF0FCA" w:rsidRPr="00CE18DB" w:rsidRDefault="00000000">
      <w:pPr>
        <w:spacing w:after="160" w:line="360" w:lineRule="auto"/>
        <w:jc w:val="both"/>
        <w:rPr>
          <w:color w:val="000000" w:themeColor="text1"/>
        </w:rPr>
      </w:pPr>
      <w:r w:rsidRPr="00CE18DB">
        <w:rPr>
          <w:color w:val="000000" w:themeColor="text1"/>
        </w:rPr>
        <w:t xml:space="preserve">The core question this project addresses </w:t>
      </w:r>
      <w:r w:rsidR="00F5122A" w:rsidRPr="00CE18DB">
        <w:rPr>
          <w:color w:val="000000" w:themeColor="text1"/>
        </w:rPr>
        <w:t>is</w:t>
      </w:r>
      <w:r w:rsidRPr="00CE18DB">
        <w:rPr>
          <w:color w:val="000000" w:themeColor="text1"/>
        </w:rPr>
        <w:t>:</w:t>
      </w:r>
    </w:p>
    <w:p w14:paraId="2A824601" w14:textId="57E6B579" w:rsidR="00F5122A" w:rsidRDefault="00000000" w:rsidP="00214CC4">
      <w:pPr>
        <w:pStyle w:val="ListParagraph"/>
        <w:numPr>
          <w:ilvl w:val="0"/>
          <w:numId w:val="5"/>
        </w:numPr>
        <w:spacing w:before="60" w:after="60" w:line="360" w:lineRule="auto"/>
        <w:rPr>
          <w:color w:val="000000" w:themeColor="text1"/>
        </w:rPr>
      </w:pPr>
      <w:r w:rsidRPr="00CE18DB">
        <w:rPr>
          <w:color w:val="000000" w:themeColor="text1"/>
        </w:rPr>
        <w:t>How do major economic and geopolitical events impact different stock sectors, and do those impacts last or represent short-term hype?</w:t>
      </w:r>
    </w:p>
    <w:p w14:paraId="7D4E3DB3" w14:textId="77777777" w:rsidR="00214CC4" w:rsidRPr="00214CC4" w:rsidRDefault="00214CC4" w:rsidP="00214CC4">
      <w:pPr>
        <w:pStyle w:val="ListParagraph"/>
        <w:spacing w:before="60" w:after="60" w:line="360" w:lineRule="auto"/>
        <w:ind w:left="720"/>
        <w:rPr>
          <w:color w:val="000000" w:themeColor="text1"/>
        </w:rPr>
      </w:pPr>
    </w:p>
    <w:p w14:paraId="47E4DE7F" w14:textId="7A5ACBF8" w:rsidR="00EF0FCA" w:rsidRPr="00CE18DB" w:rsidRDefault="00000000">
      <w:pPr>
        <w:spacing w:after="160" w:line="360" w:lineRule="auto"/>
        <w:jc w:val="both"/>
        <w:rPr>
          <w:color w:val="000000" w:themeColor="text1"/>
        </w:rPr>
      </w:pPr>
      <w:r w:rsidRPr="00CE18DB">
        <w:rPr>
          <w:color w:val="000000" w:themeColor="text1"/>
        </w:rPr>
        <w:t xml:space="preserve">The answer to </w:t>
      </w:r>
      <w:r w:rsidR="00371633" w:rsidRPr="00CE18DB">
        <w:rPr>
          <w:color w:val="000000" w:themeColor="text1"/>
        </w:rPr>
        <w:t>this</w:t>
      </w:r>
      <w:r w:rsidRPr="00CE18DB">
        <w:rPr>
          <w:color w:val="000000" w:themeColor="text1"/>
        </w:rPr>
        <w:t xml:space="preserve"> question points in the same direction: investors seeking sustainable returns should focus on Technology and Healthcare, which demonstrate consistent upward trajectories across all market conditions, rather than chasing event-driven spikes in sectors such as Energy or Materials.</w:t>
      </w:r>
    </w:p>
    <w:p w14:paraId="323892C4" w14:textId="77777777" w:rsidR="00EF0FCA" w:rsidRPr="00CE18DB" w:rsidRDefault="00000000">
      <w:pPr>
        <w:rPr>
          <w:color w:val="000000" w:themeColor="text1"/>
        </w:rPr>
      </w:pPr>
      <w:r w:rsidRPr="00CE18DB">
        <w:rPr>
          <w:color w:val="000000" w:themeColor="text1"/>
        </w:rPr>
        <w:br w:type="page"/>
      </w:r>
    </w:p>
    <w:p w14:paraId="3F6340DF" w14:textId="77777777" w:rsidR="00EF0FCA" w:rsidRPr="00CE18DB" w:rsidRDefault="00000000">
      <w:pPr>
        <w:pStyle w:val="Heading1"/>
        <w:rPr>
          <w:color w:val="000000" w:themeColor="text1"/>
        </w:rPr>
      </w:pPr>
      <w:r w:rsidRPr="00CE18DB">
        <w:rPr>
          <w:color w:val="000000" w:themeColor="text1"/>
        </w:rPr>
        <w:lastRenderedPageBreak/>
        <w:t>2. Project Background &amp; Motivation</w:t>
      </w:r>
    </w:p>
    <w:p w14:paraId="5DBC726B" w14:textId="77777777" w:rsidR="00EF0FCA" w:rsidRPr="00CE18DB" w:rsidRDefault="00000000">
      <w:pPr>
        <w:spacing w:after="160" w:line="360" w:lineRule="auto"/>
        <w:jc w:val="both"/>
        <w:rPr>
          <w:color w:val="000000" w:themeColor="text1"/>
        </w:rPr>
      </w:pPr>
      <w:r w:rsidRPr="00CE18DB">
        <w:rPr>
          <w:color w:val="000000" w:themeColor="text1"/>
        </w:rPr>
        <w:t>In recent years, headline-driven investing has intensified. Retail investors, empowered by social media and real-time news feeds, frequently make rapid portfolio decisions based on major global events. The Russia-Ukraine War in 2022 triggered a surge of interest in Energy stocks. The COVID-19 pandemic prompted speculation across Healthcare and Technology. Each time, some investors profited, but many more bought at elevated prices only to watch those gains evaporate.</w:t>
      </w:r>
    </w:p>
    <w:p w14:paraId="217E50AF" w14:textId="77777777" w:rsidR="00EF0FCA" w:rsidRPr="00CE18DB" w:rsidRDefault="00EF0FCA">
      <w:pPr>
        <w:rPr>
          <w:color w:val="000000" w:themeColor="text1"/>
        </w:rPr>
      </w:pPr>
    </w:p>
    <w:p w14:paraId="05EA0CF0" w14:textId="77777777" w:rsidR="00EF0FCA" w:rsidRPr="00CE18DB" w:rsidRDefault="00000000">
      <w:pPr>
        <w:spacing w:after="160" w:line="360" w:lineRule="auto"/>
        <w:jc w:val="both"/>
        <w:rPr>
          <w:color w:val="000000" w:themeColor="text1"/>
        </w:rPr>
      </w:pPr>
      <w:r w:rsidRPr="00CE18DB">
        <w:rPr>
          <w:color w:val="000000" w:themeColor="text1"/>
        </w:rPr>
        <w:t>The core problem is informational asymmetry combined with emotional decision-making. Investors who do not deeply understand a sector's structural drivers often enter positions based purely on price momentum generated by an external shock. They do not distinguish between a temporary supply disruption that inflates a commodity price for weeks, and a decade-long structural shift that will reshape an entire industry.</w:t>
      </w:r>
    </w:p>
    <w:p w14:paraId="7EFF11F9" w14:textId="77777777" w:rsidR="00EF0FCA" w:rsidRPr="00CE18DB" w:rsidRDefault="00EF0FCA">
      <w:pPr>
        <w:rPr>
          <w:color w:val="000000" w:themeColor="text1"/>
        </w:rPr>
      </w:pPr>
    </w:p>
    <w:p w14:paraId="1A6185E7" w14:textId="77777777" w:rsidR="00EF0FCA" w:rsidRPr="00CE18DB" w:rsidRDefault="00000000">
      <w:pPr>
        <w:spacing w:after="160" w:line="360" w:lineRule="auto"/>
        <w:jc w:val="both"/>
        <w:rPr>
          <w:color w:val="000000" w:themeColor="text1"/>
        </w:rPr>
      </w:pPr>
      <w:r w:rsidRPr="00CE18DB">
        <w:rPr>
          <w:color w:val="000000" w:themeColor="text1"/>
        </w:rPr>
        <w:t>This project was designed to address that gap by providing a data-driven framework that investors can use to:</w:t>
      </w:r>
    </w:p>
    <w:p w14:paraId="2A5ABFEB" w14:textId="77777777" w:rsidR="00EF0FCA" w:rsidRPr="00CE18DB" w:rsidRDefault="00000000" w:rsidP="00371633">
      <w:pPr>
        <w:pStyle w:val="ListParagraph"/>
        <w:numPr>
          <w:ilvl w:val="0"/>
          <w:numId w:val="5"/>
        </w:numPr>
        <w:spacing w:before="60" w:after="60" w:line="360" w:lineRule="auto"/>
        <w:rPr>
          <w:color w:val="000000" w:themeColor="text1"/>
        </w:rPr>
      </w:pPr>
      <w:r w:rsidRPr="00CE18DB">
        <w:rPr>
          <w:color w:val="000000" w:themeColor="text1"/>
        </w:rPr>
        <w:t>Objectively assess how much of a sector's event-period return is structural versus temporary.</w:t>
      </w:r>
    </w:p>
    <w:p w14:paraId="2183BF8A" w14:textId="38D60197" w:rsidR="00EF0FCA" w:rsidRPr="00CE18DB" w:rsidRDefault="00371633" w:rsidP="00371633">
      <w:pPr>
        <w:pStyle w:val="ListParagraph"/>
        <w:numPr>
          <w:ilvl w:val="0"/>
          <w:numId w:val="5"/>
        </w:numPr>
        <w:spacing w:before="60" w:after="60" w:line="360" w:lineRule="auto"/>
        <w:rPr>
          <w:color w:val="000000" w:themeColor="text1"/>
        </w:rPr>
      </w:pPr>
      <w:r w:rsidRPr="00CE18DB">
        <w:rPr>
          <w:color w:val="000000" w:themeColor="text1"/>
        </w:rPr>
        <w:t>Compare the magnitude of event-driven spikes against long-term baseline performance.</w:t>
      </w:r>
    </w:p>
    <w:p w14:paraId="17246DC6" w14:textId="77777777" w:rsidR="00371633" w:rsidRPr="00CE18DB" w:rsidRDefault="00371633" w:rsidP="00371633">
      <w:pPr>
        <w:pStyle w:val="ListParagraph"/>
        <w:spacing w:before="60" w:after="60" w:line="360" w:lineRule="auto"/>
        <w:ind w:left="720"/>
        <w:rPr>
          <w:color w:val="000000" w:themeColor="text1"/>
        </w:rPr>
      </w:pPr>
    </w:p>
    <w:p w14:paraId="5657DD69" w14:textId="77777777" w:rsidR="00EF0FCA" w:rsidRPr="00CE18DB" w:rsidRDefault="00000000">
      <w:pPr>
        <w:spacing w:after="160" w:line="360" w:lineRule="auto"/>
        <w:jc w:val="both"/>
        <w:rPr>
          <w:color w:val="000000" w:themeColor="text1"/>
        </w:rPr>
      </w:pPr>
      <w:r w:rsidRPr="00CE18DB">
        <w:rPr>
          <w:color w:val="000000" w:themeColor="text1"/>
        </w:rPr>
        <w:t xml:space="preserve">It is important to note that the event dates used in this analysis are estimated based on publicly available information and represent the </w:t>
      </w:r>
      <w:r w:rsidRPr="00CE18DB">
        <w:rPr>
          <w:b/>
          <w:bCs/>
          <w:color w:val="000000" w:themeColor="text1"/>
        </w:rPr>
        <w:t>peak period of market disruption</w:t>
      </w:r>
      <w:r w:rsidRPr="00CE18DB">
        <w:rPr>
          <w:color w:val="000000" w:themeColor="text1"/>
        </w:rPr>
        <w:t xml:space="preserve"> associated with each event. They do not necessarily correspond to the official political or economic start and end dates of each event.</w:t>
      </w:r>
    </w:p>
    <w:p w14:paraId="03D5DB8A" w14:textId="77777777" w:rsidR="00EF0FCA" w:rsidRPr="00CE18DB" w:rsidRDefault="00000000">
      <w:pPr>
        <w:rPr>
          <w:color w:val="000000" w:themeColor="text1"/>
        </w:rPr>
      </w:pPr>
      <w:r w:rsidRPr="00CE18DB">
        <w:rPr>
          <w:color w:val="000000" w:themeColor="text1"/>
        </w:rPr>
        <w:br w:type="page"/>
      </w:r>
    </w:p>
    <w:p w14:paraId="3E54012B" w14:textId="77777777" w:rsidR="00EF0FCA" w:rsidRPr="00CE18DB" w:rsidRDefault="00000000">
      <w:pPr>
        <w:pStyle w:val="Heading1"/>
        <w:rPr>
          <w:color w:val="000000" w:themeColor="text1"/>
        </w:rPr>
      </w:pPr>
      <w:r w:rsidRPr="00CE18DB">
        <w:rPr>
          <w:color w:val="000000" w:themeColor="text1"/>
        </w:rPr>
        <w:lastRenderedPageBreak/>
        <w:t>3. Data Collection &amp; Preparation</w:t>
      </w:r>
    </w:p>
    <w:p w14:paraId="37BDA5C3" w14:textId="77777777" w:rsidR="00EF0FCA" w:rsidRPr="00CE18DB" w:rsidRDefault="00000000">
      <w:pPr>
        <w:pStyle w:val="Heading2"/>
        <w:rPr>
          <w:color w:val="000000" w:themeColor="text1"/>
        </w:rPr>
      </w:pPr>
      <w:r w:rsidRPr="00CE18DB">
        <w:rPr>
          <w:color w:val="000000" w:themeColor="text1"/>
        </w:rPr>
        <w:t>3.1 Data Sources</w:t>
      </w:r>
    </w:p>
    <w:p w14:paraId="018D0D33" w14:textId="737F7CD5" w:rsidR="00EF0FCA" w:rsidRPr="00CE18DB" w:rsidRDefault="00000000">
      <w:pPr>
        <w:spacing w:after="160" w:line="360" w:lineRule="auto"/>
        <w:jc w:val="both"/>
        <w:rPr>
          <w:color w:val="000000" w:themeColor="text1"/>
        </w:rPr>
      </w:pPr>
      <w:r w:rsidRPr="00CE18DB">
        <w:rPr>
          <w:color w:val="000000" w:themeColor="text1"/>
        </w:rPr>
        <w:t>All stock price data was sourced from Google Finance. The dataset covers 9 iShares sector ETFs, which serve as representative proxies for each major segment of the US equity market:</w:t>
      </w:r>
    </w:p>
    <w:p w14:paraId="1B400B76" w14:textId="77777777" w:rsidR="00EF0FCA" w:rsidRPr="00CE18DB" w:rsidRDefault="00EF0FCA">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CE18DB" w:rsidRPr="00CE18DB" w14:paraId="13D3EB6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vAlign w:val="center"/>
          </w:tcPr>
          <w:p w14:paraId="03046E9C" w14:textId="77777777" w:rsidR="00EF0FCA" w:rsidRPr="00CE18DB" w:rsidRDefault="00000000">
            <w:pPr>
              <w:jc w:val="center"/>
              <w:rPr>
                <w:color w:val="000000" w:themeColor="text1"/>
              </w:rPr>
            </w:pPr>
            <w:r w:rsidRPr="00CE18DB">
              <w:rPr>
                <w:b/>
                <w:bCs/>
                <w:color w:val="000000" w:themeColor="text1"/>
                <w:sz w:val="20"/>
                <w:szCs w:val="20"/>
              </w:rPr>
              <w:t>Ticker</w:t>
            </w:r>
          </w:p>
        </w:tc>
        <w:tc>
          <w:tcPr>
            <w:tcW w:w="22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vAlign w:val="center"/>
          </w:tcPr>
          <w:p w14:paraId="5C141340" w14:textId="77777777" w:rsidR="00EF0FCA" w:rsidRPr="00CE18DB" w:rsidRDefault="00000000">
            <w:pPr>
              <w:jc w:val="center"/>
              <w:rPr>
                <w:color w:val="000000" w:themeColor="text1"/>
              </w:rPr>
            </w:pPr>
            <w:r w:rsidRPr="00CE18DB">
              <w:rPr>
                <w:b/>
                <w:bCs/>
                <w:color w:val="000000" w:themeColor="text1"/>
                <w:sz w:val="20"/>
                <w:szCs w:val="20"/>
              </w:rPr>
              <w:t>Sector</w:t>
            </w:r>
          </w:p>
        </w:tc>
        <w:tc>
          <w:tcPr>
            <w:tcW w:w="496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vAlign w:val="center"/>
          </w:tcPr>
          <w:p w14:paraId="093365C5" w14:textId="77777777" w:rsidR="00EF0FCA" w:rsidRPr="00CE18DB" w:rsidRDefault="00000000">
            <w:pPr>
              <w:jc w:val="center"/>
              <w:rPr>
                <w:color w:val="000000" w:themeColor="text1"/>
              </w:rPr>
            </w:pPr>
            <w:r w:rsidRPr="00CE18DB">
              <w:rPr>
                <w:b/>
                <w:bCs/>
                <w:color w:val="000000" w:themeColor="text1"/>
                <w:sz w:val="20"/>
                <w:szCs w:val="20"/>
              </w:rPr>
              <w:t>Full Name</w:t>
            </w:r>
          </w:p>
        </w:tc>
      </w:tr>
      <w:tr w:rsidR="00CE18DB" w:rsidRPr="00CE18DB" w14:paraId="59AFF3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FA3757" w14:textId="77777777" w:rsidR="00EF0FCA" w:rsidRPr="00CE18DB" w:rsidRDefault="00000000">
            <w:pPr>
              <w:jc w:val="center"/>
              <w:rPr>
                <w:color w:val="000000" w:themeColor="text1"/>
              </w:rPr>
            </w:pPr>
            <w:r w:rsidRPr="00CE18DB">
              <w:rPr>
                <w:color w:val="000000" w:themeColor="text1"/>
                <w:sz w:val="20"/>
                <w:szCs w:val="20"/>
              </w:rPr>
              <w:t>IYW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9E08A" w14:textId="77777777" w:rsidR="00EF0FCA" w:rsidRPr="00CE18DB" w:rsidRDefault="00000000">
            <w:pPr>
              <w:jc w:val="center"/>
              <w:rPr>
                <w:color w:val="000000" w:themeColor="text1"/>
              </w:rPr>
            </w:pPr>
            <w:r w:rsidRPr="00CE18DB">
              <w:rPr>
                <w:color w:val="000000" w:themeColor="text1"/>
                <w:sz w:val="20"/>
                <w:szCs w:val="20"/>
              </w:rPr>
              <w:t>Technology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980976" w14:textId="77777777" w:rsidR="00EF0FCA" w:rsidRPr="00CE18DB" w:rsidRDefault="00000000">
            <w:pPr>
              <w:jc w:val="center"/>
              <w:rPr>
                <w:color w:val="000000" w:themeColor="text1"/>
              </w:rPr>
            </w:pPr>
            <w:r w:rsidRPr="00CE18DB">
              <w:rPr>
                <w:color w:val="000000" w:themeColor="text1"/>
                <w:sz w:val="20"/>
                <w:szCs w:val="20"/>
              </w:rPr>
              <w:t>iShares U.S. Technology ETF</w:t>
            </w:r>
          </w:p>
        </w:tc>
      </w:tr>
      <w:tr w:rsidR="00CE18DB" w:rsidRPr="00CE18DB" w14:paraId="2DB364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1C2952" w14:textId="77777777" w:rsidR="00EF0FCA" w:rsidRPr="00CE18DB" w:rsidRDefault="00000000">
            <w:pPr>
              <w:jc w:val="center"/>
              <w:rPr>
                <w:color w:val="000000" w:themeColor="text1"/>
              </w:rPr>
            </w:pPr>
            <w:r w:rsidRPr="00CE18DB">
              <w:rPr>
                <w:color w:val="000000" w:themeColor="text1"/>
                <w:sz w:val="20"/>
                <w:szCs w:val="20"/>
              </w:rPr>
              <w:t>IYH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6A09C1" w14:textId="77777777" w:rsidR="00EF0FCA" w:rsidRPr="00CE18DB" w:rsidRDefault="00000000">
            <w:pPr>
              <w:jc w:val="center"/>
              <w:rPr>
                <w:color w:val="000000" w:themeColor="text1"/>
              </w:rPr>
            </w:pPr>
            <w:r w:rsidRPr="00CE18DB">
              <w:rPr>
                <w:color w:val="000000" w:themeColor="text1"/>
                <w:sz w:val="20"/>
                <w:szCs w:val="20"/>
              </w:rPr>
              <w:t>Healthcare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4F838" w14:textId="77777777" w:rsidR="00EF0FCA" w:rsidRPr="00CE18DB" w:rsidRDefault="00000000">
            <w:pPr>
              <w:jc w:val="center"/>
              <w:rPr>
                <w:color w:val="000000" w:themeColor="text1"/>
              </w:rPr>
            </w:pPr>
            <w:r w:rsidRPr="00CE18DB">
              <w:rPr>
                <w:color w:val="000000" w:themeColor="text1"/>
                <w:sz w:val="20"/>
                <w:szCs w:val="20"/>
              </w:rPr>
              <w:t>iShares U.S. Healthcare ETF</w:t>
            </w:r>
          </w:p>
        </w:tc>
      </w:tr>
      <w:tr w:rsidR="00CE18DB" w:rsidRPr="00CE18DB" w14:paraId="5C0CF2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8E1C9" w14:textId="77777777" w:rsidR="00EF0FCA" w:rsidRPr="00CE18DB" w:rsidRDefault="00000000">
            <w:pPr>
              <w:jc w:val="center"/>
              <w:rPr>
                <w:color w:val="000000" w:themeColor="text1"/>
              </w:rPr>
            </w:pPr>
            <w:r w:rsidRPr="00CE18DB">
              <w:rPr>
                <w:color w:val="000000" w:themeColor="text1"/>
                <w:sz w:val="20"/>
                <w:szCs w:val="20"/>
              </w:rPr>
              <w:t>IYF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6ABFAC" w14:textId="77777777" w:rsidR="00EF0FCA" w:rsidRPr="00CE18DB" w:rsidRDefault="00000000">
            <w:pPr>
              <w:jc w:val="center"/>
              <w:rPr>
                <w:color w:val="000000" w:themeColor="text1"/>
              </w:rPr>
            </w:pPr>
            <w:r w:rsidRPr="00CE18DB">
              <w:rPr>
                <w:color w:val="000000" w:themeColor="text1"/>
                <w:sz w:val="20"/>
                <w:szCs w:val="20"/>
              </w:rPr>
              <w:t>Financials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4819A8" w14:textId="77777777" w:rsidR="00EF0FCA" w:rsidRPr="00CE18DB" w:rsidRDefault="00000000">
            <w:pPr>
              <w:jc w:val="center"/>
              <w:rPr>
                <w:color w:val="000000" w:themeColor="text1"/>
              </w:rPr>
            </w:pPr>
            <w:r w:rsidRPr="00CE18DB">
              <w:rPr>
                <w:color w:val="000000" w:themeColor="text1"/>
                <w:sz w:val="20"/>
                <w:szCs w:val="20"/>
              </w:rPr>
              <w:t>iShares U.S. Financials ETF</w:t>
            </w:r>
          </w:p>
        </w:tc>
      </w:tr>
      <w:tr w:rsidR="00CE18DB" w:rsidRPr="00CE18DB" w14:paraId="088F96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BA9354" w14:textId="77777777" w:rsidR="00EF0FCA" w:rsidRPr="00CE18DB" w:rsidRDefault="00000000">
            <w:pPr>
              <w:jc w:val="center"/>
              <w:rPr>
                <w:color w:val="000000" w:themeColor="text1"/>
              </w:rPr>
            </w:pPr>
            <w:r w:rsidRPr="00CE18DB">
              <w:rPr>
                <w:color w:val="000000" w:themeColor="text1"/>
                <w:sz w:val="20"/>
                <w:szCs w:val="20"/>
              </w:rPr>
              <w:t>IYE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B2EA89" w14:textId="77777777" w:rsidR="00EF0FCA" w:rsidRPr="00CE18DB" w:rsidRDefault="00000000">
            <w:pPr>
              <w:jc w:val="center"/>
              <w:rPr>
                <w:color w:val="000000" w:themeColor="text1"/>
              </w:rPr>
            </w:pPr>
            <w:r w:rsidRPr="00CE18DB">
              <w:rPr>
                <w:color w:val="000000" w:themeColor="text1"/>
                <w:sz w:val="20"/>
                <w:szCs w:val="20"/>
              </w:rPr>
              <w:t>Energy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C6EB3" w14:textId="77777777" w:rsidR="00EF0FCA" w:rsidRPr="00CE18DB" w:rsidRDefault="00000000">
            <w:pPr>
              <w:jc w:val="center"/>
              <w:rPr>
                <w:color w:val="000000" w:themeColor="text1"/>
              </w:rPr>
            </w:pPr>
            <w:r w:rsidRPr="00CE18DB">
              <w:rPr>
                <w:color w:val="000000" w:themeColor="text1"/>
                <w:sz w:val="20"/>
                <w:szCs w:val="20"/>
              </w:rPr>
              <w:t>iShares U.S. Energy ETF</w:t>
            </w:r>
          </w:p>
        </w:tc>
      </w:tr>
      <w:tr w:rsidR="00CE18DB" w:rsidRPr="00CE18DB" w14:paraId="22B16A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2262E" w14:textId="77777777" w:rsidR="00EF0FCA" w:rsidRPr="00CE18DB" w:rsidRDefault="00000000">
            <w:pPr>
              <w:jc w:val="center"/>
              <w:rPr>
                <w:color w:val="000000" w:themeColor="text1"/>
              </w:rPr>
            </w:pPr>
            <w:r w:rsidRPr="00CE18DB">
              <w:rPr>
                <w:color w:val="000000" w:themeColor="text1"/>
                <w:sz w:val="20"/>
                <w:szCs w:val="20"/>
              </w:rPr>
              <w:t>IYK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F6BA9" w14:textId="77777777" w:rsidR="00EF0FCA" w:rsidRPr="00CE18DB" w:rsidRDefault="00000000">
            <w:pPr>
              <w:jc w:val="center"/>
              <w:rPr>
                <w:color w:val="000000" w:themeColor="text1"/>
              </w:rPr>
            </w:pPr>
            <w:r w:rsidRPr="00CE18DB">
              <w:rPr>
                <w:color w:val="000000" w:themeColor="text1"/>
                <w:sz w:val="20"/>
                <w:szCs w:val="20"/>
              </w:rPr>
              <w:t>Consumer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D1E7AB" w14:textId="77777777" w:rsidR="00EF0FCA" w:rsidRPr="00CE18DB" w:rsidRDefault="00000000">
            <w:pPr>
              <w:jc w:val="center"/>
              <w:rPr>
                <w:color w:val="000000" w:themeColor="text1"/>
              </w:rPr>
            </w:pPr>
            <w:r w:rsidRPr="00CE18DB">
              <w:rPr>
                <w:color w:val="000000" w:themeColor="text1"/>
                <w:sz w:val="20"/>
                <w:szCs w:val="20"/>
              </w:rPr>
              <w:t>iShares U.S. Consumer Staples ETF</w:t>
            </w:r>
          </w:p>
        </w:tc>
      </w:tr>
      <w:tr w:rsidR="00CE18DB" w:rsidRPr="00CE18DB" w14:paraId="6DA5CE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29958" w14:textId="77777777" w:rsidR="00EF0FCA" w:rsidRPr="00CE18DB" w:rsidRDefault="00000000">
            <w:pPr>
              <w:jc w:val="center"/>
              <w:rPr>
                <w:color w:val="000000" w:themeColor="text1"/>
              </w:rPr>
            </w:pPr>
            <w:r w:rsidRPr="00CE18DB">
              <w:rPr>
                <w:color w:val="000000" w:themeColor="text1"/>
                <w:sz w:val="20"/>
                <w:szCs w:val="20"/>
              </w:rPr>
              <w:t>IYJ</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D175D2" w14:textId="77777777" w:rsidR="00EF0FCA" w:rsidRPr="00CE18DB" w:rsidRDefault="00000000">
            <w:pPr>
              <w:jc w:val="center"/>
              <w:rPr>
                <w:color w:val="000000" w:themeColor="text1"/>
              </w:rPr>
            </w:pPr>
            <w:r w:rsidRPr="00CE18DB">
              <w:rPr>
                <w:color w:val="000000" w:themeColor="text1"/>
                <w:sz w:val="20"/>
                <w:szCs w:val="20"/>
              </w:rPr>
              <w:t>Industrials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1E39D" w14:textId="77777777" w:rsidR="00EF0FCA" w:rsidRPr="00CE18DB" w:rsidRDefault="00000000">
            <w:pPr>
              <w:jc w:val="center"/>
              <w:rPr>
                <w:color w:val="000000" w:themeColor="text1"/>
              </w:rPr>
            </w:pPr>
            <w:r w:rsidRPr="00CE18DB">
              <w:rPr>
                <w:color w:val="000000" w:themeColor="text1"/>
                <w:sz w:val="20"/>
                <w:szCs w:val="20"/>
              </w:rPr>
              <w:t>iShares U.S. Industrials ETF</w:t>
            </w:r>
          </w:p>
        </w:tc>
      </w:tr>
      <w:tr w:rsidR="00CE18DB" w:rsidRPr="00CE18DB" w14:paraId="56B5D1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E78E9B" w14:textId="77777777" w:rsidR="00EF0FCA" w:rsidRPr="00CE18DB" w:rsidRDefault="00000000">
            <w:pPr>
              <w:jc w:val="center"/>
              <w:rPr>
                <w:color w:val="000000" w:themeColor="text1"/>
              </w:rPr>
            </w:pPr>
            <w:r w:rsidRPr="00CE18DB">
              <w:rPr>
                <w:color w:val="000000" w:themeColor="text1"/>
                <w:sz w:val="20"/>
                <w:szCs w:val="20"/>
              </w:rPr>
              <w:t>IDU</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679E5" w14:textId="77777777" w:rsidR="00EF0FCA" w:rsidRPr="00CE18DB" w:rsidRDefault="00000000">
            <w:pPr>
              <w:jc w:val="center"/>
              <w:rPr>
                <w:color w:val="000000" w:themeColor="text1"/>
              </w:rPr>
            </w:pPr>
            <w:r w:rsidRPr="00CE18DB">
              <w:rPr>
                <w:color w:val="000000" w:themeColor="text1"/>
                <w:sz w:val="20"/>
                <w:szCs w:val="20"/>
              </w:rPr>
              <w:t>Utilities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F18C3" w14:textId="77777777" w:rsidR="00EF0FCA" w:rsidRPr="00CE18DB" w:rsidRDefault="00000000">
            <w:pPr>
              <w:jc w:val="center"/>
              <w:rPr>
                <w:color w:val="000000" w:themeColor="text1"/>
              </w:rPr>
            </w:pPr>
            <w:r w:rsidRPr="00CE18DB">
              <w:rPr>
                <w:color w:val="000000" w:themeColor="text1"/>
                <w:sz w:val="20"/>
                <w:szCs w:val="20"/>
              </w:rPr>
              <w:t>iShares U.S. Utilities ETF</w:t>
            </w:r>
          </w:p>
        </w:tc>
      </w:tr>
      <w:tr w:rsidR="00CE18DB" w:rsidRPr="00CE18DB" w14:paraId="461322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247BC3" w14:textId="77777777" w:rsidR="00EF0FCA" w:rsidRPr="00CE18DB" w:rsidRDefault="00000000">
            <w:pPr>
              <w:jc w:val="center"/>
              <w:rPr>
                <w:color w:val="000000" w:themeColor="text1"/>
              </w:rPr>
            </w:pPr>
            <w:r w:rsidRPr="00CE18DB">
              <w:rPr>
                <w:color w:val="000000" w:themeColor="text1"/>
                <w:sz w:val="20"/>
                <w:szCs w:val="20"/>
              </w:rPr>
              <w:t>IYM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ACB816" w14:textId="77777777" w:rsidR="00EF0FCA" w:rsidRPr="00CE18DB" w:rsidRDefault="00000000">
            <w:pPr>
              <w:jc w:val="center"/>
              <w:rPr>
                <w:color w:val="000000" w:themeColor="text1"/>
              </w:rPr>
            </w:pPr>
            <w:r w:rsidRPr="00CE18DB">
              <w:rPr>
                <w:color w:val="000000" w:themeColor="text1"/>
                <w:sz w:val="20"/>
                <w:szCs w:val="20"/>
              </w:rPr>
              <w:t>Materials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1F126F" w14:textId="77777777" w:rsidR="00EF0FCA" w:rsidRPr="00CE18DB" w:rsidRDefault="00000000">
            <w:pPr>
              <w:jc w:val="center"/>
              <w:rPr>
                <w:color w:val="000000" w:themeColor="text1"/>
              </w:rPr>
            </w:pPr>
            <w:r w:rsidRPr="00CE18DB">
              <w:rPr>
                <w:color w:val="000000" w:themeColor="text1"/>
                <w:sz w:val="20"/>
                <w:szCs w:val="20"/>
              </w:rPr>
              <w:t>iShares U.S. Materials ETF</w:t>
            </w:r>
          </w:p>
        </w:tc>
      </w:tr>
      <w:tr w:rsidR="00CE18DB" w:rsidRPr="00CE18DB" w14:paraId="11153E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EDA0B" w14:textId="77777777" w:rsidR="00EF0FCA" w:rsidRPr="00CE18DB" w:rsidRDefault="00000000">
            <w:pPr>
              <w:jc w:val="center"/>
              <w:rPr>
                <w:color w:val="000000" w:themeColor="text1"/>
              </w:rPr>
            </w:pPr>
            <w:r w:rsidRPr="00CE18DB">
              <w:rPr>
                <w:color w:val="000000" w:themeColor="text1"/>
                <w:sz w:val="20"/>
                <w:szCs w:val="20"/>
              </w:rPr>
              <w:t>IYR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9FC086" w14:textId="77777777" w:rsidR="00EF0FCA" w:rsidRPr="00CE18DB" w:rsidRDefault="00000000">
            <w:pPr>
              <w:jc w:val="center"/>
              <w:rPr>
                <w:color w:val="000000" w:themeColor="text1"/>
              </w:rPr>
            </w:pPr>
            <w:r w:rsidRPr="00CE18DB">
              <w:rPr>
                <w:color w:val="000000" w:themeColor="text1"/>
                <w:sz w:val="20"/>
                <w:szCs w:val="20"/>
              </w:rPr>
              <w:t>Real Estate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A99710" w14:textId="77777777" w:rsidR="00EF0FCA" w:rsidRPr="00CE18DB" w:rsidRDefault="00000000">
            <w:pPr>
              <w:jc w:val="center"/>
              <w:rPr>
                <w:color w:val="000000" w:themeColor="text1"/>
              </w:rPr>
            </w:pPr>
            <w:r w:rsidRPr="00CE18DB">
              <w:rPr>
                <w:color w:val="000000" w:themeColor="text1"/>
                <w:sz w:val="20"/>
                <w:szCs w:val="20"/>
              </w:rPr>
              <w:t>iShares U.S. Real Estate ETF</w:t>
            </w:r>
          </w:p>
        </w:tc>
      </w:tr>
    </w:tbl>
    <w:p w14:paraId="770A4C98" w14:textId="77777777" w:rsidR="00EF0FCA" w:rsidRPr="00CE18DB" w:rsidRDefault="00EF0FCA">
      <w:pPr>
        <w:rPr>
          <w:color w:val="000000" w:themeColor="text1"/>
        </w:rPr>
      </w:pPr>
    </w:p>
    <w:p w14:paraId="61295C9A" w14:textId="77777777" w:rsidR="00EF0FCA" w:rsidRPr="00CE18DB" w:rsidRDefault="00000000">
      <w:pPr>
        <w:spacing w:after="160" w:line="360" w:lineRule="auto"/>
        <w:jc w:val="both"/>
        <w:rPr>
          <w:color w:val="000000" w:themeColor="text1"/>
        </w:rPr>
      </w:pPr>
      <w:r w:rsidRPr="00CE18DB">
        <w:rPr>
          <w:color w:val="000000" w:themeColor="text1"/>
        </w:rPr>
        <w:t>In addition, a manually curated Event table was created to define the 5 major market events analysed:</w:t>
      </w:r>
    </w:p>
    <w:p w14:paraId="0AD263AE" w14:textId="77777777" w:rsidR="00EF0FCA" w:rsidRPr="00CE18DB" w:rsidRDefault="00EF0FCA">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400"/>
        <w:gridCol w:w="1400"/>
        <w:gridCol w:w="3060"/>
      </w:tblGrid>
      <w:tr w:rsidR="00CE18DB" w:rsidRPr="00CE18DB" w14:paraId="40612FBD"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vAlign w:val="center"/>
          </w:tcPr>
          <w:p w14:paraId="4446B49F" w14:textId="77777777" w:rsidR="00EF0FCA" w:rsidRPr="00CE18DB" w:rsidRDefault="00000000">
            <w:pPr>
              <w:jc w:val="center"/>
              <w:rPr>
                <w:color w:val="000000" w:themeColor="text1"/>
              </w:rPr>
            </w:pPr>
            <w:r w:rsidRPr="00CE18DB">
              <w:rPr>
                <w:b/>
                <w:bCs/>
                <w:color w:val="000000" w:themeColor="text1"/>
                <w:sz w:val="20"/>
                <w:szCs w:val="20"/>
              </w:rPr>
              <w:t>Event</w:t>
            </w:r>
          </w:p>
        </w:tc>
        <w:tc>
          <w:tcPr>
            <w:tcW w:w="14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vAlign w:val="center"/>
          </w:tcPr>
          <w:p w14:paraId="678C0A41" w14:textId="77777777" w:rsidR="00EF0FCA" w:rsidRPr="00CE18DB" w:rsidRDefault="00000000">
            <w:pPr>
              <w:jc w:val="center"/>
              <w:rPr>
                <w:color w:val="000000" w:themeColor="text1"/>
              </w:rPr>
            </w:pPr>
            <w:r w:rsidRPr="00CE18DB">
              <w:rPr>
                <w:b/>
                <w:bCs/>
                <w:color w:val="000000" w:themeColor="text1"/>
                <w:sz w:val="20"/>
                <w:szCs w:val="20"/>
              </w:rPr>
              <w:t>Start</w:t>
            </w:r>
          </w:p>
        </w:tc>
        <w:tc>
          <w:tcPr>
            <w:tcW w:w="14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vAlign w:val="center"/>
          </w:tcPr>
          <w:p w14:paraId="02725F4C" w14:textId="77777777" w:rsidR="00EF0FCA" w:rsidRPr="00CE18DB" w:rsidRDefault="00000000">
            <w:pPr>
              <w:jc w:val="center"/>
              <w:rPr>
                <w:color w:val="000000" w:themeColor="text1"/>
              </w:rPr>
            </w:pPr>
            <w:r w:rsidRPr="00CE18DB">
              <w:rPr>
                <w:b/>
                <w:bCs/>
                <w:color w:val="000000" w:themeColor="text1"/>
                <w:sz w:val="20"/>
                <w:szCs w:val="20"/>
              </w:rPr>
              <w:t>End</w:t>
            </w:r>
          </w:p>
        </w:tc>
        <w:tc>
          <w:tcPr>
            <w:tcW w:w="306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vAlign w:val="center"/>
          </w:tcPr>
          <w:p w14:paraId="78BE8780" w14:textId="77777777" w:rsidR="00EF0FCA" w:rsidRPr="00CE18DB" w:rsidRDefault="00000000">
            <w:pPr>
              <w:jc w:val="center"/>
              <w:rPr>
                <w:color w:val="000000" w:themeColor="text1"/>
              </w:rPr>
            </w:pPr>
            <w:r w:rsidRPr="00CE18DB">
              <w:rPr>
                <w:b/>
                <w:bCs/>
                <w:color w:val="000000" w:themeColor="text1"/>
                <w:sz w:val="20"/>
                <w:szCs w:val="20"/>
              </w:rPr>
              <w:t>Nature of Shock</w:t>
            </w:r>
          </w:p>
        </w:tc>
      </w:tr>
      <w:tr w:rsidR="00CE18DB" w:rsidRPr="00CE18DB" w14:paraId="267BCB9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714857" w14:textId="77777777" w:rsidR="00EF0FCA" w:rsidRPr="00CE18DB" w:rsidRDefault="00000000">
            <w:pPr>
              <w:jc w:val="center"/>
              <w:rPr>
                <w:color w:val="000000" w:themeColor="text1"/>
              </w:rPr>
            </w:pPr>
            <w:r w:rsidRPr="00CE18DB">
              <w:rPr>
                <w:color w:val="000000" w:themeColor="text1"/>
                <w:sz w:val="20"/>
                <w:szCs w:val="20"/>
              </w:rPr>
              <w:t>Global Financial Crisis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F113E9" w14:textId="77777777" w:rsidR="00EF0FCA" w:rsidRPr="00CE18DB" w:rsidRDefault="00000000">
            <w:pPr>
              <w:jc w:val="center"/>
              <w:rPr>
                <w:color w:val="000000" w:themeColor="text1"/>
              </w:rPr>
            </w:pPr>
            <w:r w:rsidRPr="00CE18DB">
              <w:rPr>
                <w:color w:val="000000" w:themeColor="text1"/>
                <w:sz w:val="20"/>
                <w:szCs w:val="20"/>
              </w:rPr>
              <w:t>Sep 2008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5B77A" w14:textId="77777777" w:rsidR="00EF0FCA" w:rsidRPr="00CE18DB" w:rsidRDefault="00000000">
            <w:pPr>
              <w:jc w:val="center"/>
              <w:rPr>
                <w:color w:val="000000" w:themeColor="text1"/>
              </w:rPr>
            </w:pPr>
            <w:r w:rsidRPr="00CE18DB">
              <w:rPr>
                <w:color w:val="000000" w:themeColor="text1"/>
                <w:sz w:val="20"/>
                <w:szCs w:val="20"/>
              </w:rPr>
              <w:t>Mar 2009</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AC711A" w14:textId="77777777" w:rsidR="00EF0FCA" w:rsidRPr="00CE18DB" w:rsidRDefault="00000000">
            <w:pPr>
              <w:jc w:val="center"/>
              <w:rPr>
                <w:color w:val="000000" w:themeColor="text1"/>
              </w:rPr>
            </w:pPr>
            <w:r w:rsidRPr="00CE18DB">
              <w:rPr>
                <w:color w:val="000000" w:themeColor="text1"/>
                <w:sz w:val="20"/>
                <w:szCs w:val="20"/>
              </w:rPr>
              <w:t>Systemic financial collapse</w:t>
            </w:r>
          </w:p>
        </w:tc>
      </w:tr>
      <w:tr w:rsidR="00CE18DB" w:rsidRPr="00CE18DB" w14:paraId="202EE67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3F165B" w14:textId="77777777" w:rsidR="00EF0FCA" w:rsidRPr="00CE18DB" w:rsidRDefault="00000000">
            <w:pPr>
              <w:jc w:val="center"/>
              <w:rPr>
                <w:color w:val="000000" w:themeColor="text1"/>
              </w:rPr>
            </w:pPr>
            <w:r w:rsidRPr="00CE18DB">
              <w:rPr>
                <w:color w:val="000000" w:themeColor="text1"/>
                <w:sz w:val="20"/>
                <w:szCs w:val="20"/>
              </w:rPr>
              <w:t>Eurozone Sovereign Debt Crisis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499678" w14:textId="77777777" w:rsidR="00EF0FCA" w:rsidRPr="00CE18DB" w:rsidRDefault="00000000">
            <w:pPr>
              <w:jc w:val="center"/>
              <w:rPr>
                <w:color w:val="000000" w:themeColor="text1"/>
              </w:rPr>
            </w:pPr>
            <w:r w:rsidRPr="00CE18DB">
              <w:rPr>
                <w:color w:val="000000" w:themeColor="text1"/>
                <w:sz w:val="20"/>
                <w:szCs w:val="20"/>
              </w:rPr>
              <w:t>Dec 2009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1E6BB6" w14:textId="77777777" w:rsidR="00EF0FCA" w:rsidRPr="00CE18DB" w:rsidRDefault="00000000">
            <w:pPr>
              <w:jc w:val="center"/>
              <w:rPr>
                <w:color w:val="000000" w:themeColor="text1"/>
              </w:rPr>
            </w:pPr>
            <w:r w:rsidRPr="00CE18DB">
              <w:rPr>
                <w:color w:val="000000" w:themeColor="text1"/>
                <w:sz w:val="20"/>
                <w:szCs w:val="20"/>
              </w:rPr>
              <w:t>Jul 2012</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6F12C" w14:textId="77777777" w:rsidR="00EF0FCA" w:rsidRPr="00CE18DB" w:rsidRDefault="00000000">
            <w:pPr>
              <w:jc w:val="center"/>
              <w:rPr>
                <w:color w:val="000000" w:themeColor="text1"/>
              </w:rPr>
            </w:pPr>
            <w:r w:rsidRPr="00CE18DB">
              <w:rPr>
                <w:color w:val="000000" w:themeColor="text1"/>
                <w:sz w:val="20"/>
                <w:szCs w:val="20"/>
              </w:rPr>
              <w:t>Prolonged policy-managed crisis</w:t>
            </w:r>
          </w:p>
        </w:tc>
      </w:tr>
      <w:tr w:rsidR="00CE18DB" w:rsidRPr="00CE18DB" w14:paraId="0897E1C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4C805B" w14:textId="77777777" w:rsidR="00EF0FCA" w:rsidRPr="00CE18DB" w:rsidRDefault="00000000">
            <w:pPr>
              <w:jc w:val="center"/>
              <w:rPr>
                <w:color w:val="000000" w:themeColor="text1"/>
              </w:rPr>
            </w:pPr>
            <w:r w:rsidRPr="00CE18DB">
              <w:rPr>
                <w:color w:val="000000" w:themeColor="text1"/>
                <w:sz w:val="20"/>
                <w:szCs w:val="20"/>
              </w:rPr>
              <w:t>COVID-19 Pandemic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E4F914" w14:textId="77777777" w:rsidR="00EF0FCA" w:rsidRPr="00CE18DB" w:rsidRDefault="00000000">
            <w:pPr>
              <w:jc w:val="center"/>
              <w:rPr>
                <w:color w:val="000000" w:themeColor="text1"/>
              </w:rPr>
            </w:pPr>
            <w:r w:rsidRPr="00CE18DB">
              <w:rPr>
                <w:color w:val="000000" w:themeColor="text1"/>
                <w:sz w:val="20"/>
                <w:szCs w:val="20"/>
              </w:rPr>
              <w:t>Feb 2020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343BD2" w14:textId="77777777" w:rsidR="00EF0FCA" w:rsidRPr="00CE18DB" w:rsidRDefault="00000000">
            <w:pPr>
              <w:jc w:val="center"/>
              <w:rPr>
                <w:color w:val="000000" w:themeColor="text1"/>
              </w:rPr>
            </w:pPr>
            <w:r w:rsidRPr="00CE18DB">
              <w:rPr>
                <w:color w:val="000000" w:themeColor="text1"/>
                <w:sz w:val="20"/>
                <w:szCs w:val="20"/>
              </w:rPr>
              <w:t>Mar 2020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7D309" w14:textId="77777777" w:rsidR="00EF0FCA" w:rsidRPr="00CE18DB" w:rsidRDefault="00000000">
            <w:pPr>
              <w:jc w:val="center"/>
              <w:rPr>
                <w:color w:val="000000" w:themeColor="text1"/>
              </w:rPr>
            </w:pPr>
            <w:r w:rsidRPr="00CE18DB">
              <w:rPr>
                <w:color w:val="000000" w:themeColor="text1"/>
                <w:sz w:val="20"/>
                <w:szCs w:val="20"/>
              </w:rPr>
              <w:t>Sudden demand destruction</w:t>
            </w:r>
          </w:p>
        </w:tc>
      </w:tr>
      <w:tr w:rsidR="00CE18DB" w:rsidRPr="00CE18DB" w14:paraId="1084F0E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BC68BA" w14:textId="77777777" w:rsidR="00EF0FCA" w:rsidRPr="00CE18DB" w:rsidRDefault="00000000">
            <w:pPr>
              <w:jc w:val="center"/>
              <w:rPr>
                <w:color w:val="000000" w:themeColor="text1"/>
              </w:rPr>
            </w:pPr>
            <w:r w:rsidRPr="00CE18DB">
              <w:rPr>
                <w:color w:val="000000" w:themeColor="text1"/>
                <w:sz w:val="20"/>
                <w:szCs w:val="20"/>
              </w:rPr>
              <w:t>Russia-Ukraine War (Initial Shock)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A8993" w14:textId="77777777" w:rsidR="00EF0FCA" w:rsidRPr="00CE18DB" w:rsidRDefault="00000000">
            <w:pPr>
              <w:jc w:val="center"/>
              <w:rPr>
                <w:color w:val="000000" w:themeColor="text1"/>
              </w:rPr>
            </w:pPr>
            <w:r w:rsidRPr="00CE18DB">
              <w:rPr>
                <w:color w:val="000000" w:themeColor="text1"/>
                <w:sz w:val="20"/>
                <w:szCs w:val="20"/>
              </w:rPr>
              <w:t>Feb 2022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4CBCB8" w14:textId="77777777" w:rsidR="00EF0FCA" w:rsidRPr="00CE18DB" w:rsidRDefault="00000000">
            <w:pPr>
              <w:jc w:val="center"/>
              <w:rPr>
                <w:color w:val="000000" w:themeColor="text1"/>
              </w:rPr>
            </w:pPr>
            <w:r w:rsidRPr="00CE18DB">
              <w:rPr>
                <w:color w:val="000000" w:themeColor="text1"/>
                <w:sz w:val="20"/>
                <w:szCs w:val="20"/>
              </w:rPr>
              <w:t>Feb 2022</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F0C366" w14:textId="77777777" w:rsidR="00EF0FCA" w:rsidRPr="00CE18DB" w:rsidRDefault="00000000">
            <w:pPr>
              <w:jc w:val="center"/>
              <w:rPr>
                <w:color w:val="000000" w:themeColor="text1"/>
              </w:rPr>
            </w:pPr>
            <w:r w:rsidRPr="00CE18DB">
              <w:rPr>
                <w:color w:val="000000" w:themeColor="text1"/>
                <w:sz w:val="20"/>
                <w:szCs w:val="20"/>
              </w:rPr>
              <w:t>Geopolitical commodity shock</w:t>
            </w:r>
          </w:p>
        </w:tc>
      </w:tr>
      <w:tr w:rsidR="00CE18DB" w:rsidRPr="00CE18DB" w14:paraId="5EB21D3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1AA762" w14:textId="77777777" w:rsidR="00EF0FCA" w:rsidRPr="00CE18DB" w:rsidRDefault="00000000">
            <w:pPr>
              <w:jc w:val="center"/>
              <w:rPr>
                <w:color w:val="000000" w:themeColor="text1"/>
              </w:rPr>
            </w:pPr>
            <w:r w:rsidRPr="00CE18DB">
              <w:rPr>
                <w:color w:val="000000" w:themeColor="text1"/>
                <w:sz w:val="20"/>
                <w:szCs w:val="20"/>
              </w:rPr>
              <w:t>2025 Spring Trade Shock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942FCC" w14:textId="77777777" w:rsidR="00EF0FCA" w:rsidRPr="00CE18DB" w:rsidRDefault="00000000">
            <w:pPr>
              <w:jc w:val="center"/>
              <w:rPr>
                <w:color w:val="000000" w:themeColor="text1"/>
              </w:rPr>
            </w:pPr>
            <w:r w:rsidRPr="00CE18DB">
              <w:rPr>
                <w:color w:val="000000" w:themeColor="text1"/>
                <w:sz w:val="20"/>
                <w:szCs w:val="20"/>
              </w:rPr>
              <w:t>Apr 2025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FA6CBE" w14:textId="77777777" w:rsidR="00EF0FCA" w:rsidRPr="00CE18DB" w:rsidRDefault="00000000">
            <w:pPr>
              <w:jc w:val="center"/>
              <w:rPr>
                <w:color w:val="000000" w:themeColor="text1"/>
              </w:rPr>
            </w:pPr>
            <w:r w:rsidRPr="00CE18DB">
              <w:rPr>
                <w:color w:val="000000" w:themeColor="text1"/>
                <w:sz w:val="20"/>
                <w:szCs w:val="20"/>
              </w:rPr>
              <w:t>May 2025</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2A8161" w14:textId="77777777" w:rsidR="00EF0FCA" w:rsidRPr="00CE18DB" w:rsidRDefault="00000000">
            <w:pPr>
              <w:jc w:val="center"/>
              <w:rPr>
                <w:color w:val="000000" w:themeColor="text1"/>
              </w:rPr>
            </w:pPr>
            <w:r w:rsidRPr="00CE18DB">
              <w:rPr>
                <w:color w:val="000000" w:themeColor="text1"/>
                <w:sz w:val="20"/>
                <w:szCs w:val="20"/>
              </w:rPr>
              <w:t>US trade policy disruption</w:t>
            </w:r>
          </w:p>
        </w:tc>
      </w:tr>
    </w:tbl>
    <w:p w14:paraId="72186D12" w14:textId="77777777" w:rsidR="00EF0FCA" w:rsidRPr="00CE18DB" w:rsidRDefault="00EF0FCA">
      <w:pPr>
        <w:rPr>
          <w:color w:val="000000" w:themeColor="text1"/>
        </w:rPr>
      </w:pPr>
    </w:p>
    <w:p w14:paraId="51CD04F2" w14:textId="77777777" w:rsidR="00371633" w:rsidRPr="00CE18DB" w:rsidRDefault="00371633">
      <w:pPr>
        <w:pStyle w:val="Heading2"/>
        <w:rPr>
          <w:color w:val="000000" w:themeColor="text1"/>
        </w:rPr>
      </w:pPr>
    </w:p>
    <w:p w14:paraId="56CB7B56" w14:textId="77777777" w:rsidR="00371633" w:rsidRPr="00CE18DB" w:rsidRDefault="00371633">
      <w:pPr>
        <w:pStyle w:val="Heading2"/>
        <w:rPr>
          <w:color w:val="000000" w:themeColor="text1"/>
        </w:rPr>
      </w:pPr>
    </w:p>
    <w:p w14:paraId="6E48C26A" w14:textId="77777777" w:rsidR="00371633" w:rsidRPr="00CE18DB" w:rsidRDefault="00371633">
      <w:pPr>
        <w:pStyle w:val="Heading2"/>
        <w:rPr>
          <w:color w:val="000000" w:themeColor="text1"/>
        </w:rPr>
      </w:pPr>
    </w:p>
    <w:p w14:paraId="47002CBB" w14:textId="77777777" w:rsidR="00371633" w:rsidRPr="00CE18DB" w:rsidRDefault="00371633">
      <w:pPr>
        <w:pStyle w:val="Heading2"/>
        <w:rPr>
          <w:color w:val="000000" w:themeColor="text1"/>
        </w:rPr>
      </w:pPr>
    </w:p>
    <w:p w14:paraId="2E1D496C" w14:textId="78574508" w:rsidR="00EF0FCA" w:rsidRPr="00CE18DB" w:rsidRDefault="00000000">
      <w:pPr>
        <w:pStyle w:val="Heading2"/>
        <w:rPr>
          <w:color w:val="000000" w:themeColor="text1"/>
        </w:rPr>
      </w:pPr>
      <w:r w:rsidRPr="00CE18DB">
        <w:rPr>
          <w:color w:val="000000" w:themeColor="text1"/>
        </w:rPr>
        <w:lastRenderedPageBreak/>
        <w:t>3.2 Data Preparation</w:t>
      </w:r>
    </w:p>
    <w:p w14:paraId="34966DB5" w14:textId="77777777" w:rsidR="00EF0FCA" w:rsidRPr="00CE18DB" w:rsidRDefault="00000000">
      <w:pPr>
        <w:spacing w:after="160" w:line="360" w:lineRule="auto"/>
        <w:jc w:val="both"/>
        <w:rPr>
          <w:color w:val="000000" w:themeColor="text1"/>
        </w:rPr>
      </w:pPr>
      <w:r w:rsidRPr="00CE18DB">
        <w:rPr>
          <w:color w:val="000000" w:themeColor="text1"/>
        </w:rPr>
        <w:t>The raw data was prepared through the following steps before being loaded into MySQL:</w:t>
      </w:r>
    </w:p>
    <w:p w14:paraId="0F487007" w14:textId="77777777" w:rsidR="00EF0FCA" w:rsidRPr="00CE18DB" w:rsidRDefault="00000000" w:rsidP="00371633">
      <w:pPr>
        <w:pStyle w:val="ListParagraph"/>
        <w:numPr>
          <w:ilvl w:val="0"/>
          <w:numId w:val="6"/>
        </w:numPr>
        <w:spacing w:before="60" w:after="60" w:line="360" w:lineRule="auto"/>
        <w:rPr>
          <w:color w:val="000000" w:themeColor="text1"/>
        </w:rPr>
      </w:pPr>
      <w:r w:rsidRPr="00CE18DB">
        <w:rPr>
          <w:color w:val="000000" w:themeColor="text1"/>
        </w:rPr>
        <w:t>Downloaded individual CSV files for each of the 9 ETF tickers from Google Finance.</w:t>
      </w:r>
    </w:p>
    <w:p w14:paraId="68FE8260" w14:textId="77777777" w:rsidR="00EF0FCA" w:rsidRPr="00CE18DB" w:rsidRDefault="00000000" w:rsidP="00371633">
      <w:pPr>
        <w:pStyle w:val="ListParagraph"/>
        <w:numPr>
          <w:ilvl w:val="0"/>
          <w:numId w:val="6"/>
        </w:numPr>
        <w:spacing w:before="60" w:after="60" w:line="360" w:lineRule="auto"/>
        <w:rPr>
          <w:color w:val="000000" w:themeColor="text1"/>
        </w:rPr>
      </w:pPr>
      <w:r w:rsidRPr="00CE18DB">
        <w:rPr>
          <w:color w:val="000000" w:themeColor="text1"/>
        </w:rPr>
        <w:t>Added two additional columns to each file: Ticker (the ETF symbol) and Sector (the corresponding sector name) to enable cross-sector analysis.</w:t>
      </w:r>
    </w:p>
    <w:p w14:paraId="06DC81CF" w14:textId="77777777" w:rsidR="00EF0FCA" w:rsidRPr="00CE18DB" w:rsidRDefault="00000000" w:rsidP="00371633">
      <w:pPr>
        <w:pStyle w:val="ListParagraph"/>
        <w:numPr>
          <w:ilvl w:val="0"/>
          <w:numId w:val="6"/>
        </w:numPr>
        <w:spacing w:before="60" w:after="60" w:line="360" w:lineRule="auto"/>
        <w:rPr>
          <w:color w:val="000000" w:themeColor="text1"/>
        </w:rPr>
      </w:pPr>
      <w:r w:rsidRPr="00CE18DB">
        <w:rPr>
          <w:color w:val="000000" w:themeColor="text1"/>
        </w:rPr>
        <w:t>Consolidated all 9 individual files into a single master dataset using Power Query in Microsoft Excel, resulting in 47,000+ rows of daily price data.</w:t>
      </w:r>
    </w:p>
    <w:p w14:paraId="546C8903" w14:textId="77777777" w:rsidR="00EF0FCA" w:rsidRPr="00CE18DB" w:rsidRDefault="00EF0FCA">
      <w:pPr>
        <w:rPr>
          <w:color w:val="000000" w:themeColor="text1"/>
        </w:rPr>
      </w:pPr>
    </w:p>
    <w:p w14:paraId="62D11560" w14:textId="77777777" w:rsidR="00EF0FCA" w:rsidRPr="00CE18DB" w:rsidRDefault="00000000">
      <w:pPr>
        <w:spacing w:after="160" w:line="360" w:lineRule="auto"/>
        <w:jc w:val="both"/>
        <w:rPr>
          <w:color w:val="000000" w:themeColor="text1"/>
        </w:rPr>
      </w:pPr>
      <w:r w:rsidRPr="00CE18DB">
        <w:rPr>
          <w:color w:val="000000" w:themeColor="text1"/>
        </w:rPr>
        <w:t>Data quality was verified across four dimensions:</w:t>
      </w:r>
    </w:p>
    <w:p w14:paraId="0FB78CA9" w14:textId="77777777" w:rsidR="00214CC4" w:rsidRDefault="00000000" w:rsidP="00214CC4">
      <w:pPr>
        <w:pStyle w:val="ListParagraph"/>
        <w:numPr>
          <w:ilvl w:val="0"/>
          <w:numId w:val="21"/>
        </w:numPr>
        <w:spacing w:before="60" w:after="60" w:line="360" w:lineRule="auto"/>
        <w:rPr>
          <w:color w:val="000000" w:themeColor="text1"/>
        </w:rPr>
      </w:pPr>
      <w:r w:rsidRPr="00214CC4">
        <w:rPr>
          <w:color w:val="000000" w:themeColor="text1"/>
        </w:rPr>
        <w:t>Duplicate check: No duplicate records were found across any ticker-date combination.</w:t>
      </w:r>
    </w:p>
    <w:p w14:paraId="6ADA0879" w14:textId="77777777" w:rsidR="00214CC4" w:rsidRDefault="00000000" w:rsidP="00214CC4">
      <w:pPr>
        <w:pStyle w:val="ListParagraph"/>
        <w:numPr>
          <w:ilvl w:val="0"/>
          <w:numId w:val="21"/>
        </w:numPr>
        <w:spacing w:before="60" w:after="60" w:line="360" w:lineRule="auto"/>
        <w:rPr>
          <w:color w:val="000000" w:themeColor="text1"/>
        </w:rPr>
      </w:pPr>
      <w:r w:rsidRPr="00214CC4">
        <w:rPr>
          <w:color w:val="000000" w:themeColor="text1"/>
        </w:rPr>
        <w:t>Data type validation: All columns confirmed to be in the correct data type (dates as DATETIME, prices as DOUBLE, volume as INTEGER).</w:t>
      </w:r>
    </w:p>
    <w:p w14:paraId="0E3AEBAF" w14:textId="77777777" w:rsidR="00214CC4" w:rsidRDefault="00000000" w:rsidP="00214CC4">
      <w:pPr>
        <w:pStyle w:val="ListParagraph"/>
        <w:numPr>
          <w:ilvl w:val="0"/>
          <w:numId w:val="21"/>
        </w:numPr>
        <w:spacing w:before="60" w:after="60" w:line="360" w:lineRule="auto"/>
        <w:rPr>
          <w:color w:val="000000" w:themeColor="text1"/>
        </w:rPr>
      </w:pPr>
      <w:r w:rsidRPr="00214CC4">
        <w:rPr>
          <w:color w:val="000000" w:themeColor="text1"/>
        </w:rPr>
        <w:t>Logical consistency: Dates confirmed to be in chronological order; High values confirmed to be greater than or equal to Low values on all trading days.</w:t>
      </w:r>
    </w:p>
    <w:p w14:paraId="20E166FB" w14:textId="04CED7D6" w:rsidR="00EF0FCA" w:rsidRPr="00214CC4" w:rsidRDefault="00000000" w:rsidP="00214CC4">
      <w:pPr>
        <w:pStyle w:val="ListParagraph"/>
        <w:numPr>
          <w:ilvl w:val="0"/>
          <w:numId w:val="21"/>
        </w:numPr>
        <w:spacing w:before="60" w:after="60" w:line="360" w:lineRule="auto"/>
        <w:rPr>
          <w:color w:val="000000" w:themeColor="text1"/>
        </w:rPr>
      </w:pPr>
      <w:r w:rsidRPr="00214CC4">
        <w:rPr>
          <w:color w:val="000000" w:themeColor="text1"/>
        </w:rPr>
        <w:t>Semantic consistency: Sector and Ticker labels confirmed consistent across all 47,000+ rows.</w:t>
      </w:r>
    </w:p>
    <w:p w14:paraId="02385C0A" w14:textId="77777777" w:rsidR="00EF0FCA" w:rsidRPr="00CE18DB" w:rsidRDefault="00EF0FCA">
      <w:pPr>
        <w:rPr>
          <w:color w:val="000000" w:themeColor="text1"/>
        </w:rPr>
      </w:pPr>
    </w:p>
    <w:p w14:paraId="472FAF98" w14:textId="77777777" w:rsidR="00EF0FCA" w:rsidRPr="00CE18DB" w:rsidRDefault="00000000">
      <w:pPr>
        <w:spacing w:after="160" w:line="360" w:lineRule="auto"/>
        <w:jc w:val="both"/>
        <w:rPr>
          <w:color w:val="000000" w:themeColor="text1"/>
        </w:rPr>
      </w:pPr>
      <w:r w:rsidRPr="00CE18DB">
        <w:rPr>
          <w:color w:val="000000" w:themeColor="text1"/>
        </w:rPr>
        <w:t xml:space="preserve">Missing values were identified only for the </w:t>
      </w:r>
      <w:proofErr w:type="spellStart"/>
      <w:r w:rsidRPr="00CE18DB">
        <w:rPr>
          <w:color w:val="000000" w:themeColor="text1"/>
        </w:rPr>
        <w:t>Daily_return</w:t>
      </w:r>
      <w:proofErr w:type="spellEnd"/>
      <w:r w:rsidRPr="00CE18DB">
        <w:rPr>
          <w:color w:val="000000" w:themeColor="text1"/>
        </w:rPr>
        <w:t xml:space="preserve"> column on the first trading day of each ticker's history, which is expected and unavoidable as no prior-day close is available to compute the return. These were handled using NULLIF in the SQL load script rather than being excluded.</w:t>
      </w:r>
    </w:p>
    <w:p w14:paraId="0B702A66" w14:textId="77777777" w:rsidR="00EF0FCA" w:rsidRPr="00CE18DB" w:rsidRDefault="00000000">
      <w:pPr>
        <w:rPr>
          <w:color w:val="000000" w:themeColor="text1"/>
        </w:rPr>
      </w:pPr>
      <w:r w:rsidRPr="00CE18DB">
        <w:rPr>
          <w:color w:val="000000" w:themeColor="text1"/>
        </w:rPr>
        <w:br w:type="page"/>
      </w:r>
    </w:p>
    <w:p w14:paraId="69173CCE" w14:textId="77777777" w:rsidR="00EF0FCA" w:rsidRPr="00CE18DB" w:rsidRDefault="00000000">
      <w:pPr>
        <w:pStyle w:val="Heading1"/>
        <w:rPr>
          <w:color w:val="000000" w:themeColor="text1"/>
        </w:rPr>
      </w:pPr>
      <w:r w:rsidRPr="00CE18DB">
        <w:rPr>
          <w:color w:val="000000" w:themeColor="text1"/>
        </w:rPr>
        <w:lastRenderedPageBreak/>
        <w:t>4. Data Modelling (MySQL)</w:t>
      </w:r>
    </w:p>
    <w:p w14:paraId="3B849C0E" w14:textId="77777777" w:rsidR="00EF0FCA" w:rsidRPr="00CE18DB" w:rsidRDefault="00000000">
      <w:pPr>
        <w:pStyle w:val="Heading2"/>
        <w:rPr>
          <w:color w:val="000000" w:themeColor="text1"/>
        </w:rPr>
      </w:pPr>
      <w:r w:rsidRPr="00CE18DB">
        <w:rPr>
          <w:color w:val="000000" w:themeColor="text1"/>
        </w:rPr>
        <w:t>4.1 Database Design</w:t>
      </w:r>
    </w:p>
    <w:p w14:paraId="69638A2B" w14:textId="77777777" w:rsidR="00EF0FCA" w:rsidRPr="00CE18DB" w:rsidRDefault="00000000">
      <w:pPr>
        <w:spacing w:after="160" w:line="360" w:lineRule="auto"/>
        <w:jc w:val="both"/>
        <w:rPr>
          <w:color w:val="000000" w:themeColor="text1"/>
        </w:rPr>
      </w:pPr>
      <w:r w:rsidRPr="00CE18DB">
        <w:rPr>
          <w:color w:val="000000" w:themeColor="text1"/>
        </w:rPr>
        <w:t xml:space="preserve">The cleaned master dataset was loaded into a MySQL database named </w:t>
      </w:r>
      <w:proofErr w:type="spellStart"/>
      <w:r w:rsidRPr="00CE18DB">
        <w:rPr>
          <w:color w:val="000000" w:themeColor="text1"/>
        </w:rPr>
        <w:t>market_sector</w:t>
      </w:r>
      <w:proofErr w:type="spellEnd"/>
      <w:r w:rsidRPr="00CE18DB">
        <w:rPr>
          <w:color w:val="000000" w:themeColor="text1"/>
        </w:rPr>
        <w:t>. Two core tables were created:</w:t>
      </w:r>
    </w:p>
    <w:p w14:paraId="49DC8E9A" w14:textId="77777777" w:rsidR="00371633" w:rsidRPr="00CE18DB" w:rsidRDefault="00000000" w:rsidP="00371633">
      <w:pPr>
        <w:pStyle w:val="ListParagraph"/>
        <w:numPr>
          <w:ilvl w:val="0"/>
          <w:numId w:val="7"/>
        </w:numPr>
        <w:spacing w:before="60" w:after="60" w:line="360" w:lineRule="auto"/>
        <w:rPr>
          <w:color w:val="000000" w:themeColor="text1"/>
        </w:rPr>
      </w:pPr>
      <w:proofErr w:type="spellStart"/>
      <w:r w:rsidRPr="00CE18DB">
        <w:rPr>
          <w:color w:val="000000" w:themeColor="text1"/>
        </w:rPr>
        <w:t>stock_price_summary</w:t>
      </w:r>
      <w:proofErr w:type="spellEnd"/>
      <w:r w:rsidRPr="00CE18DB">
        <w:rPr>
          <w:color w:val="000000" w:themeColor="text1"/>
        </w:rPr>
        <w:t>: the base fact table containing all 47,000+ daily price records.</w:t>
      </w:r>
    </w:p>
    <w:p w14:paraId="0303BA3F" w14:textId="5F9A9F42" w:rsidR="00EF0FCA" w:rsidRPr="00CE18DB" w:rsidRDefault="00000000" w:rsidP="00371633">
      <w:pPr>
        <w:pStyle w:val="ListParagraph"/>
        <w:numPr>
          <w:ilvl w:val="0"/>
          <w:numId w:val="7"/>
        </w:numPr>
        <w:spacing w:before="60" w:after="60" w:line="360" w:lineRule="auto"/>
        <w:rPr>
          <w:color w:val="000000" w:themeColor="text1"/>
        </w:rPr>
      </w:pPr>
      <w:r w:rsidRPr="00CE18DB">
        <w:rPr>
          <w:color w:val="000000" w:themeColor="text1"/>
        </w:rPr>
        <w:t>event: a reference table defining the 5 market events with their start and end dates.</w:t>
      </w:r>
    </w:p>
    <w:p w14:paraId="410CB610" w14:textId="77777777" w:rsidR="00EF0FCA" w:rsidRPr="00CE18DB" w:rsidRDefault="00EF0FCA">
      <w:pPr>
        <w:rPr>
          <w:color w:val="000000" w:themeColor="text1"/>
        </w:rPr>
      </w:pPr>
    </w:p>
    <w:p w14:paraId="1FB15FFB" w14:textId="77777777" w:rsidR="00EF0FCA" w:rsidRPr="00CE18DB" w:rsidRDefault="00000000">
      <w:pPr>
        <w:pStyle w:val="Heading2"/>
        <w:rPr>
          <w:color w:val="000000" w:themeColor="text1"/>
        </w:rPr>
      </w:pPr>
      <w:r w:rsidRPr="00CE18DB">
        <w:rPr>
          <w:color w:val="000000" w:themeColor="text1"/>
        </w:rPr>
        <w:t>4.2 SQL Views Created</w:t>
      </w:r>
    </w:p>
    <w:p w14:paraId="72BBD455" w14:textId="75684878" w:rsidR="00EF0FCA" w:rsidRPr="00CE18DB" w:rsidRDefault="00F5122A">
      <w:pPr>
        <w:spacing w:after="160" w:line="360" w:lineRule="auto"/>
        <w:jc w:val="both"/>
        <w:rPr>
          <w:color w:val="000000" w:themeColor="text1"/>
        </w:rPr>
      </w:pPr>
      <w:r w:rsidRPr="00CE18DB">
        <w:rPr>
          <w:color w:val="000000" w:themeColor="text1"/>
        </w:rPr>
        <w:t>Three</w:t>
      </w:r>
      <w:r w:rsidR="00000000" w:rsidRPr="00CE18DB">
        <w:rPr>
          <w:color w:val="000000" w:themeColor="text1"/>
        </w:rPr>
        <w:t xml:space="preserve"> analytical views were engineered using dynamic date window logic to segment the data into analytically meaningful periods:</w:t>
      </w:r>
    </w:p>
    <w:p w14:paraId="2ACDAAE7" w14:textId="77777777" w:rsidR="00EF0FCA" w:rsidRPr="00CE18DB" w:rsidRDefault="00EF0FCA">
      <w:pPr>
        <w:rPr>
          <w:color w:val="000000" w:themeColor="text1"/>
        </w:rPr>
      </w:pPr>
    </w:p>
    <w:p w14:paraId="20FF39B6" w14:textId="77777777" w:rsidR="00214CC4" w:rsidRDefault="00000000" w:rsidP="00214CC4">
      <w:pPr>
        <w:pStyle w:val="ListParagraph"/>
        <w:numPr>
          <w:ilvl w:val="0"/>
          <w:numId w:val="22"/>
        </w:numPr>
        <w:spacing w:before="60" w:after="60" w:line="360" w:lineRule="auto"/>
        <w:rPr>
          <w:color w:val="000000" w:themeColor="text1"/>
        </w:rPr>
      </w:pPr>
      <w:proofErr w:type="spellStart"/>
      <w:r w:rsidRPr="00214CC4">
        <w:rPr>
          <w:color w:val="000000" w:themeColor="text1"/>
        </w:rPr>
        <w:t>Sector_performance_during_event</w:t>
      </w:r>
      <w:proofErr w:type="spellEnd"/>
      <w:r w:rsidRPr="00214CC4">
        <w:rPr>
          <w:color w:val="000000" w:themeColor="text1"/>
        </w:rPr>
        <w:t>: daily returns for each sector-ticker during each event window.</w:t>
      </w:r>
    </w:p>
    <w:p w14:paraId="3A16A54B" w14:textId="77777777" w:rsidR="00214CC4" w:rsidRDefault="00000000" w:rsidP="00214CC4">
      <w:pPr>
        <w:pStyle w:val="ListParagraph"/>
        <w:numPr>
          <w:ilvl w:val="0"/>
          <w:numId w:val="22"/>
        </w:numPr>
        <w:spacing w:before="60" w:after="60" w:line="360" w:lineRule="auto"/>
        <w:rPr>
          <w:color w:val="000000" w:themeColor="text1"/>
        </w:rPr>
      </w:pPr>
      <w:r w:rsidRPr="00214CC4">
        <w:rPr>
          <w:color w:val="000000" w:themeColor="text1"/>
        </w:rPr>
        <w:t>Sector_performance_3_months_after_event: performance in the 3 months immediately following the end of each event.</w:t>
      </w:r>
    </w:p>
    <w:p w14:paraId="0B1D087D" w14:textId="6E5E7E0D" w:rsidR="00EF0FCA" w:rsidRPr="00214CC4" w:rsidRDefault="00000000" w:rsidP="00214CC4">
      <w:pPr>
        <w:pStyle w:val="ListParagraph"/>
        <w:numPr>
          <w:ilvl w:val="0"/>
          <w:numId w:val="22"/>
        </w:numPr>
        <w:spacing w:before="60" w:after="60" w:line="360" w:lineRule="auto"/>
        <w:rPr>
          <w:color w:val="000000" w:themeColor="text1"/>
        </w:rPr>
      </w:pPr>
      <w:r w:rsidRPr="00214CC4">
        <w:rPr>
          <w:color w:val="000000" w:themeColor="text1"/>
        </w:rPr>
        <w:t>Sector_performance_6_months_after_event: performance in the 6 months immediately following the end of each event.</w:t>
      </w:r>
    </w:p>
    <w:p w14:paraId="3F53A324" w14:textId="77777777" w:rsidR="00EF0FCA" w:rsidRPr="00CE18DB" w:rsidRDefault="00000000">
      <w:pPr>
        <w:rPr>
          <w:color w:val="000000" w:themeColor="text1"/>
        </w:rPr>
      </w:pPr>
      <w:r w:rsidRPr="00CE18DB">
        <w:rPr>
          <w:color w:val="000000" w:themeColor="text1"/>
        </w:rPr>
        <w:br w:type="page"/>
      </w:r>
    </w:p>
    <w:p w14:paraId="06A660F1" w14:textId="77777777" w:rsidR="00EF0FCA" w:rsidRPr="00CE18DB" w:rsidRDefault="00000000">
      <w:pPr>
        <w:pStyle w:val="Heading1"/>
        <w:rPr>
          <w:color w:val="000000" w:themeColor="text1"/>
        </w:rPr>
      </w:pPr>
      <w:r w:rsidRPr="00CE18DB">
        <w:rPr>
          <w:color w:val="000000" w:themeColor="text1"/>
        </w:rPr>
        <w:lastRenderedPageBreak/>
        <w:t>5. Dashboard Design (Power BI)</w:t>
      </w:r>
    </w:p>
    <w:p w14:paraId="37E1AE41" w14:textId="77777777" w:rsidR="00EF0FCA" w:rsidRPr="00CE18DB" w:rsidRDefault="00000000">
      <w:pPr>
        <w:pStyle w:val="Heading2"/>
        <w:rPr>
          <w:color w:val="000000" w:themeColor="text1"/>
        </w:rPr>
      </w:pPr>
      <w:r w:rsidRPr="00CE18DB">
        <w:rPr>
          <w:color w:val="000000" w:themeColor="text1"/>
        </w:rPr>
        <w:t>5.1 Data Model</w:t>
      </w:r>
    </w:p>
    <w:p w14:paraId="67E6CFFF" w14:textId="1D877FBF" w:rsidR="00EF0FCA" w:rsidRPr="00CE18DB" w:rsidRDefault="00000000">
      <w:pPr>
        <w:spacing w:after="160" w:line="360" w:lineRule="auto"/>
        <w:jc w:val="both"/>
        <w:rPr>
          <w:color w:val="000000" w:themeColor="text1"/>
        </w:rPr>
      </w:pPr>
      <w:r w:rsidRPr="00CE18DB">
        <w:rPr>
          <w:color w:val="000000" w:themeColor="text1"/>
        </w:rPr>
        <w:t xml:space="preserve">The </w:t>
      </w:r>
      <w:r w:rsidR="00F5122A" w:rsidRPr="00CE18DB">
        <w:rPr>
          <w:color w:val="000000" w:themeColor="text1"/>
        </w:rPr>
        <w:t>three</w:t>
      </w:r>
      <w:r w:rsidRPr="00CE18DB">
        <w:rPr>
          <w:color w:val="000000" w:themeColor="text1"/>
        </w:rPr>
        <w:t xml:space="preserve"> MySQL views were imported into Power BI Desktop using the MySQL connector. A star schema was constructed with:</w:t>
      </w:r>
    </w:p>
    <w:p w14:paraId="4D9F4234" w14:textId="77777777" w:rsidR="0010086A" w:rsidRPr="00CE18DB" w:rsidRDefault="00000000" w:rsidP="0010086A">
      <w:pPr>
        <w:pStyle w:val="ListParagraph"/>
        <w:numPr>
          <w:ilvl w:val="0"/>
          <w:numId w:val="9"/>
        </w:numPr>
        <w:spacing w:before="60" w:after="60" w:line="360" w:lineRule="auto"/>
        <w:rPr>
          <w:color w:val="000000" w:themeColor="text1"/>
        </w:rPr>
      </w:pPr>
      <w:proofErr w:type="spellStart"/>
      <w:r w:rsidRPr="00CE18DB">
        <w:rPr>
          <w:color w:val="000000" w:themeColor="text1"/>
        </w:rPr>
        <w:t>DimSector</w:t>
      </w:r>
      <w:proofErr w:type="spellEnd"/>
      <w:r w:rsidRPr="00CE18DB">
        <w:rPr>
          <w:color w:val="000000" w:themeColor="text1"/>
        </w:rPr>
        <w:t>: a dimension table containing the 9 sector names, serving as the central filter for the Sector slicer across all fact tables.</w:t>
      </w:r>
    </w:p>
    <w:p w14:paraId="3F64D37A" w14:textId="77777777" w:rsidR="0010086A" w:rsidRPr="00CE18DB" w:rsidRDefault="00000000" w:rsidP="0010086A">
      <w:pPr>
        <w:pStyle w:val="ListParagraph"/>
        <w:numPr>
          <w:ilvl w:val="0"/>
          <w:numId w:val="9"/>
        </w:numPr>
        <w:spacing w:before="60" w:after="60" w:line="360" w:lineRule="auto"/>
        <w:rPr>
          <w:color w:val="000000" w:themeColor="text1"/>
        </w:rPr>
      </w:pPr>
      <w:proofErr w:type="spellStart"/>
      <w:r w:rsidRPr="00CE18DB">
        <w:rPr>
          <w:color w:val="000000" w:themeColor="text1"/>
        </w:rPr>
        <w:t>market_sector</w:t>
      </w:r>
      <w:proofErr w:type="spellEnd"/>
      <w:r w:rsidRPr="00CE18DB">
        <w:rPr>
          <w:color w:val="000000" w:themeColor="text1"/>
        </w:rPr>
        <w:t xml:space="preserve"> event: the event reference table connected 1:many to the three performance views via the Event column.</w:t>
      </w:r>
    </w:p>
    <w:p w14:paraId="6C09E7E3" w14:textId="6B3B49AC" w:rsidR="0010086A" w:rsidRPr="00214CC4" w:rsidRDefault="00000000" w:rsidP="00214CC4">
      <w:pPr>
        <w:pStyle w:val="ListParagraph"/>
        <w:numPr>
          <w:ilvl w:val="0"/>
          <w:numId w:val="9"/>
        </w:numPr>
        <w:spacing w:before="60" w:after="60" w:line="360" w:lineRule="auto"/>
        <w:rPr>
          <w:color w:val="000000" w:themeColor="text1"/>
        </w:rPr>
      </w:pPr>
      <w:proofErr w:type="spellStart"/>
      <w:r w:rsidRPr="00CE18DB">
        <w:rPr>
          <w:color w:val="000000" w:themeColor="text1"/>
        </w:rPr>
        <w:t>All_Phases</w:t>
      </w:r>
      <w:proofErr w:type="spellEnd"/>
      <w:r w:rsidRPr="00CE18DB">
        <w:rPr>
          <w:color w:val="000000" w:themeColor="text1"/>
        </w:rPr>
        <w:t>: a calculated DAX table created using UNION and SELECTCOLUMNS, combining the three performance views into a single table with a Phase column (‘1 During’, ‘2 3M after’, ‘3 6M after’) to enable the trend matrix visual.</w:t>
      </w:r>
    </w:p>
    <w:p w14:paraId="61C35632" w14:textId="77777777" w:rsidR="00EF0FCA" w:rsidRPr="00CE18DB" w:rsidRDefault="00000000">
      <w:pPr>
        <w:pStyle w:val="Heading2"/>
        <w:rPr>
          <w:color w:val="000000" w:themeColor="text1"/>
        </w:rPr>
      </w:pPr>
      <w:r w:rsidRPr="00CE18DB">
        <w:rPr>
          <w:color w:val="000000" w:themeColor="text1"/>
        </w:rPr>
        <w:t>5.2 Dashboard 1: Event Impact on Sector Performance</w:t>
      </w:r>
    </w:p>
    <w:p w14:paraId="1DCEA79D" w14:textId="77777777" w:rsidR="00EF0FCA" w:rsidRPr="00CE18DB" w:rsidRDefault="00000000">
      <w:pPr>
        <w:spacing w:after="160" w:line="360" w:lineRule="auto"/>
        <w:jc w:val="both"/>
        <w:rPr>
          <w:color w:val="000000" w:themeColor="text1"/>
        </w:rPr>
      </w:pPr>
      <w:r w:rsidRPr="00CE18DB">
        <w:rPr>
          <w:color w:val="000000" w:themeColor="text1"/>
        </w:rPr>
        <w:t>This dashboard is designed to answer: How do major events affect sectors, and are the impacts lasting or short-term hype? It contains:</w:t>
      </w:r>
    </w:p>
    <w:p w14:paraId="4443B1FC" w14:textId="77777777" w:rsidR="0010086A" w:rsidRPr="00CE18DB" w:rsidRDefault="00000000" w:rsidP="0010086A">
      <w:pPr>
        <w:pStyle w:val="ListParagraph"/>
        <w:numPr>
          <w:ilvl w:val="0"/>
          <w:numId w:val="11"/>
        </w:numPr>
        <w:spacing w:before="60" w:after="60" w:line="360" w:lineRule="auto"/>
        <w:rPr>
          <w:color w:val="000000" w:themeColor="text1"/>
        </w:rPr>
      </w:pPr>
      <w:r w:rsidRPr="00CE18DB">
        <w:rPr>
          <w:color w:val="000000" w:themeColor="text1"/>
        </w:rPr>
        <w:t>Four KPI cards: average daily return during event, 3 months after, 6 months after, and highest volatility sector during the selected event.</w:t>
      </w:r>
    </w:p>
    <w:p w14:paraId="309D6EF0" w14:textId="77777777" w:rsidR="0010086A" w:rsidRPr="00CE18DB" w:rsidRDefault="00000000" w:rsidP="0010086A">
      <w:pPr>
        <w:pStyle w:val="ListParagraph"/>
        <w:numPr>
          <w:ilvl w:val="0"/>
          <w:numId w:val="11"/>
        </w:numPr>
        <w:spacing w:before="60" w:after="60" w:line="360" w:lineRule="auto"/>
        <w:rPr>
          <w:color w:val="000000" w:themeColor="text1"/>
        </w:rPr>
      </w:pPr>
      <w:r w:rsidRPr="00CE18DB">
        <w:rPr>
          <w:color w:val="000000" w:themeColor="text1"/>
        </w:rPr>
        <w:t xml:space="preserve">Average return heatmap: a Matrix visual with Sector on rows and Event on columns, with conditional red-white-green background formatting centred at zero. </w:t>
      </w:r>
    </w:p>
    <w:p w14:paraId="0C3DBD07" w14:textId="77777777" w:rsidR="0010086A" w:rsidRPr="00CE18DB" w:rsidRDefault="00000000" w:rsidP="0010086A">
      <w:pPr>
        <w:pStyle w:val="ListParagraph"/>
        <w:numPr>
          <w:ilvl w:val="0"/>
          <w:numId w:val="11"/>
        </w:numPr>
        <w:spacing w:before="60" w:after="60" w:line="360" w:lineRule="auto"/>
        <w:rPr>
          <w:color w:val="000000" w:themeColor="text1"/>
        </w:rPr>
      </w:pPr>
      <w:r w:rsidRPr="00CE18DB">
        <w:rPr>
          <w:color w:val="000000" w:themeColor="text1"/>
        </w:rPr>
        <w:t>Volatility bar chart: a horizontal bar chart showing standard deviation of daily returns by sector during events, sorted descending, with a dashed constant line indicating the baseline volatility average.</w:t>
      </w:r>
    </w:p>
    <w:p w14:paraId="274D1774" w14:textId="77777777" w:rsidR="0010086A" w:rsidRPr="00CE18DB" w:rsidRDefault="00000000" w:rsidP="0010086A">
      <w:pPr>
        <w:pStyle w:val="ListParagraph"/>
        <w:numPr>
          <w:ilvl w:val="0"/>
          <w:numId w:val="11"/>
        </w:numPr>
        <w:spacing w:before="60" w:after="60" w:line="360" w:lineRule="auto"/>
        <w:rPr>
          <w:color w:val="000000" w:themeColor="text1"/>
        </w:rPr>
      </w:pPr>
      <w:r w:rsidRPr="00CE18DB">
        <w:rPr>
          <w:color w:val="000000" w:themeColor="text1"/>
        </w:rPr>
        <w:t>Return trend matrix: a second Matrix showing the three phases (During, 3M after, 6M after) as columns with colour-coded cell</w:t>
      </w:r>
      <w:r w:rsidR="0010086A" w:rsidRPr="00CE18DB">
        <w:rPr>
          <w:color w:val="000000" w:themeColor="text1"/>
        </w:rPr>
        <w:t>s</w:t>
      </w:r>
      <w:r w:rsidRPr="00CE18DB">
        <w:rPr>
          <w:color w:val="000000" w:themeColor="text1"/>
        </w:rPr>
        <w:t>.</w:t>
      </w:r>
    </w:p>
    <w:p w14:paraId="5755DAD0" w14:textId="42A0A0FE" w:rsidR="00EF0FCA" w:rsidRPr="00CE18DB" w:rsidRDefault="00000000" w:rsidP="0010086A">
      <w:pPr>
        <w:pStyle w:val="ListParagraph"/>
        <w:numPr>
          <w:ilvl w:val="0"/>
          <w:numId w:val="11"/>
        </w:numPr>
        <w:spacing w:before="60" w:after="60" w:line="360" w:lineRule="auto"/>
        <w:rPr>
          <w:color w:val="000000" w:themeColor="text1"/>
        </w:rPr>
      </w:pPr>
      <w:r w:rsidRPr="00CE18DB">
        <w:rPr>
          <w:color w:val="000000" w:themeColor="text1"/>
        </w:rPr>
        <w:t>Volatility clustered bar chart: a grouped bar chart comparing volatility across the three phases per sector, confirming whether volatility normalises post-event.</w:t>
      </w:r>
    </w:p>
    <w:p w14:paraId="13B84C89" w14:textId="77777777" w:rsidR="00EF0FCA" w:rsidRPr="00CE18DB" w:rsidRDefault="00EF0FCA">
      <w:pPr>
        <w:rPr>
          <w:color w:val="000000" w:themeColor="text1"/>
        </w:rPr>
      </w:pPr>
    </w:p>
    <w:p w14:paraId="18060305" w14:textId="77777777" w:rsidR="00EF0FCA" w:rsidRPr="00CE18DB" w:rsidRDefault="00000000">
      <w:pPr>
        <w:rPr>
          <w:color w:val="000000" w:themeColor="text1"/>
        </w:rPr>
      </w:pPr>
      <w:r w:rsidRPr="00CE18DB">
        <w:rPr>
          <w:color w:val="000000" w:themeColor="text1"/>
        </w:rPr>
        <w:br w:type="page"/>
      </w:r>
    </w:p>
    <w:p w14:paraId="39AE8A38" w14:textId="77777777" w:rsidR="00EF0FCA" w:rsidRPr="00CE18DB" w:rsidRDefault="00000000">
      <w:pPr>
        <w:pStyle w:val="Heading1"/>
        <w:rPr>
          <w:color w:val="000000" w:themeColor="text1"/>
        </w:rPr>
      </w:pPr>
      <w:r w:rsidRPr="00CE18DB">
        <w:rPr>
          <w:color w:val="000000" w:themeColor="text1"/>
        </w:rPr>
        <w:lastRenderedPageBreak/>
        <w:t>6. Data Analysis &amp; Findings</w:t>
      </w:r>
    </w:p>
    <w:p w14:paraId="77F9510B" w14:textId="77777777" w:rsidR="00EF0FCA" w:rsidRPr="00CE18DB" w:rsidRDefault="00000000">
      <w:pPr>
        <w:pStyle w:val="Heading2"/>
        <w:rPr>
          <w:color w:val="000000" w:themeColor="text1"/>
        </w:rPr>
      </w:pPr>
      <w:r w:rsidRPr="00CE18DB">
        <w:rPr>
          <w:color w:val="000000" w:themeColor="text1"/>
        </w:rPr>
        <w:t>6.1 Overall Market Reaction to Events</w:t>
      </w:r>
    </w:p>
    <w:p w14:paraId="32A716DF" w14:textId="61D21526" w:rsidR="00EF0FCA" w:rsidRPr="00CE18DB" w:rsidRDefault="00000000">
      <w:pPr>
        <w:spacing w:after="160" w:line="360" w:lineRule="auto"/>
        <w:jc w:val="both"/>
        <w:rPr>
          <w:color w:val="000000" w:themeColor="text1"/>
        </w:rPr>
      </w:pPr>
      <w:r w:rsidRPr="00CE18DB">
        <w:rPr>
          <w:color w:val="000000" w:themeColor="text1"/>
        </w:rPr>
        <w:t xml:space="preserve">Across all five events and all nine sectors, the aggregate average daily return during events was </w:t>
      </w:r>
      <w:r w:rsidR="0010086A" w:rsidRPr="00CE18DB">
        <w:rPr>
          <w:color w:val="000000" w:themeColor="text1"/>
        </w:rPr>
        <w:t xml:space="preserve">     </w:t>
      </w:r>
      <w:r w:rsidRPr="00CE18DB">
        <w:rPr>
          <w:color w:val="000000" w:themeColor="text1"/>
        </w:rPr>
        <w:t>-0.04%. The 3-month and 6-month post-event averages of -0.02% and -0.03% respectively indicate a gradual but incomplete recovery toward baseline, suggesting that while markets stabilise after events, they do not always return to structural growth rates within a six-month window.</w:t>
      </w:r>
    </w:p>
    <w:p w14:paraId="4F2536DD" w14:textId="77777777" w:rsidR="00EF0FCA" w:rsidRPr="00CE18DB" w:rsidRDefault="00EF0FCA">
      <w:pPr>
        <w:rPr>
          <w:color w:val="000000" w:themeColor="text1"/>
        </w:rPr>
      </w:pPr>
    </w:p>
    <w:p w14:paraId="3314CD88" w14:textId="5C8645EA" w:rsidR="00EF0FCA" w:rsidRPr="00CE18DB" w:rsidRDefault="00000000" w:rsidP="00214CC4">
      <w:pPr>
        <w:spacing w:after="160" w:line="360" w:lineRule="auto"/>
        <w:jc w:val="both"/>
        <w:rPr>
          <w:color w:val="000000" w:themeColor="text1"/>
        </w:rPr>
      </w:pPr>
      <w:r w:rsidRPr="00CE18DB">
        <w:rPr>
          <w:color w:val="000000" w:themeColor="text1"/>
        </w:rPr>
        <w:t>However, this aggregate view masks significant variation across events. Each event has a distinct character:</w:t>
      </w:r>
    </w:p>
    <w:p w14:paraId="195A582E" w14:textId="1BF9FB00" w:rsidR="0010086A" w:rsidRPr="00CE18DB" w:rsidRDefault="00000000" w:rsidP="0010086A">
      <w:pPr>
        <w:pStyle w:val="ListParagraph"/>
        <w:numPr>
          <w:ilvl w:val="0"/>
          <w:numId w:val="13"/>
        </w:numPr>
        <w:spacing w:before="60" w:after="60" w:line="360" w:lineRule="auto"/>
        <w:rPr>
          <w:color w:val="000000" w:themeColor="text1"/>
        </w:rPr>
      </w:pPr>
      <w:r w:rsidRPr="00CE18DB">
        <w:rPr>
          <w:color w:val="000000" w:themeColor="text1"/>
        </w:rPr>
        <w:t>COVID-19 (Feb</w:t>
      </w:r>
      <w:r w:rsidR="0010086A" w:rsidRPr="00CE18DB">
        <w:rPr>
          <w:color w:val="000000" w:themeColor="text1"/>
        </w:rPr>
        <w:t>-</w:t>
      </w:r>
      <w:r w:rsidRPr="00CE18DB">
        <w:rPr>
          <w:color w:val="000000" w:themeColor="text1"/>
        </w:rPr>
        <w:t>Mar 2020): The most acute shock in the dataset. Average daily return across all sectors fell to -0.58% during the event, driven by sudden demand destruction and extreme uncertainty. Energy was the hardest hit at -1.30%. Critically, markets recovered sharply: +0.06% at 3 months and +0.11% at 6 months. The recovery indicates that COVID, despite its severity, represented a temporary shock absorbed by policy intervention and structural sector resilience.</w:t>
      </w:r>
    </w:p>
    <w:p w14:paraId="1E5BB06B" w14:textId="77777777" w:rsidR="0010086A" w:rsidRPr="00CE18DB" w:rsidRDefault="00000000" w:rsidP="0010086A">
      <w:pPr>
        <w:pStyle w:val="ListParagraph"/>
        <w:numPr>
          <w:ilvl w:val="0"/>
          <w:numId w:val="13"/>
        </w:numPr>
        <w:spacing w:before="60" w:after="60" w:line="360" w:lineRule="auto"/>
        <w:rPr>
          <w:color w:val="000000" w:themeColor="text1"/>
        </w:rPr>
      </w:pPr>
      <w:r w:rsidRPr="00CE18DB">
        <w:rPr>
          <w:color w:val="000000" w:themeColor="text1"/>
        </w:rPr>
        <w:t>Global Financial Crisis (Sep 2008</w:t>
      </w:r>
      <w:r w:rsidR="0010086A" w:rsidRPr="00CE18DB">
        <w:rPr>
          <w:color w:val="000000" w:themeColor="text1"/>
        </w:rPr>
        <w:t>-</w:t>
      </w:r>
      <w:r w:rsidRPr="00CE18DB">
        <w:rPr>
          <w:color w:val="000000" w:themeColor="text1"/>
        </w:rPr>
        <w:t>Mar 2009): The most structurally damaging event. Average return during the event was -0.30%, but the post-event recovery was the slowest of all five events: -0.38% at 3 months and -0.28% at 6 months. This confirms that systemic financial crises, unlike acute shocks, create lasting structural damage. Real estate (σ = 6.40) and Financials (σ = 5.66) were the most volatile, reflecting direct exposure to the credit crisis.</w:t>
      </w:r>
    </w:p>
    <w:p w14:paraId="4CA1A0EA" w14:textId="4C9EB96A" w:rsidR="0010086A" w:rsidRPr="00CE18DB" w:rsidRDefault="00000000" w:rsidP="0010086A">
      <w:pPr>
        <w:pStyle w:val="ListParagraph"/>
        <w:numPr>
          <w:ilvl w:val="0"/>
          <w:numId w:val="13"/>
        </w:numPr>
        <w:spacing w:before="60" w:after="60" w:line="360" w:lineRule="auto"/>
        <w:rPr>
          <w:color w:val="000000" w:themeColor="text1"/>
        </w:rPr>
      </w:pPr>
      <w:r w:rsidRPr="00CE18DB">
        <w:rPr>
          <w:color w:val="000000" w:themeColor="text1"/>
        </w:rPr>
        <w:t>Eurozone Sovereign Debt Crisis (Dec 2009</w:t>
      </w:r>
      <w:r w:rsidR="0010086A" w:rsidRPr="00CE18DB">
        <w:rPr>
          <w:color w:val="000000" w:themeColor="text1"/>
        </w:rPr>
        <w:t>-</w:t>
      </w:r>
      <w:r w:rsidRPr="00CE18DB">
        <w:rPr>
          <w:color w:val="000000" w:themeColor="text1"/>
        </w:rPr>
        <w:t xml:space="preserve">Jul 2012): The </w:t>
      </w:r>
      <w:r w:rsidR="0010086A" w:rsidRPr="00CE18DB">
        <w:rPr>
          <w:color w:val="000000" w:themeColor="text1"/>
        </w:rPr>
        <w:t>limited</w:t>
      </w:r>
      <w:r w:rsidRPr="00CE18DB">
        <w:rPr>
          <w:color w:val="000000" w:themeColor="text1"/>
        </w:rPr>
        <w:t xml:space="preserve"> event with a positive during-event average (+0.04%). This reflects the 2.5-year duration of the event: unlike short sharp shocks, a prolonged crisis sees markets partially pricing in the risk over time, interspersed with policy interventions that generate temporary recoveries. The 3-month post-event return of +0.08% and 6-month return of -0.05% suggest a brief period of relief after the acute phase ended, followed by residual uncertainty.</w:t>
      </w:r>
    </w:p>
    <w:p w14:paraId="74C58A9B" w14:textId="77777777" w:rsidR="0010086A" w:rsidRPr="00CE18DB" w:rsidRDefault="0010086A" w:rsidP="0010086A">
      <w:pPr>
        <w:pStyle w:val="ListParagraph"/>
        <w:spacing w:before="60" w:after="60" w:line="360" w:lineRule="auto"/>
        <w:ind w:left="720"/>
        <w:rPr>
          <w:color w:val="000000" w:themeColor="text1"/>
        </w:rPr>
      </w:pPr>
    </w:p>
    <w:p w14:paraId="2F1B7F57" w14:textId="77777777" w:rsidR="0010086A" w:rsidRPr="00CE18DB" w:rsidRDefault="00000000" w:rsidP="0010086A">
      <w:pPr>
        <w:pStyle w:val="ListParagraph"/>
        <w:numPr>
          <w:ilvl w:val="0"/>
          <w:numId w:val="13"/>
        </w:numPr>
        <w:spacing w:before="60" w:after="60" w:line="360" w:lineRule="auto"/>
        <w:rPr>
          <w:color w:val="000000" w:themeColor="text1"/>
        </w:rPr>
      </w:pPr>
      <w:r w:rsidRPr="00CE18DB">
        <w:rPr>
          <w:color w:val="000000" w:themeColor="text1"/>
        </w:rPr>
        <w:lastRenderedPageBreak/>
        <w:t>Russia-Ukraine War (Feb 2022): A highly sector-specific shock. The overall average was only -0.04%, but the sectoral dispersion was wide. Energy gained +0.39% during the conflict due to commodity supply disruptions, while Technology fell -0.24%. Critically, by 6 months after the event, Energy had normalised to near-zero returns, confirming the spike as geopolitically temporary rather than structurally supported. Technology, which was the most volatile sector (σ = 2.25) during this event, also recovered.</w:t>
      </w:r>
    </w:p>
    <w:p w14:paraId="4CF0F270" w14:textId="77777777" w:rsidR="0010086A" w:rsidRPr="00CE18DB" w:rsidRDefault="0010086A" w:rsidP="0010086A">
      <w:pPr>
        <w:pStyle w:val="ListParagraph"/>
        <w:rPr>
          <w:color w:val="000000" w:themeColor="text1"/>
        </w:rPr>
      </w:pPr>
    </w:p>
    <w:p w14:paraId="0E9C1FE0" w14:textId="759CA364" w:rsidR="00EF0FCA" w:rsidRDefault="00000000" w:rsidP="00214CC4">
      <w:pPr>
        <w:pStyle w:val="ListParagraph"/>
        <w:numPr>
          <w:ilvl w:val="0"/>
          <w:numId w:val="13"/>
        </w:numPr>
        <w:spacing w:before="60" w:after="60" w:line="360" w:lineRule="auto"/>
        <w:rPr>
          <w:color w:val="000000" w:themeColor="text1"/>
        </w:rPr>
      </w:pPr>
      <w:r w:rsidRPr="00CE18DB">
        <w:rPr>
          <w:color w:val="000000" w:themeColor="text1"/>
        </w:rPr>
        <w:t>2025 Spring Trade Shock (Apr–May 2025): Notably, the during-event average was positive (+0.03%), with continued improvement at 3 months (+0.13%) and 6 months (+0.08%). Technology was the most volatile sector (σ = 3.14) and the strongest performer (+0.35% during, +0.39% at 3 months, +0.30% at 6 months). This pattern is consistent with trade policy uncertainty, which affects some sectors negatively (Energy: -0.28%, Healthcare: -0.20%) while benefiting domestically oriented technology companies.</w:t>
      </w:r>
    </w:p>
    <w:p w14:paraId="628C840F" w14:textId="77777777" w:rsidR="00214CC4" w:rsidRPr="00214CC4" w:rsidRDefault="00214CC4" w:rsidP="00214CC4">
      <w:pPr>
        <w:pStyle w:val="ListParagraph"/>
        <w:rPr>
          <w:color w:val="000000" w:themeColor="text1"/>
        </w:rPr>
      </w:pPr>
    </w:p>
    <w:p w14:paraId="322F7AF3" w14:textId="77777777" w:rsidR="00214CC4" w:rsidRPr="00214CC4" w:rsidRDefault="00214CC4" w:rsidP="00214CC4">
      <w:pPr>
        <w:pStyle w:val="ListParagraph"/>
        <w:spacing w:before="60" w:after="60" w:line="360" w:lineRule="auto"/>
        <w:ind w:left="720"/>
        <w:rPr>
          <w:color w:val="000000" w:themeColor="text1"/>
        </w:rPr>
      </w:pPr>
    </w:p>
    <w:p w14:paraId="167F9D0F" w14:textId="77777777" w:rsidR="00EF0FCA" w:rsidRPr="00CE18DB" w:rsidRDefault="00000000">
      <w:pPr>
        <w:pStyle w:val="Heading2"/>
        <w:rPr>
          <w:color w:val="000000" w:themeColor="text1"/>
        </w:rPr>
      </w:pPr>
      <w:r w:rsidRPr="00CE18DB">
        <w:rPr>
          <w:color w:val="000000" w:themeColor="text1"/>
        </w:rPr>
        <w:t>6.2 Sectoral Analysis</w:t>
      </w:r>
    </w:p>
    <w:p w14:paraId="38B90345" w14:textId="77777777" w:rsidR="00EF0FCA" w:rsidRPr="00CE18DB" w:rsidRDefault="00000000">
      <w:pPr>
        <w:pStyle w:val="Heading3"/>
        <w:rPr>
          <w:color w:val="000000" w:themeColor="text1"/>
        </w:rPr>
      </w:pPr>
      <w:r w:rsidRPr="00CE18DB">
        <w:rPr>
          <w:color w:val="000000" w:themeColor="text1"/>
        </w:rPr>
        <w:t>6.2.1 Technology – Consistent Long-Term Outperformer</w:t>
      </w:r>
    </w:p>
    <w:p w14:paraId="3ED7DC3E" w14:textId="67448CA9" w:rsidR="00EF0FCA" w:rsidRPr="00CE18DB" w:rsidRDefault="00000000" w:rsidP="00214CC4">
      <w:pPr>
        <w:spacing w:after="160" w:line="360" w:lineRule="auto"/>
        <w:jc w:val="both"/>
        <w:rPr>
          <w:color w:val="000000" w:themeColor="text1"/>
        </w:rPr>
      </w:pPr>
      <w:r w:rsidRPr="00CE18DB">
        <w:rPr>
          <w:color w:val="000000" w:themeColor="text1"/>
        </w:rPr>
        <w:t>Technology is the standout sector across all five events and across the 17-year period. It demonstrates a clear pattern: temporary declines during event shocks, followed by strong recovery that consistently exceeds pre-event performance levels.</w:t>
      </w:r>
    </w:p>
    <w:p w14:paraId="558471DC" w14:textId="77777777" w:rsidR="000A47A7" w:rsidRPr="00CE18DB" w:rsidRDefault="00000000" w:rsidP="000A47A7">
      <w:pPr>
        <w:pStyle w:val="ListParagraph"/>
        <w:numPr>
          <w:ilvl w:val="0"/>
          <w:numId w:val="14"/>
        </w:numPr>
        <w:spacing w:before="60" w:after="60" w:line="360" w:lineRule="auto"/>
        <w:rPr>
          <w:color w:val="000000" w:themeColor="text1"/>
        </w:rPr>
      </w:pPr>
      <w:r w:rsidRPr="00CE18DB">
        <w:rPr>
          <w:color w:val="000000" w:themeColor="text1"/>
        </w:rPr>
        <w:t>COVID-19: -0.30% during the event → +0.26% at 3 months → +0.32% at 6 months</w:t>
      </w:r>
    </w:p>
    <w:p w14:paraId="6C8CECD7" w14:textId="77777777" w:rsidR="000A47A7" w:rsidRPr="00CE18DB" w:rsidRDefault="00000000" w:rsidP="000A47A7">
      <w:pPr>
        <w:pStyle w:val="ListParagraph"/>
        <w:numPr>
          <w:ilvl w:val="0"/>
          <w:numId w:val="14"/>
        </w:numPr>
        <w:spacing w:before="60" w:after="60" w:line="360" w:lineRule="auto"/>
        <w:rPr>
          <w:color w:val="000000" w:themeColor="text1"/>
        </w:rPr>
      </w:pPr>
      <w:r w:rsidRPr="00CE18DB">
        <w:rPr>
          <w:color w:val="000000" w:themeColor="text1"/>
        </w:rPr>
        <w:t>Trade Shock 2025: +0.35% during the event → +0.39% at 3 months → +0.30% at 6 months</w:t>
      </w:r>
    </w:p>
    <w:p w14:paraId="58DAD852" w14:textId="743D3E53" w:rsidR="00EF0FCA" w:rsidRPr="00CE18DB" w:rsidRDefault="00000000" w:rsidP="000A47A7">
      <w:pPr>
        <w:pStyle w:val="ListParagraph"/>
        <w:numPr>
          <w:ilvl w:val="0"/>
          <w:numId w:val="14"/>
        </w:numPr>
        <w:spacing w:before="60" w:after="60" w:line="360" w:lineRule="auto"/>
        <w:rPr>
          <w:color w:val="000000" w:themeColor="text1"/>
        </w:rPr>
      </w:pPr>
      <w:r w:rsidRPr="00CE18DB">
        <w:rPr>
          <w:color w:val="000000" w:themeColor="text1"/>
        </w:rPr>
        <w:t>Russia-Ukraine: -0.24% during the event → -0.16% at 3 months → -0.09% at 6 months</w:t>
      </w:r>
    </w:p>
    <w:p w14:paraId="5EA9A165" w14:textId="77777777" w:rsidR="00EF0FCA" w:rsidRPr="00CE18DB" w:rsidRDefault="00EF0FCA">
      <w:pPr>
        <w:rPr>
          <w:color w:val="000000" w:themeColor="text1"/>
        </w:rPr>
      </w:pPr>
    </w:p>
    <w:p w14:paraId="00BA2D5D" w14:textId="70449FE5" w:rsidR="00EF0FCA" w:rsidRPr="00CE18DB" w:rsidRDefault="00000000">
      <w:pPr>
        <w:spacing w:after="160" w:line="360" w:lineRule="auto"/>
        <w:jc w:val="both"/>
        <w:rPr>
          <w:color w:val="000000" w:themeColor="text1"/>
        </w:rPr>
      </w:pPr>
      <w:r w:rsidRPr="00CE18DB">
        <w:rPr>
          <w:b/>
          <w:bCs/>
          <w:color w:val="000000" w:themeColor="text1"/>
        </w:rPr>
        <w:t xml:space="preserve">Advisory perspective: </w:t>
      </w:r>
      <w:r w:rsidRPr="00CE18DB">
        <w:rPr>
          <w:color w:val="000000" w:themeColor="text1"/>
        </w:rPr>
        <w:t>Technology dips during events are not warning signals</w:t>
      </w:r>
      <w:r w:rsidR="000A47A7" w:rsidRPr="00CE18DB">
        <w:rPr>
          <w:color w:val="000000" w:themeColor="text1"/>
        </w:rPr>
        <w:t>,</w:t>
      </w:r>
      <w:r w:rsidRPr="00CE18DB">
        <w:rPr>
          <w:color w:val="000000" w:themeColor="text1"/>
        </w:rPr>
        <w:t xml:space="preserve"> they are entry opportunities for investors with a structural investment thesis. Investors who sold Technology during COVID at -0.30% average daily returns and did not re-enter would have missed a +0.32% recovery within six months.</w:t>
      </w:r>
    </w:p>
    <w:p w14:paraId="016AEB8E" w14:textId="77777777" w:rsidR="00EF0FCA" w:rsidRPr="00CE18DB" w:rsidRDefault="00EF0FCA">
      <w:pPr>
        <w:rPr>
          <w:color w:val="000000" w:themeColor="text1"/>
        </w:rPr>
      </w:pPr>
    </w:p>
    <w:p w14:paraId="7DDB64D9" w14:textId="77777777" w:rsidR="00EF0FCA" w:rsidRPr="00CE18DB" w:rsidRDefault="00000000">
      <w:pPr>
        <w:pStyle w:val="Heading3"/>
        <w:rPr>
          <w:color w:val="000000" w:themeColor="text1"/>
        </w:rPr>
      </w:pPr>
      <w:r w:rsidRPr="00CE18DB">
        <w:rPr>
          <w:color w:val="000000" w:themeColor="text1"/>
        </w:rPr>
        <w:t>6.2.2 Healthcare – Best Risk-Adjusted Sector</w:t>
      </w:r>
    </w:p>
    <w:p w14:paraId="64B8E25C" w14:textId="77777777" w:rsidR="00EF0FCA" w:rsidRPr="00CE18DB" w:rsidRDefault="00000000">
      <w:pPr>
        <w:spacing w:after="160" w:line="360" w:lineRule="auto"/>
        <w:jc w:val="both"/>
        <w:rPr>
          <w:color w:val="000000" w:themeColor="text1"/>
        </w:rPr>
      </w:pPr>
      <w:r w:rsidRPr="00CE18DB">
        <w:rPr>
          <w:color w:val="000000" w:themeColor="text1"/>
        </w:rPr>
        <w:t>Healthcare is the most compelling sector for risk-averse investors seeking long-term growth. It consistently delivers moderate positive returns with the lowest volatility of any growth sector (σ = 1.60% average during events, compared to 2.87% for Energy and 3.09% for Real Estate).</w:t>
      </w:r>
    </w:p>
    <w:p w14:paraId="39676BDE" w14:textId="77777777" w:rsidR="000A47A7" w:rsidRPr="00CE18DB" w:rsidRDefault="00000000" w:rsidP="000A47A7">
      <w:pPr>
        <w:pStyle w:val="ListParagraph"/>
        <w:numPr>
          <w:ilvl w:val="0"/>
          <w:numId w:val="15"/>
        </w:numPr>
        <w:spacing w:before="60" w:after="60" w:line="360" w:lineRule="auto"/>
        <w:rPr>
          <w:color w:val="000000" w:themeColor="text1"/>
        </w:rPr>
      </w:pPr>
      <w:r w:rsidRPr="00CE18DB">
        <w:rPr>
          <w:color w:val="000000" w:themeColor="text1"/>
        </w:rPr>
        <w:t>COVID-19: -0.20% during the event → +0.24% at 3 months → +0.16% at 6 months</w:t>
      </w:r>
    </w:p>
    <w:p w14:paraId="44E04AF7" w14:textId="77777777" w:rsidR="000A47A7" w:rsidRPr="00CE18DB" w:rsidRDefault="00000000" w:rsidP="000A47A7">
      <w:pPr>
        <w:pStyle w:val="ListParagraph"/>
        <w:numPr>
          <w:ilvl w:val="0"/>
          <w:numId w:val="15"/>
        </w:numPr>
        <w:spacing w:before="60" w:after="60" w:line="360" w:lineRule="auto"/>
        <w:rPr>
          <w:color w:val="000000" w:themeColor="text1"/>
        </w:rPr>
      </w:pPr>
      <w:r w:rsidRPr="00CE18DB">
        <w:rPr>
          <w:color w:val="000000" w:themeColor="text1"/>
        </w:rPr>
        <w:t>Russia-Ukraine: -0.05% during the event → +0.04% at 3 months → -0.01% at 6 months</w:t>
      </w:r>
    </w:p>
    <w:p w14:paraId="482904F3" w14:textId="2C836454" w:rsidR="00214CC4" w:rsidRDefault="00000000" w:rsidP="00214CC4">
      <w:pPr>
        <w:pStyle w:val="ListParagraph"/>
        <w:numPr>
          <w:ilvl w:val="0"/>
          <w:numId w:val="15"/>
        </w:numPr>
        <w:spacing w:before="60" w:after="60" w:line="360" w:lineRule="auto"/>
        <w:rPr>
          <w:color w:val="000000" w:themeColor="text1"/>
        </w:rPr>
      </w:pPr>
      <w:r w:rsidRPr="00CE18DB">
        <w:rPr>
          <w:color w:val="000000" w:themeColor="text1"/>
        </w:rPr>
        <w:t>Trade Shock 2025: -0.20% during the event → -0.05% at 3 months → +0.04% at 6 months</w:t>
      </w:r>
    </w:p>
    <w:p w14:paraId="48CD960D" w14:textId="77777777" w:rsidR="00214CC4" w:rsidRPr="00214CC4" w:rsidRDefault="00214CC4" w:rsidP="00214CC4">
      <w:pPr>
        <w:pStyle w:val="ListParagraph"/>
        <w:spacing w:before="60" w:after="60" w:line="360" w:lineRule="auto"/>
        <w:ind w:left="720"/>
        <w:rPr>
          <w:color w:val="000000" w:themeColor="text1"/>
        </w:rPr>
      </w:pPr>
    </w:p>
    <w:p w14:paraId="32762FF4" w14:textId="38C6E21B" w:rsidR="00EF0FCA" w:rsidRDefault="00000000" w:rsidP="00214CC4">
      <w:pPr>
        <w:spacing w:after="160" w:line="360" w:lineRule="auto"/>
        <w:jc w:val="both"/>
        <w:rPr>
          <w:color w:val="000000" w:themeColor="text1"/>
        </w:rPr>
      </w:pPr>
      <w:r w:rsidRPr="00CE18DB">
        <w:rPr>
          <w:b/>
          <w:bCs/>
          <w:color w:val="000000" w:themeColor="text1"/>
        </w:rPr>
        <w:t xml:space="preserve">Advisory perspective: </w:t>
      </w:r>
      <w:r w:rsidRPr="00CE18DB">
        <w:rPr>
          <w:color w:val="000000" w:themeColor="text1"/>
        </w:rPr>
        <w:t>Healthcare is the ideal allocation for investors who want long-term growth without the volatility exposure of Technology. It is particularly suitable during periods of geopolitical uncertainty, where its defensive characteristics provide portfolio stability while still delivering positive returns over time.</w:t>
      </w:r>
    </w:p>
    <w:p w14:paraId="7714EE52" w14:textId="77777777" w:rsidR="00214CC4" w:rsidRPr="00CE18DB" w:rsidRDefault="00214CC4" w:rsidP="00214CC4">
      <w:pPr>
        <w:spacing w:after="160" w:line="360" w:lineRule="auto"/>
        <w:jc w:val="both"/>
        <w:rPr>
          <w:color w:val="000000" w:themeColor="text1"/>
        </w:rPr>
      </w:pPr>
    </w:p>
    <w:p w14:paraId="7B1A80B3" w14:textId="77777777" w:rsidR="00EF0FCA" w:rsidRPr="00CE18DB" w:rsidRDefault="00000000">
      <w:pPr>
        <w:pStyle w:val="Heading3"/>
        <w:rPr>
          <w:color w:val="000000" w:themeColor="text1"/>
        </w:rPr>
      </w:pPr>
      <w:r w:rsidRPr="00CE18DB">
        <w:rPr>
          <w:color w:val="000000" w:themeColor="text1"/>
        </w:rPr>
        <w:t>6.2.3 Energy – The FOMO Trap</w:t>
      </w:r>
    </w:p>
    <w:p w14:paraId="17DDAAD3" w14:textId="68AFBBDC" w:rsidR="00EF0FCA" w:rsidRPr="00CE18DB" w:rsidRDefault="00000000" w:rsidP="00214CC4">
      <w:pPr>
        <w:spacing w:after="160" w:line="360" w:lineRule="auto"/>
        <w:jc w:val="both"/>
        <w:rPr>
          <w:color w:val="000000" w:themeColor="text1"/>
        </w:rPr>
      </w:pPr>
      <w:r w:rsidRPr="00CE18DB">
        <w:rPr>
          <w:color w:val="000000" w:themeColor="text1"/>
        </w:rPr>
        <w:t>Energy is the clearest example of event-driven FOMO risk in this dataset. It consistently generates the largest short-term spikes during geopolitical events involving commodity markets, creating the impression of a strong investment opportunity. However, these spikes uniformly revert.</w:t>
      </w:r>
    </w:p>
    <w:p w14:paraId="572E13E1" w14:textId="77777777" w:rsidR="000A47A7" w:rsidRPr="00CE18DB" w:rsidRDefault="00000000" w:rsidP="000A47A7">
      <w:pPr>
        <w:pStyle w:val="ListParagraph"/>
        <w:numPr>
          <w:ilvl w:val="0"/>
          <w:numId w:val="16"/>
        </w:numPr>
        <w:spacing w:before="60" w:after="60" w:line="360" w:lineRule="auto"/>
        <w:rPr>
          <w:color w:val="000000" w:themeColor="text1"/>
        </w:rPr>
      </w:pPr>
      <w:r w:rsidRPr="00CE18DB">
        <w:rPr>
          <w:color w:val="000000" w:themeColor="text1"/>
        </w:rPr>
        <w:t>Russia-Ukraine: +0.39% during the event → +0.37% at 3 months → +0.17% at 6 months</w:t>
      </w:r>
    </w:p>
    <w:p w14:paraId="4F317B05" w14:textId="77777777" w:rsidR="000A47A7" w:rsidRPr="00CE18DB" w:rsidRDefault="00000000" w:rsidP="000A47A7">
      <w:pPr>
        <w:pStyle w:val="ListParagraph"/>
        <w:numPr>
          <w:ilvl w:val="0"/>
          <w:numId w:val="16"/>
        </w:numPr>
        <w:spacing w:before="60" w:after="60" w:line="360" w:lineRule="auto"/>
        <w:rPr>
          <w:color w:val="000000" w:themeColor="text1"/>
        </w:rPr>
      </w:pPr>
      <w:r w:rsidRPr="00CE18DB">
        <w:rPr>
          <w:color w:val="000000" w:themeColor="text1"/>
        </w:rPr>
        <w:t>COVID-19: -1.30% during the event (the worst performer of all sectors)</w:t>
      </w:r>
    </w:p>
    <w:p w14:paraId="1F615745" w14:textId="25A008E2" w:rsidR="00EF0FCA" w:rsidRPr="00214CC4" w:rsidRDefault="00000000" w:rsidP="00214CC4">
      <w:pPr>
        <w:pStyle w:val="ListParagraph"/>
        <w:numPr>
          <w:ilvl w:val="0"/>
          <w:numId w:val="16"/>
        </w:numPr>
        <w:spacing w:before="60" w:after="60" w:line="360" w:lineRule="auto"/>
        <w:rPr>
          <w:color w:val="000000" w:themeColor="text1"/>
        </w:rPr>
      </w:pPr>
      <w:r w:rsidRPr="00CE18DB">
        <w:rPr>
          <w:color w:val="000000" w:themeColor="text1"/>
        </w:rPr>
        <w:t>GFC: -0.24% during the event → -0.25% at 3 months → -0.17% at 6 months</w:t>
      </w:r>
    </w:p>
    <w:p w14:paraId="275910FE" w14:textId="5449CCDF" w:rsidR="00EF0FCA" w:rsidRPr="00CE18DB" w:rsidRDefault="00000000">
      <w:pPr>
        <w:spacing w:after="160" w:line="360" w:lineRule="auto"/>
        <w:jc w:val="both"/>
        <w:rPr>
          <w:color w:val="000000" w:themeColor="text1"/>
        </w:rPr>
      </w:pPr>
      <w:r w:rsidRPr="00CE18DB">
        <w:rPr>
          <w:color w:val="000000" w:themeColor="text1"/>
        </w:rPr>
        <w:t>The Russia-Ukraine data is particularly instructive. Energy's +0.39% average daily return during the initial shock was the highest single-sector event performance in the entire dataset. An investor acting on this signal would have paid elevated prices for Energy assets at the peak of geopolitical uncertainty. By 6 months after the event, the return had fallen to +0.17%</w:t>
      </w:r>
      <w:r w:rsidR="000A47A7" w:rsidRPr="00CE18DB">
        <w:rPr>
          <w:color w:val="000000" w:themeColor="text1"/>
        </w:rPr>
        <w:t xml:space="preserve">, </w:t>
      </w:r>
      <w:r w:rsidRPr="00CE18DB">
        <w:rPr>
          <w:color w:val="000000" w:themeColor="text1"/>
        </w:rPr>
        <w:t xml:space="preserve">a 56% decline in momentum. Energy also has the highest average volatility during COVID (σ = 6.28) and the </w:t>
      </w:r>
      <w:r w:rsidR="000A47A7" w:rsidRPr="00CE18DB">
        <w:rPr>
          <w:color w:val="000000" w:themeColor="text1"/>
        </w:rPr>
        <w:t>third</w:t>
      </w:r>
      <w:r w:rsidRPr="00CE18DB">
        <w:rPr>
          <w:color w:val="000000" w:themeColor="text1"/>
        </w:rPr>
        <w:t xml:space="preserve"> highest during the GFC, meaning it takes maximum risk for minimum long-term reward.</w:t>
      </w:r>
    </w:p>
    <w:p w14:paraId="1EEDAC8E" w14:textId="77777777" w:rsidR="00EF0FCA" w:rsidRPr="00CE18DB" w:rsidRDefault="00EF0FCA">
      <w:pPr>
        <w:rPr>
          <w:color w:val="000000" w:themeColor="text1"/>
        </w:rPr>
      </w:pPr>
    </w:p>
    <w:p w14:paraId="1F01739E" w14:textId="77777777" w:rsidR="00EF0FCA" w:rsidRPr="00CE18DB" w:rsidRDefault="00000000">
      <w:pPr>
        <w:spacing w:after="160" w:line="360" w:lineRule="auto"/>
        <w:jc w:val="both"/>
        <w:rPr>
          <w:color w:val="000000" w:themeColor="text1"/>
        </w:rPr>
      </w:pPr>
      <w:r w:rsidRPr="00CE18DB">
        <w:rPr>
          <w:b/>
          <w:bCs/>
          <w:color w:val="000000" w:themeColor="text1"/>
        </w:rPr>
        <w:t xml:space="preserve">Advisory perspective: </w:t>
      </w:r>
      <w:r w:rsidRPr="00CE18DB">
        <w:rPr>
          <w:color w:val="000000" w:themeColor="text1"/>
        </w:rPr>
        <w:t>Energy's event-period spikes are a direct function of supply disruption, not structural demand growth. When the geopolitical shock normalises, so does the price. Investors who chase Energy during conflict events are, in effect, buying at the peak of a temporary premium. The data shows this premium decays within 6 months in every event examined.</w:t>
      </w:r>
    </w:p>
    <w:p w14:paraId="15BD3870" w14:textId="77777777" w:rsidR="00EF0FCA" w:rsidRPr="00CE18DB" w:rsidRDefault="00EF0FCA">
      <w:pPr>
        <w:rPr>
          <w:color w:val="000000" w:themeColor="text1"/>
        </w:rPr>
      </w:pPr>
    </w:p>
    <w:p w14:paraId="172AD178" w14:textId="77777777" w:rsidR="00EF0FCA" w:rsidRPr="00CE18DB" w:rsidRDefault="00000000">
      <w:pPr>
        <w:pStyle w:val="Heading3"/>
        <w:rPr>
          <w:color w:val="000000" w:themeColor="text1"/>
        </w:rPr>
      </w:pPr>
      <w:r w:rsidRPr="00CE18DB">
        <w:rPr>
          <w:color w:val="000000" w:themeColor="text1"/>
        </w:rPr>
        <w:t>6.2.4 Real Estate &amp; Financials – Highest Structural Vulnerability</w:t>
      </w:r>
    </w:p>
    <w:p w14:paraId="12F80195" w14:textId="6208FF81" w:rsidR="000A47A7" w:rsidRPr="00CE18DB" w:rsidRDefault="00000000" w:rsidP="00CE18DB">
      <w:pPr>
        <w:spacing w:after="160" w:line="360" w:lineRule="auto"/>
        <w:jc w:val="both"/>
        <w:rPr>
          <w:color w:val="000000" w:themeColor="text1"/>
        </w:rPr>
      </w:pPr>
      <w:r w:rsidRPr="00CE18DB">
        <w:rPr>
          <w:color w:val="000000" w:themeColor="text1"/>
        </w:rPr>
        <w:t>Real Estate and Financials are the most structurally vulnerable sectors in this dataset, consistently showing the highest volatility during events and the slowest post-event recovery trajectories.</w:t>
      </w:r>
    </w:p>
    <w:p w14:paraId="7E2CEDCA" w14:textId="77777777" w:rsidR="000A47A7" w:rsidRPr="00CE18DB" w:rsidRDefault="00000000" w:rsidP="000A47A7">
      <w:pPr>
        <w:pStyle w:val="ListParagraph"/>
        <w:numPr>
          <w:ilvl w:val="0"/>
          <w:numId w:val="17"/>
        </w:numPr>
        <w:spacing w:before="60" w:after="60" w:line="360" w:lineRule="auto"/>
        <w:rPr>
          <w:color w:val="000000" w:themeColor="text1"/>
        </w:rPr>
      </w:pPr>
      <w:r w:rsidRPr="00CE18DB">
        <w:rPr>
          <w:color w:val="000000" w:themeColor="text1"/>
        </w:rPr>
        <w:t>Real Estate (COVID): -0.63% during the event → -0.10% at 3 months → -0.10% at 6 months</w:t>
      </w:r>
    </w:p>
    <w:p w14:paraId="09437656" w14:textId="77777777" w:rsidR="000A47A7" w:rsidRPr="00CE18DB" w:rsidRDefault="00000000" w:rsidP="000A47A7">
      <w:pPr>
        <w:pStyle w:val="ListParagraph"/>
        <w:numPr>
          <w:ilvl w:val="0"/>
          <w:numId w:val="17"/>
        </w:numPr>
        <w:spacing w:before="60" w:after="60" w:line="360" w:lineRule="auto"/>
        <w:rPr>
          <w:color w:val="000000" w:themeColor="text1"/>
        </w:rPr>
      </w:pPr>
      <w:r w:rsidRPr="00CE18DB">
        <w:rPr>
          <w:color w:val="000000" w:themeColor="text1"/>
        </w:rPr>
        <w:t>Financials (GFC): -0.39% during the event → -0.56% at 3 months → -0.48% at 6 months</w:t>
      </w:r>
    </w:p>
    <w:p w14:paraId="1E4ADACA" w14:textId="1D83CEB9" w:rsidR="00EF0FCA" w:rsidRPr="00214CC4" w:rsidRDefault="00000000" w:rsidP="00214CC4">
      <w:pPr>
        <w:pStyle w:val="ListParagraph"/>
        <w:numPr>
          <w:ilvl w:val="0"/>
          <w:numId w:val="17"/>
        </w:numPr>
        <w:spacing w:before="60" w:after="60" w:line="360" w:lineRule="auto"/>
        <w:rPr>
          <w:color w:val="000000" w:themeColor="text1"/>
        </w:rPr>
      </w:pPr>
      <w:r w:rsidRPr="00CE18DB">
        <w:rPr>
          <w:color w:val="000000" w:themeColor="text1"/>
        </w:rPr>
        <w:t>Real Estate (GFC): σ = 6.40, the highest volatility of any sector in any event</w:t>
      </w:r>
    </w:p>
    <w:p w14:paraId="0E8A31FE" w14:textId="206F36F9" w:rsidR="00EF0FCA" w:rsidRDefault="00000000" w:rsidP="00CE18DB">
      <w:pPr>
        <w:spacing w:after="160" w:line="360" w:lineRule="auto"/>
        <w:jc w:val="both"/>
        <w:rPr>
          <w:color w:val="000000" w:themeColor="text1"/>
        </w:rPr>
      </w:pPr>
      <w:r w:rsidRPr="00CE18DB">
        <w:rPr>
          <w:color w:val="000000" w:themeColor="text1"/>
        </w:rPr>
        <w:t>The Financials data during the GFC is particularly notable: the sector was still deteriorating at 3 and 6 months after the event ended, reflecting the prolonged nature of credit-driven crises. Real Estate showed the same pattern, demonstrating high sensitivity to interest rate conditions and credit availability that persists long after the initial shock passes.</w:t>
      </w:r>
    </w:p>
    <w:p w14:paraId="7D40E47D" w14:textId="77777777" w:rsidR="00214CC4" w:rsidRPr="00CE18DB" w:rsidRDefault="00214CC4" w:rsidP="00CE18DB">
      <w:pPr>
        <w:spacing w:after="160" w:line="360" w:lineRule="auto"/>
        <w:jc w:val="both"/>
        <w:rPr>
          <w:color w:val="000000" w:themeColor="text1"/>
        </w:rPr>
      </w:pPr>
    </w:p>
    <w:p w14:paraId="66AC85F5" w14:textId="77777777" w:rsidR="00EF0FCA" w:rsidRPr="00CE18DB" w:rsidRDefault="00000000">
      <w:pPr>
        <w:spacing w:after="160" w:line="360" w:lineRule="auto"/>
        <w:jc w:val="both"/>
        <w:rPr>
          <w:color w:val="000000" w:themeColor="text1"/>
        </w:rPr>
      </w:pPr>
      <w:r w:rsidRPr="00CE18DB">
        <w:rPr>
          <w:b/>
          <w:bCs/>
          <w:color w:val="000000" w:themeColor="text1"/>
        </w:rPr>
        <w:t xml:space="preserve">Advisory perspective: </w:t>
      </w:r>
      <w:r w:rsidRPr="00CE18DB">
        <w:rPr>
          <w:color w:val="000000" w:themeColor="text1"/>
        </w:rPr>
        <w:t>Real Estate and Financials should be treated with particular caution during periods of systemic financial stress. Their high event-period volatility combined with slow recovery rates mean that entry during an event creates substantial risk of holding depreciating assets for an extended period after the shock subsides.</w:t>
      </w:r>
    </w:p>
    <w:p w14:paraId="039BFA0C" w14:textId="77777777" w:rsidR="00EF0FCA" w:rsidRPr="00CE18DB" w:rsidRDefault="00EF0FCA">
      <w:pPr>
        <w:rPr>
          <w:color w:val="000000" w:themeColor="text1"/>
        </w:rPr>
      </w:pPr>
    </w:p>
    <w:p w14:paraId="11D4635F" w14:textId="77777777" w:rsidR="00EF0FCA" w:rsidRPr="00CE18DB" w:rsidRDefault="00000000">
      <w:pPr>
        <w:pStyle w:val="Heading3"/>
        <w:rPr>
          <w:color w:val="000000" w:themeColor="text1"/>
        </w:rPr>
      </w:pPr>
      <w:r w:rsidRPr="00CE18DB">
        <w:rPr>
          <w:color w:val="000000" w:themeColor="text1"/>
        </w:rPr>
        <w:t>6.2.5 Utilities &amp; Consumer – Defensive Anchors</w:t>
      </w:r>
    </w:p>
    <w:p w14:paraId="1EFA9651" w14:textId="1834F724" w:rsidR="00EF0FCA" w:rsidRPr="00CE18DB" w:rsidRDefault="00000000" w:rsidP="00CE18DB">
      <w:pPr>
        <w:spacing w:after="160" w:line="360" w:lineRule="auto"/>
        <w:jc w:val="both"/>
        <w:rPr>
          <w:color w:val="000000" w:themeColor="text1"/>
        </w:rPr>
      </w:pPr>
      <w:r w:rsidRPr="00CE18DB">
        <w:rPr>
          <w:color w:val="000000" w:themeColor="text1"/>
        </w:rPr>
        <w:t>Utilities and Consumer consistently demonstrate the most defensive characteristics: low event-period volatility (σ = 1.77% and 1.57% respectively across all events), modest declines during shocks, and reliable if unspectacular recovery.</w:t>
      </w:r>
    </w:p>
    <w:p w14:paraId="7E824CD3" w14:textId="77777777" w:rsidR="000A47A7" w:rsidRPr="00CE18DB" w:rsidRDefault="00000000" w:rsidP="000A47A7">
      <w:pPr>
        <w:pStyle w:val="ListParagraph"/>
        <w:numPr>
          <w:ilvl w:val="0"/>
          <w:numId w:val="18"/>
        </w:numPr>
        <w:spacing w:before="60" w:after="60" w:line="360" w:lineRule="auto"/>
        <w:rPr>
          <w:color w:val="000000" w:themeColor="text1"/>
        </w:rPr>
      </w:pPr>
      <w:r w:rsidRPr="00CE18DB">
        <w:rPr>
          <w:color w:val="000000" w:themeColor="text1"/>
        </w:rPr>
        <w:lastRenderedPageBreak/>
        <w:t>Utilities (COVID): -0.43% during the event → +0.03% at 3 months → +0.01% at 6 months</w:t>
      </w:r>
    </w:p>
    <w:p w14:paraId="6DF2083A" w14:textId="1750F117" w:rsidR="00EF0FCA" w:rsidRDefault="00000000" w:rsidP="00CE18DB">
      <w:pPr>
        <w:pStyle w:val="ListParagraph"/>
        <w:numPr>
          <w:ilvl w:val="0"/>
          <w:numId w:val="18"/>
        </w:numPr>
        <w:spacing w:before="60" w:after="60" w:line="360" w:lineRule="auto"/>
        <w:rPr>
          <w:color w:val="000000" w:themeColor="text1"/>
        </w:rPr>
      </w:pPr>
      <w:r w:rsidRPr="00CE18DB">
        <w:rPr>
          <w:color w:val="000000" w:themeColor="text1"/>
        </w:rPr>
        <w:t>Consumer (COVID): -0.45% during the event → +0.07% at 3 months → +0.20% at 6 months</w:t>
      </w:r>
    </w:p>
    <w:p w14:paraId="0835A5E4" w14:textId="77777777" w:rsidR="00214CC4" w:rsidRPr="00CE18DB" w:rsidRDefault="00214CC4" w:rsidP="00214CC4">
      <w:pPr>
        <w:pStyle w:val="ListParagraph"/>
        <w:spacing w:before="60" w:after="60" w:line="360" w:lineRule="auto"/>
        <w:ind w:left="720"/>
        <w:rPr>
          <w:color w:val="000000" w:themeColor="text1"/>
        </w:rPr>
      </w:pPr>
    </w:p>
    <w:p w14:paraId="79328A49" w14:textId="78CE4FBC" w:rsidR="00EF0FCA" w:rsidRPr="00CE18DB" w:rsidRDefault="00000000">
      <w:pPr>
        <w:spacing w:after="160" w:line="360" w:lineRule="auto"/>
        <w:jc w:val="both"/>
        <w:rPr>
          <w:color w:val="000000" w:themeColor="text1"/>
        </w:rPr>
      </w:pPr>
      <w:r w:rsidRPr="00CE18DB">
        <w:rPr>
          <w:b/>
          <w:bCs/>
          <w:color w:val="000000" w:themeColor="text1"/>
        </w:rPr>
        <w:t xml:space="preserve">Advisory perspective: </w:t>
      </w:r>
      <w:r w:rsidRPr="00CE18DB">
        <w:rPr>
          <w:color w:val="000000" w:themeColor="text1"/>
        </w:rPr>
        <w:t>For investors with low risk tolerance, Utilities and Consumer provide portfolio stability during market disruptions without the severe drawdowns seen in cyclical or financial sectors. They are not growth vehicles, but they protect capital during the event period and recover predictably.</w:t>
      </w:r>
    </w:p>
    <w:p w14:paraId="22EFFE0B" w14:textId="77777777" w:rsidR="00EF0FCA" w:rsidRPr="00CE18DB" w:rsidRDefault="00000000">
      <w:pPr>
        <w:rPr>
          <w:color w:val="000000" w:themeColor="text1"/>
        </w:rPr>
      </w:pPr>
      <w:r w:rsidRPr="00CE18DB">
        <w:rPr>
          <w:color w:val="000000" w:themeColor="text1"/>
        </w:rPr>
        <w:br w:type="page"/>
      </w:r>
    </w:p>
    <w:p w14:paraId="370A7934" w14:textId="0BA7D81E" w:rsidR="00EF0FCA" w:rsidRPr="00CE18DB" w:rsidRDefault="00F5122A">
      <w:pPr>
        <w:pStyle w:val="Heading1"/>
        <w:rPr>
          <w:color w:val="000000" w:themeColor="text1"/>
        </w:rPr>
      </w:pPr>
      <w:r w:rsidRPr="00CE18DB">
        <w:rPr>
          <w:color w:val="000000" w:themeColor="text1"/>
        </w:rPr>
        <w:lastRenderedPageBreak/>
        <w:t>7</w:t>
      </w:r>
      <w:r w:rsidR="00000000" w:rsidRPr="00CE18DB">
        <w:rPr>
          <w:color w:val="000000" w:themeColor="text1"/>
        </w:rPr>
        <w:t>. Recommendations for Investors</w:t>
      </w:r>
    </w:p>
    <w:p w14:paraId="19796A85" w14:textId="60012E23" w:rsidR="00EF0FCA" w:rsidRPr="00CE18DB" w:rsidRDefault="00CE18DB">
      <w:pPr>
        <w:pStyle w:val="Heading2"/>
        <w:rPr>
          <w:color w:val="000000" w:themeColor="text1"/>
        </w:rPr>
      </w:pPr>
      <w:r w:rsidRPr="00CE18DB">
        <w:rPr>
          <w:color w:val="000000" w:themeColor="text1"/>
        </w:rPr>
        <w:t>7</w:t>
      </w:r>
      <w:r w:rsidR="00000000" w:rsidRPr="00CE18DB">
        <w:rPr>
          <w:color w:val="000000" w:themeColor="text1"/>
        </w:rPr>
        <w:t>.1 Do Not Chase Event-Driven Sector Spikes</w:t>
      </w:r>
    </w:p>
    <w:p w14:paraId="61F83639" w14:textId="39D02F4B" w:rsidR="00EF0FCA" w:rsidRPr="00CE18DB" w:rsidRDefault="00000000">
      <w:pPr>
        <w:spacing w:after="160" w:line="360" w:lineRule="auto"/>
        <w:jc w:val="both"/>
        <w:rPr>
          <w:color w:val="000000" w:themeColor="text1"/>
        </w:rPr>
      </w:pPr>
      <w:r w:rsidRPr="00CE18DB">
        <w:rPr>
          <w:color w:val="000000" w:themeColor="text1"/>
        </w:rPr>
        <w:t>The analysis demonstrates that event-driven sector spikes do not represent reliable long-term investment opportunities. Across all five events examined, sectors that surged during the event period reverted toward their structural baseline within 3 to 6 months. Energy's performance during Russia-Ukraine (+0.39% average daily return) is the most instructive case: an investor who entered Energy positions at the peak of the conflict's market impact would have seen that gain eroded to +0.17% within 6 months, while simultaneously bearing the sector's elevated volatility risk.</w:t>
      </w:r>
    </w:p>
    <w:p w14:paraId="0A45149B" w14:textId="77777777" w:rsidR="00EF0FCA" w:rsidRPr="00CE18DB" w:rsidRDefault="00EF0FCA">
      <w:pPr>
        <w:rPr>
          <w:color w:val="000000" w:themeColor="text1"/>
        </w:rPr>
      </w:pPr>
    </w:p>
    <w:p w14:paraId="4BA29872" w14:textId="0E8F146C" w:rsidR="00EF0FCA" w:rsidRPr="00CE18DB" w:rsidRDefault="00000000" w:rsidP="00DA65F4">
      <w:pPr>
        <w:spacing w:after="160" w:line="360" w:lineRule="auto"/>
        <w:jc w:val="both"/>
        <w:rPr>
          <w:color w:val="000000" w:themeColor="text1"/>
        </w:rPr>
      </w:pPr>
      <w:r w:rsidRPr="00CE18DB">
        <w:rPr>
          <w:color w:val="000000" w:themeColor="text1"/>
        </w:rPr>
        <w:t>The practical implication is that by the time a retail investor becomes aware of an event-driven sector rally and acts on it, the bulk of the price movement has already occurred. Entering late into an event-driven spike means purchasing at inflated prices with limited upside and significant downside risk as the temporary premium normalises.</w:t>
      </w:r>
    </w:p>
    <w:p w14:paraId="19F24EC4" w14:textId="2C9F13F8" w:rsidR="00EF0FCA" w:rsidRPr="00CE18DB" w:rsidRDefault="00CE18DB">
      <w:pPr>
        <w:pStyle w:val="Heading2"/>
        <w:rPr>
          <w:color w:val="000000" w:themeColor="text1"/>
        </w:rPr>
      </w:pPr>
      <w:r w:rsidRPr="00CE18DB">
        <w:rPr>
          <w:color w:val="000000" w:themeColor="text1"/>
        </w:rPr>
        <w:t>7</w:t>
      </w:r>
      <w:r w:rsidR="00000000" w:rsidRPr="00CE18DB">
        <w:rPr>
          <w:color w:val="000000" w:themeColor="text1"/>
        </w:rPr>
        <w:t>.</w:t>
      </w:r>
      <w:r w:rsidRPr="00CE18DB">
        <w:rPr>
          <w:color w:val="000000" w:themeColor="text1"/>
        </w:rPr>
        <w:t>2</w:t>
      </w:r>
      <w:r w:rsidR="00000000" w:rsidRPr="00CE18DB">
        <w:rPr>
          <w:color w:val="000000" w:themeColor="text1"/>
        </w:rPr>
        <w:t xml:space="preserve"> Match Sector Allocation to Risk Tolerance</w:t>
      </w:r>
    </w:p>
    <w:p w14:paraId="2DEAC1A2" w14:textId="7FBCF1A4" w:rsidR="00EF0FCA" w:rsidRPr="00CE18DB" w:rsidRDefault="00000000" w:rsidP="00DA65F4">
      <w:pPr>
        <w:spacing w:after="160" w:line="360" w:lineRule="auto"/>
        <w:jc w:val="both"/>
        <w:rPr>
          <w:color w:val="000000" w:themeColor="text1"/>
        </w:rPr>
      </w:pPr>
      <w:r w:rsidRPr="00CE18DB">
        <w:rPr>
          <w:color w:val="000000" w:themeColor="text1"/>
        </w:rPr>
        <w:t>Not all investors have the same capacity for volatility. The risk-return analysis provides a clear framework for sector allocation based on individual risk tolerance</w:t>
      </w:r>
      <w:r w:rsidR="00CE18DB" w:rsidRPr="00CE18DB">
        <w:rPr>
          <w:color w:val="000000" w:themeColor="text1"/>
        </w:rPr>
        <w:t>, for example:</w:t>
      </w:r>
    </w:p>
    <w:p w14:paraId="1170EE78" w14:textId="77777777" w:rsidR="00CE18DB" w:rsidRPr="00CE18DB" w:rsidRDefault="00000000" w:rsidP="00CE18DB">
      <w:pPr>
        <w:pStyle w:val="ListParagraph"/>
        <w:numPr>
          <w:ilvl w:val="0"/>
          <w:numId w:val="19"/>
        </w:numPr>
        <w:spacing w:before="60" w:after="60" w:line="360" w:lineRule="auto"/>
        <w:rPr>
          <w:color w:val="000000" w:themeColor="text1"/>
        </w:rPr>
      </w:pPr>
      <w:r w:rsidRPr="00CE18DB">
        <w:rPr>
          <w:color w:val="000000" w:themeColor="text1"/>
        </w:rPr>
        <w:t>Aggressive growth investors: Prioritise Technology (+1.41% monthly, 200-day MA clearly upward). Accept higher short-term volatility in exchange for the strongest long-term return trajectory.</w:t>
      </w:r>
    </w:p>
    <w:p w14:paraId="36C14DA7" w14:textId="77777777" w:rsidR="00CE18DB" w:rsidRPr="00CE18DB" w:rsidRDefault="00000000" w:rsidP="00CE18DB">
      <w:pPr>
        <w:pStyle w:val="ListParagraph"/>
        <w:numPr>
          <w:ilvl w:val="0"/>
          <w:numId w:val="19"/>
        </w:numPr>
        <w:spacing w:before="60" w:after="60" w:line="360" w:lineRule="auto"/>
        <w:rPr>
          <w:color w:val="000000" w:themeColor="text1"/>
        </w:rPr>
      </w:pPr>
      <w:r w:rsidRPr="00CE18DB">
        <w:rPr>
          <w:color w:val="000000" w:themeColor="text1"/>
        </w:rPr>
        <w:t>Moderate growth investors: Balance Technology with Healthcare (+0.89% monthly, lowest volatility among growth sectors). This combination delivers above-average returns with significantly lower drawdown risk.</w:t>
      </w:r>
    </w:p>
    <w:p w14:paraId="617B61BE" w14:textId="30CCBF35" w:rsidR="00EF0FCA" w:rsidRPr="00CE18DB" w:rsidRDefault="00000000" w:rsidP="00CE18DB">
      <w:pPr>
        <w:pStyle w:val="ListParagraph"/>
        <w:numPr>
          <w:ilvl w:val="0"/>
          <w:numId w:val="19"/>
        </w:numPr>
        <w:spacing w:before="60" w:after="60" w:line="360" w:lineRule="auto"/>
        <w:rPr>
          <w:color w:val="000000" w:themeColor="text1"/>
        </w:rPr>
      </w:pPr>
      <w:r w:rsidRPr="00CE18DB">
        <w:rPr>
          <w:color w:val="000000" w:themeColor="text1"/>
        </w:rPr>
        <w:t>Conservative investors: Anchor the portfolio in Utilities and Consumer. These sectors provide stability and predictable mild growth, with minimal event-period disruption.</w:t>
      </w:r>
    </w:p>
    <w:p w14:paraId="2022C60C" w14:textId="77777777" w:rsidR="00EF0FCA" w:rsidRPr="00CE18DB" w:rsidRDefault="00EF0FCA">
      <w:pPr>
        <w:rPr>
          <w:color w:val="000000" w:themeColor="text1"/>
        </w:rPr>
      </w:pPr>
    </w:p>
    <w:p w14:paraId="5737596A" w14:textId="77777777" w:rsidR="00EF0FCA" w:rsidRDefault="00EF0FCA">
      <w:pPr>
        <w:rPr>
          <w:color w:val="000000" w:themeColor="text1"/>
        </w:rPr>
      </w:pPr>
    </w:p>
    <w:p w14:paraId="18E5CACB" w14:textId="77777777" w:rsidR="00214CC4" w:rsidRDefault="00214CC4">
      <w:pPr>
        <w:rPr>
          <w:color w:val="000000" w:themeColor="text1"/>
        </w:rPr>
      </w:pPr>
    </w:p>
    <w:p w14:paraId="4BC9F824" w14:textId="77777777" w:rsidR="00214CC4" w:rsidRDefault="00214CC4">
      <w:pPr>
        <w:rPr>
          <w:color w:val="000000" w:themeColor="text1"/>
        </w:rPr>
      </w:pPr>
    </w:p>
    <w:p w14:paraId="4DE0CDD3" w14:textId="77777777" w:rsidR="00214CC4" w:rsidRPr="00CE18DB" w:rsidRDefault="00214CC4">
      <w:pPr>
        <w:rPr>
          <w:color w:val="000000" w:themeColor="text1"/>
        </w:rPr>
      </w:pPr>
    </w:p>
    <w:p w14:paraId="76153B14" w14:textId="77777777" w:rsidR="00EF0FCA" w:rsidRPr="00CE18DB" w:rsidRDefault="00000000">
      <w:pPr>
        <w:rPr>
          <w:color w:val="000000" w:themeColor="text1"/>
        </w:rPr>
      </w:pPr>
      <w:r w:rsidRPr="00CE18DB">
        <w:rPr>
          <w:color w:val="000000" w:themeColor="text1"/>
        </w:rPr>
        <w:br w:type="page"/>
      </w:r>
    </w:p>
    <w:p w14:paraId="27886FE5" w14:textId="77777777" w:rsidR="00EF0FCA" w:rsidRPr="00CE18DB" w:rsidRDefault="00000000">
      <w:pPr>
        <w:pStyle w:val="Heading1"/>
        <w:rPr>
          <w:color w:val="000000" w:themeColor="text1"/>
        </w:rPr>
      </w:pPr>
      <w:r w:rsidRPr="00CE18DB">
        <w:rPr>
          <w:color w:val="000000" w:themeColor="text1"/>
        </w:rPr>
        <w:lastRenderedPageBreak/>
        <w:t>9. Limitations &amp; Caveats</w:t>
      </w:r>
    </w:p>
    <w:p w14:paraId="652CDA2F" w14:textId="77777777" w:rsidR="00DA65F4" w:rsidRDefault="00000000" w:rsidP="00DA65F4">
      <w:pPr>
        <w:pStyle w:val="ListParagraph"/>
        <w:numPr>
          <w:ilvl w:val="0"/>
          <w:numId w:val="20"/>
        </w:numPr>
        <w:spacing w:before="60" w:after="60" w:line="360" w:lineRule="auto"/>
        <w:rPr>
          <w:color w:val="000000" w:themeColor="text1"/>
        </w:rPr>
      </w:pPr>
      <w:r w:rsidRPr="00DA65F4">
        <w:rPr>
          <w:color w:val="000000" w:themeColor="text1"/>
        </w:rPr>
        <w:t>All data uses ETF-level proxies (iShares sector ETFs) rather than individual stock returns. ETF performance reflects the aggregate weighted return of all holdings within the sector, which may mask the performance of specific stocks that would be more directly affected by a given event.</w:t>
      </w:r>
    </w:p>
    <w:p w14:paraId="5C2F7EEB" w14:textId="77777777" w:rsidR="00DA65F4" w:rsidRDefault="00000000" w:rsidP="00DA65F4">
      <w:pPr>
        <w:pStyle w:val="ListParagraph"/>
        <w:numPr>
          <w:ilvl w:val="0"/>
          <w:numId w:val="20"/>
        </w:numPr>
        <w:spacing w:before="60" w:after="60" w:line="360" w:lineRule="auto"/>
        <w:rPr>
          <w:color w:val="000000" w:themeColor="text1"/>
        </w:rPr>
      </w:pPr>
      <w:r w:rsidRPr="00DA65F4">
        <w:rPr>
          <w:color w:val="000000" w:themeColor="text1"/>
        </w:rPr>
        <w:t>The analysis does not account for dividend reinvestment, which would modestly improve long-term return figures for all sectors but would not change the relative rankings or the directional conclusions.</w:t>
      </w:r>
    </w:p>
    <w:p w14:paraId="581C3346" w14:textId="77777777" w:rsidR="00DA65F4" w:rsidRDefault="00000000" w:rsidP="00DA65F4">
      <w:pPr>
        <w:pStyle w:val="ListParagraph"/>
        <w:numPr>
          <w:ilvl w:val="0"/>
          <w:numId w:val="20"/>
        </w:numPr>
        <w:spacing w:before="60" w:after="60" w:line="360" w:lineRule="auto"/>
        <w:rPr>
          <w:color w:val="000000" w:themeColor="text1"/>
        </w:rPr>
      </w:pPr>
      <w:r w:rsidRPr="00DA65F4">
        <w:rPr>
          <w:color w:val="000000" w:themeColor="text1"/>
        </w:rPr>
        <w:t>The 2025 Trade Shock data covers a very recent period and the 6-month post-event window extends to late 2025. As the most recent event, its full post-event trajectory may not yet be fully observable and should be treated with appropriate caution.</w:t>
      </w:r>
    </w:p>
    <w:p w14:paraId="11B2E026" w14:textId="22A9688A" w:rsidR="00EF0FCA" w:rsidRPr="00DA65F4" w:rsidRDefault="00000000" w:rsidP="00DA65F4">
      <w:pPr>
        <w:pStyle w:val="ListParagraph"/>
        <w:numPr>
          <w:ilvl w:val="0"/>
          <w:numId w:val="20"/>
        </w:numPr>
        <w:spacing w:before="60" w:after="60" w:line="360" w:lineRule="auto"/>
        <w:rPr>
          <w:color w:val="000000" w:themeColor="text1"/>
        </w:rPr>
      </w:pPr>
      <w:r w:rsidRPr="00DA65F4">
        <w:rPr>
          <w:color w:val="000000" w:themeColor="text1"/>
        </w:rPr>
        <w:t>Past sector performance across these five events does not guarantee that future events will produce the same patterns. New types of structural shocks (e.g., artificial intelligence displacement, climate regulation) may affect sectors differently from historical precedent.</w:t>
      </w:r>
    </w:p>
    <w:p w14:paraId="164DD47E" w14:textId="77777777" w:rsidR="00EF0FCA" w:rsidRPr="00CE18DB" w:rsidRDefault="00000000">
      <w:pPr>
        <w:pStyle w:val="Heading1"/>
        <w:rPr>
          <w:color w:val="000000" w:themeColor="text1"/>
        </w:rPr>
      </w:pPr>
      <w:r w:rsidRPr="00CE18DB">
        <w:rPr>
          <w:color w:val="000000" w:themeColor="text1"/>
        </w:rPr>
        <w:t>10. Conclusion</w:t>
      </w:r>
    </w:p>
    <w:p w14:paraId="01922BB6" w14:textId="5C9C91BB" w:rsidR="00EF0FCA" w:rsidRPr="00CE18DB" w:rsidRDefault="00000000" w:rsidP="00DA65F4">
      <w:pPr>
        <w:spacing w:after="160" w:line="360" w:lineRule="auto"/>
        <w:jc w:val="both"/>
        <w:rPr>
          <w:color w:val="000000" w:themeColor="text1"/>
        </w:rPr>
      </w:pPr>
      <w:r w:rsidRPr="00CE18DB">
        <w:rPr>
          <w:color w:val="000000" w:themeColor="text1"/>
        </w:rPr>
        <w:t>This analysis of 47,000+ daily stock records across 9 US sector ETFs from 2008 to 2025 delivers a clear and actionable message: FOMO investing does not work. Event-driven sector spikes are temporary, reversion to structural baseline is the consistent historical pattern, and the sectors that generate the most attention during geopolitical events are typically not the sectors that generate the best long-term returns.</w:t>
      </w:r>
    </w:p>
    <w:p w14:paraId="5FA39392" w14:textId="544455CE" w:rsidR="00EF0FCA" w:rsidRPr="00CE18DB" w:rsidRDefault="00000000">
      <w:pPr>
        <w:spacing w:after="160" w:line="360" w:lineRule="auto"/>
        <w:jc w:val="both"/>
        <w:rPr>
          <w:color w:val="000000" w:themeColor="text1"/>
        </w:rPr>
      </w:pPr>
      <w:r w:rsidRPr="00CE18DB">
        <w:rPr>
          <w:color w:val="000000" w:themeColor="text1"/>
        </w:rPr>
        <w:t xml:space="preserve">The dashboards built as part of this project enable investors to perform this analysis themselves, in real time, for any current or future event. By centralising 17 years of multi-sector data into </w:t>
      </w:r>
      <w:proofErr w:type="spellStart"/>
      <w:r w:rsidR="00DA65F4">
        <w:rPr>
          <w:color w:val="000000" w:themeColor="text1"/>
        </w:rPr>
        <w:t>a</w:t>
      </w:r>
      <w:proofErr w:type="spellEnd"/>
      <w:r w:rsidRPr="00CE18DB">
        <w:rPr>
          <w:color w:val="000000" w:themeColor="text1"/>
        </w:rPr>
        <w:t xml:space="preserve"> interactive Power BI report, the project eliminates the manual research burden that previously made this kind of structural analysis inaccessible to retail investors, democratising evidence-based investment decision-making.</w:t>
      </w:r>
    </w:p>
    <w:p w14:paraId="0D9CC533" w14:textId="77777777" w:rsidR="00EF0FCA" w:rsidRDefault="00EF0FCA">
      <w:pPr>
        <w:rPr>
          <w:color w:val="000000" w:themeColor="text1"/>
        </w:rPr>
      </w:pPr>
    </w:p>
    <w:p w14:paraId="0A29164D" w14:textId="77777777" w:rsidR="00DA65F4" w:rsidRDefault="00DA65F4">
      <w:pPr>
        <w:rPr>
          <w:color w:val="000000" w:themeColor="text1"/>
        </w:rPr>
      </w:pPr>
    </w:p>
    <w:p w14:paraId="438C12B1" w14:textId="77777777" w:rsidR="00DA65F4" w:rsidRPr="00CE18DB" w:rsidRDefault="00DA65F4">
      <w:pPr>
        <w:rPr>
          <w:color w:val="000000" w:themeColor="text1"/>
        </w:rPr>
      </w:pPr>
    </w:p>
    <w:p w14:paraId="5245F657" w14:textId="77777777" w:rsidR="00EF0FCA" w:rsidRPr="00CE18DB" w:rsidRDefault="00000000">
      <w:pPr>
        <w:pBdr>
          <w:top w:val="single" w:sz="4" w:space="1" w:color="0D1B3E"/>
        </w:pBdr>
        <w:spacing w:before="360" w:after="120"/>
        <w:jc w:val="center"/>
        <w:rPr>
          <w:color w:val="000000" w:themeColor="text1"/>
        </w:rPr>
      </w:pPr>
      <w:r w:rsidRPr="00CE18DB">
        <w:rPr>
          <w:b/>
          <w:bCs/>
          <w:color w:val="000000" w:themeColor="text1"/>
          <w:sz w:val="20"/>
          <w:szCs w:val="20"/>
        </w:rPr>
        <w:lastRenderedPageBreak/>
        <w:t>FINAL DISCLAIMER</w:t>
      </w:r>
    </w:p>
    <w:p w14:paraId="61084603" w14:textId="77777777" w:rsidR="00EF0FCA" w:rsidRPr="00CE18DB" w:rsidRDefault="00000000">
      <w:pPr>
        <w:spacing w:before="80" w:after="80"/>
        <w:jc w:val="center"/>
        <w:rPr>
          <w:color w:val="000000" w:themeColor="text1"/>
        </w:rPr>
      </w:pPr>
      <w:r w:rsidRPr="00CE18DB">
        <w:rPr>
          <w:i/>
          <w:iCs/>
          <w:color w:val="000000" w:themeColor="text1"/>
          <w:sz w:val="18"/>
          <w:szCs w:val="18"/>
        </w:rPr>
        <w:t>This report is produced solely for educational and informational purposes and does not constitute financial advice, investment recommendations, or a solicitation to buy or sell any financial instrument. The author accepts no responsibility whatsoever for any investment decisions made based on the information, analysis, or recommendations contained herein. All investment decisions are made solely at the investor's own risk and discretion. Past performance of any sector, ETF, or financial instrument referenced in this report is not indicative of future results. Readers should consult a qualified and regulated financial advisor before making any investment decisions.</w:t>
      </w:r>
    </w:p>
    <w:sectPr w:rsidR="00EF0FCA" w:rsidRPr="00CE18D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92688" w14:textId="77777777" w:rsidR="00A72473" w:rsidRDefault="00A72473">
      <w:r>
        <w:separator/>
      </w:r>
    </w:p>
  </w:endnote>
  <w:endnote w:type="continuationSeparator" w:id="0">
    <w:p w14:paraId="6B809925" w14:textId="77777777" w:rsidR="00A72473" w:rsidRDefault="00A72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B8A90" w14:textId="77777777" w:rsidR="00EF0FCA" w:rsidRDefault="00000000">
    <w:pPr>
      <w:pBdr>
        <w:top w:val="single" w:sz="6" w:space="1" w:color="0D1B3E"/>
      </w:pBdr>
      <w:spacing w:before="120"/>
      <w:jc w:val="center"/>
    </w:pPr>
    <w:r>
      <w:rPr>
        <w:color w:val="666666"/>
        <w:sz w:val="18"/>
        <w:szCs w:val="18"/>
      </w:rPr>
      <w:t xml:space="preserve">Page </w:t>
    </w:r>
    <w:r>
      <w:fldChar w:fldCharType="begin"/>
    </w:r>
    <w:r>
      <w:instrText>PAGE</w:instrText>
    </w:r>
    <w:r>
      <w:fldChar w:fldCharType="separate"/>
    </w:r>
    <w:r w:rsidR="00F5122A">
      <w:rPr>
        <w:noProof/>
      </w:rPr>
      <w:t>1</w:t>
    </w:r>
    <w:r>
      <w:fldChar w:fldCharType="end"/>
    </w:r>
    <w:r>
      <w:rPr>
        <w:color w:val="666666"/>
        <w:sz w:val="18"/>
        <w:szCs w:val="18"/>
      </w:rPr>
      <w:t xml:space="preserve"> | For informational purposes only. Not financial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F0462" w14:textId="77777777" w:rsidR="00A72473" w:rsidRDefault="00A72473">
      <w:r>
        <w:separator/>
      </w:r>
    </w:p>
  </w:footnote>
  <w:footnote w:type="continuationSeparator" w:id="0">
    <w:p w14:paraId="3A7372B8" w14:textId="77777777" w:rsidR="00A72473" w:rsidRDefault="00A724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90838" w14:textId="77777777" w:rsidR="00EF0FCA" w:rsidRDefault="00000000">
    <w:pPr>
      <w:pBdr>
        <w:bottom w:val="single" w:sz="6" w:space="1" w:color="0D1B3E"/>
      </w:pBdr>
      <w:spacing w:after="120"/>
    </w:pPr>
    <w:r>
      <w:rPr>
        <w:i/>
        <w:iCs/>
        <w:color w:val="666666"/>
        <w:sz w:val="18"/>
        <w:szCs w:val="18"/>
      </w:rPr>
      <w:t>Sector Performance Analysis: Event Impact &amp; Long-term Growth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363"/>
    <w:multiLevelType w:val="hybridMultilevel"/>
    <w:tmpl w:val="88B61B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5F29E5"/>
    <w:multiLevelType w:val="hybridMultilevel"/>
    <w:tmpl w:val="E26E24CC"/>
    <w:lvl w:ilvl="0" w:tplc="316A348C">
      <w:start w:val="1"/>
      <w:numFmt w:val="decimal"/>
      <w:lvlText w:val="%1."/>
      <w:lvlJc w:val="left"/>
      <w:pPr>
        <w:ind w:left="720" w:hanging="360"/>
      </w:pPr>
      <w:rPr>
        <w:rFonts w:ascii="Times New Roman" w:eastAsia="Times New Roman" w:hAnsi="Times New Roman" w:cs="Times New Roman"/>
        <w:sz w:val="24"/>
        <w:szCs w:val="24"/>
      </w:rPr>
    </w:lvl>
    <w:lvl w:ilvl="1" w:tplc="4574048E">
      <w:numFmt w:val="decimal"/>
      <w:lvlText w:val=""/>
      <w:lvlJc w:val="left"/>
    </w:lvl>
    <w:lvl w:ilvl="2" w:tplc="1C52FFEC">
      <w:numFmt w:val="decimal"/>
      <w:lvlText w:val=""/>
      <w:lvlJc w:val="left"/>
    </w:lvl>
    <w:lvl w:ilvl="3" w:tplc="CDA832C4">
      <w:numFmt w:val="decimal"/>
      <w:lvlText w:val=""/>
      <w:lvlJc w:val="left"/>
    </w:lvl>
    <w:lvl w:ilvl="4" w:tplc="F4F4D1D6">
      <w:numFmt w:val="decimal"/>
      <w:lvlText w:val=""/>
      <w:lvlJc w:val="left"/>
    </w:lvl>
    <w:lvl w:ilvl="5" w:tplc="823CB204">
      <w:numFmt w:val="decimal"/>
      <w:lvlText w:val=""/>
      <w:lvlJc w:val="left"/>
    </w:lvl>
    <w:lvl w:ilvl="6" w:tplc="CF8A6BA6">
      <w:numFmt w:val="decimal"/>
      <w:lvlText w:val=""/>
      <w:lvlJc w:val="left"/>
    </w:lvl>
    <w:lvl w:ilvl="7" w:tplc="3B2C799C">
      <w:numFmt w:val="decimal"/>
      <w:lvlText w:val=""/>
      <w:lvlJc w:val="left"/>
    </w:lvl>
    <w:lvl w:ilvl="8" w:tplc="F4564B42">
      <w:numFmt w:val="decimal"/>
      <w:lvlText w:val=""/>
      <w:lvlJc w:val="left"/>
    </w:lvl>
  </w:abstractNum>
  <w:abstractNum w:abstractNumId="2" w15:restartNumberingAfterBreak="0">
    <w:nsid w:val="0C913AA2"/>
    <w:multiLevelType w:val="hybridMultilevel"/>
    <w:tmpl w:val="8930969A"/>
    <w:lvl w:ilvl="0" w:tplc="2C308470">
      <w:start w:val="1"/>
      <w:numFmt w:val="bullet"/>
      <w:lvlText w:val="●"/>
      <w:lvlJc w:val="left"/>
      <w:pPr>
        <w:ind w:left="720" w:hanging="360"/>
      </w:pPr>
    </w:lvl>
    <w:lvl w:ilvl="1" w:tplc="57A6022A">
      <w:start w:val="1"/>
      <w:numFmt w:val="bullet"/>
      <w:lvlText w:val="○"/>
      <w:lvlJc w:val="left"/>
      <w:pPr>
        <w:ind w:left="1440" w:hanging="360"/>
      </w:pPr>
    </w:lvl>
    <w:lvl w:ilvl="2" w:tplc="4A70435E">
      <w:start w:val="1"/>
      <w:numFmt w:val="bullet"/>
      <w:lvlText w:val="■"/>
      <w:lvlJc w:val="left"/>
      <w:pPr>
        <w:ind w:left="2160" w:hanging="360"/>
      </w:pPr>
    </w:lvl>
    <w:lvl w:ilvl="3" w:tplc="EDFC9854">
      <w:start w:val="1"/>
      <w:numFmt w:val="bullet"/>
      <w:lvlText w:val="●"/>
      <w:lvlJc w:val="left"/>
      <w:pPr>
        <w:ind w:left="2880" w:hanging="360"/>
      </w:pPr>
    </w:lvl>
    <w:lvl w:ilvl="4" w:tplc="7B4A2BEE">
      <w:start w:val="1"/>
      <w:numFmt w:val="bullet"/>
      <w:lvlText w:val="○"/>
      <w:lvlJc w:val="left"/>
      <w:pPr>
        <w:ind w:left="3600" w:hanging="360"/>
      </w:pPr>
    </w:lvl>
    <w:lvl w:ilvl="5" w:tplc="D8F6EEB2">
      <w:start w:val="1"/>
      <w:numFmt w:val="bullet"/>
      <w:lvlText w:val="■"/>
      <w:lvlJc w:val="left"/>
      <w:pPr>
        <w:ind w:left="4320" w:hanging="360"/>
      </w:pPr>
    </w:lvl>
    <w:lvl w:ilvl="6" w:tplc="AA90C858">
      <w:start w:val="1"/>
      <w:numFmt w:val="bullet"/>
      <w:lvlText w:val="●"/>
      <w:lvlJc w:val="left"/>
      <w:pPr>
        <w:ind w:left="5040" w:hanging="360"/>
      </w:pPr>
    </w:lvl>
    <w:lvl w:ilvl="7" w:tplc="61FED8E6">
      <w:start w:val="1"/>
      <w:numFmt w:val="bullet"/>
      <w:lvlText w:val="●"/>
      <w:lvlJc w:val="left"/>
      <w:pPr>
        <w:ind w:left="5760" w:hanging="360"/>
      </w:pPr>
    </w:lvl>
    <w:lvl w:ilvl="8" w:tplc="7F94EFE6">
      <w:start w:val="1"/>
      <w:numFmt w:val="bullet"/>
      <w:lvlText w:val="●"/>
      <w:lvlJc w:val="left"/>
      <w:pPr>
        <w:ind w:left="6480" w:hanging="360"/>
      </w:pPr>
    </w:lvl>
  </w:abstractNum>
  <w:abstractNum w:abstractNumId="3" w15:restartNumberingAfterBreak="0">
    <w:nsid w:val="0D2151E8"/>
    <w:multiLevelType w:val="hybridMultilevel"/>
    <w:tmpl w:val="0F7A0D8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1394453D"/>
    <w:multiLevelType w:val="hybridMultilevel"/>
    <w:tmpl w:val="D1B001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C5A5DEF"/>
    <w:multiLevelType w:val="hybridMultilevel"/>
    <w:tmpl w:val="AB624C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28512F1"/>
    <w:multiLevelType w:val="hybridMultilevel"/>
    <w:tmpl w:val="CC9045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D5E20F6"/>
    <w:multiLevelType w:val="hybridMultilevel"/>
    <w:tmpl w:val="6D689E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FEB134A"/>
    <w:multiLevelType w:val="hybridMultilevel"/>
    <w:tmpl w:val="4FB89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2900359"/>
    <w:multiLevelType w:val="hybridMultilevel"/>
    <w:tmpl w:val="4BAA48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44C5D8F"/>
    <w:multiLevelType w:val="hybridMultilevel"/>
    <w:tmpl w:val="F18C30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1747460"/>
    <w:multiLevelType w:val="hybridMultilevel"/>
    <w:tmpl w:val="D3C843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1FC5137"/>
    <w:multiLevelType w:val="hybridMultilevel"/>
    <w:tmpl w:val="DE1202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24C3F60"/>
    <w:multiLevelType w:val="hybridMultilevel"/>
    <w:tmpl w:val="28EA0E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27F00BE"/>
    <w:multiLevelType w:val="hybridMultilevel"/>
    <w:tmpl w:val="62D4D2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6C5736A"/>
    <w:multiLevelType w:val="hybridMultilevel"/>
    <w:tmpl w:val="19F2BEF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6" w15:restartNumberingAfterBreak="0">
    <w:nsid w:val="6A4B0565"/>
    <w:multiLevelType w:val="hybridMultilevel"/>
    <w:tmpl w:val="2C30A6B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74CC7D1E"/>
    <w:multiLevelType w:val="hybridMultilevel"/>
    <w:tmpl w:val="605E8882"/>
    <w:lvl w:ilvl="0" w:tplc="7A220C5A">
      <w:start w:val="1"/>
      <w:numFmt w:val="bullet"/>
      <w:lvlText w:val="•"/>
      <w:lvlJc w:val="left"/>
      <w:pPr>
        <w:ind w:left="720" w:hanging="360"/>
      </w:pPr>
      <w:rPr>
        <w:rFonts w:ascii="Symbol" w:eastAsia="Symbol" w:hAnsi="Symbol" w:cs="Symbol"/>
        <w:sz w:val="24"/>
        <w:szCs w:val="24"/>
      </w:rPr>
    </w:lvl>
    <w:lvl w:ilvl="1" w:tplc="222E97C0">
      <w:start w:val="1"/>
      <w:numFmt w:val="bullet"/>
      <w:lvlText w:val="◦"/>
      <w:lvlJc w:val="left"/>
      <w:pPr>
        <w:ind w:left="1080" w:hanging="360"/>
      </w:pPr>
      <w:rPr>
        <w:rFonts w:ascii="Symbol" w:eastAsia="Symbol" w:hAnsi="Symbol" w:cs="Symbol"/>
        <w:sz w:val="24"/>
        <w:szCs w:val="24"/>
      </w:rPr>
    </w:lvl>
    <w:lvl w:ilvl="2" w:tplc="3752A470">
      <w:numFmt w:val="decimal"/>
      <w:lvlText w:val=""/>
      <w:lvlJc w:val="left"/>
    </w:lvl>
    <w:lvl w:ilvl="3" w:tplc="03066C6E">
      <w:numFmt w:val="decimal"/>
      <w:lvlText w:val=""/>
      <w:lvlJc w:val="left"/>
    </w:lvl>
    <w:lvl w:ilvl="4" w:tplc="2BB40D6E">
      <w:numFmt w:val="decimal"/>
      <w:lvlText w:val=""/>
      <w:lvlJc w:val="left"/>
    </w:lvl>
    <w:lvl w:ilvl="5" w:tplc="B8D4290C">
      <w:numFmt w:val="decimal"/>
      <w:lvlText w:val=""/>
      <w:lvlJc w:val="left"/>
    </w:lvl>
    <w:lvl w:ilvl="6" w:tplc="3D904626">
      <w:numFmt w:val="decimal"/>
      <w:lvlText w:val=""/>
      <w:lvlJc w:val="left"/>
    </w:lvl>
    <w:lvl w:ilvl="7" w:tplc="6D7A70F6">
      <w:numFmt w:val="decimal"/>
      <w:lvlText w:val=""/>
      <w:lvlJc w:val="left"/>
    </w:lvl>
    <w:lvl w:ilvl="8" w:tplc="FE967ECE">
      <w:numFmt w:val="decimal"/>
      <w:lvlText w:val=""/>
      <w:lvlJc w:val="left"/>
    </w:lvl>
  </w:abstractNum>
  <w:abstractNum w:abstractNumId="18" w15:restartNumberingAfterBreak="0">
    <w:nsid w:val="7542271B"/>
    <w:multiLevelType w:val="hybridMultilevel"/>
    <w:tmpl w:val="C6321D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D347CB2"/>
    <w:multiLevelType w:val="hybridMultilevel"/>
    <w:tmpl w:val="378C720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0" w15:restartNumberingAfterBreak="0">
    <w:nsid w:val="7D7B1B3F"/>
    <w:multiLevelType w:val="hybridMultilevel"/>
    <w:tmpl w:val="F23EB4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E537967"/>
    <w:multiLevelType w:val="hybridMultilevel"/>
    <w:tmpl w:val="BDB08B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99424749">
    <w:abstractNumId w:val="2"/>
    <w:lvlOverride w:ilvl="0">
      <w:startOverride w:val="1"/>
    </w:lvlOverride>
  </w:num>
  <w:num w:numId="2" w16cid:durableId="346830824">
    <w:abstractNumId w:val="17"/>
    <w:lvlOverride w:ilvl="0">
      <w:startOverride w:val="1"/>
    </w:lvlOverride>
  </w:num>
  <w:num w:numId="3" w16cid:durableId="1757432552">
    <w:abstractNumId w:val="1"/>
    <w:lvlOverride w:ilvl="0">
      <w:startOverride w:val="1"/>
    </w:lvlOverride>
  </w:num>
  <w:num w:numId="4" w16cid:durableId="1554193528">
    <w:abstractNumId w:val="15"/>
  </w:num>
  <w:num w:numId="5" w16cid:durableId="150603938">
    <w:abstractNumId w:val="11"/>
  </w:num>
  <w:num w:numId="6" w16cid:durableId="2051028097">
    <w:abstractNumId w:val="21"/>
  </w:num>
  <w:num w:numId="7" w16cid:durableId="887570214">
    <w:abstractNumId w:val="13"/>
  </w:num>
  <w:num w:numId="8" w16cid:durableId="896010363">
    <w:abstractNumId w:val="3"/>
  </w:num>
  <w:num w:numId="9" w16cid:durableId="1301812300">
    <w:abstractNumId w:val="12"/>
  </w:num>
  <w:num w:numId="10" w16cid:durableId="2069183271">
    <w:abstractNumId w:val="19"/>
  </w:num>
  <w:num w:numId="11" w16cid:durableId="208150759">
    <w:abstractNumId w:val="20"/>
  </w:num>
  <w:num w:numId="12" w16cid:durableId="176162221">
    <w:abstractNumId w:val="16"/>
  </w:num>
  <w:num w:numId="13" w16cid:durableId="1586307391">
    <w:abstractNumId w:val="9"/>
  </w:num>
  <w:num w:numId="14" w16cid:durableId="718674441">
    <w:abstractNumId w:val="4"/>
  </w:num>
  <w:num w:numId="15" w16cid:durableId="720907536">
    <w:abstractNumId w:val="18"/>
  </w:num>
  <w:num w:numId="16" w16cid:durableId="971054646">
    <w:abstractNumId w:val="7"/>
  </w:num>
  <w:num w:numId="17" w16cid:durableId="233242984">
    <w:abstractNumId w:val="8"/>
  </w:num>
  <w:num w:numId="18" w16cid:durableId="780343204">
    <w:abstractNumId w:val="6"/>
  </w:num>
  <w:num w:numId="19" w16cid:durableId="147870037">
    <w:abstractNumId w:val="14"/>
  </w:num>
  <w:num w:numId="20" w16cid:durableId="913396618">
    <w:abstractNumId w:val="5"/>
  </w:num>
  <w:num w:numId="21" w16cid:durableId="1354573020">
    <w:abstractNumId w:val="10"/>
  </w:num>
  <w:num w:numId="22" w16cid:durableId="13140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FCA"/>
    <w:rsid w:val="000A47A7"/>
    <w:rsid w:val="0010086A"/>
    <w:rsid w:val="00214CC4"/>
    <w:rsid w:val="00371633"/>
    <w:rsid w:val="00A72473"/>
    <w:rsid w:val="00C36D35"/>
    <w:rsid w:val="00CE18DB"/>
    <w:rsid w:val="00DA65F4"/>
    <w:rsid w:val="00EF0FCA"/>
    <w:rsid w:val="00F512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5D0CD"/>
  <w15:docId w15:val="{6E9B7C9F-93E0-4F63-97CC-015424326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D1B3E"/>
      <w:sz w:val="32"/>
      <w:szCs w:val="32"/>
    </w:rPr>
  </w:style>
  <w:style w:type="paragraph" w:styleId="Heading2">
    <w:name w:val="heading 2"/>
    <w:uiPriority w:val="9"/>
    <w:unhideWhenUsed/>
    <w:qFormat/>
    <w:pPr>
      <w:spacing w:before="280" w:after="160"/>
      <w:outlineLvl w:val="1"/>
    </w:pPr>
    <w:rPr>
      <w:b/>
      <w:bCs/>
      <w:color w:val="1A2744"/>
      <w:sz w:val="28"/>
      <w:szCs w:val="28"/>
    </w:rPr>
  </w:style>
  <w:style w:type="paragraph" w:styleId="Heading3">
    <w:name w:val="heading 3"/>
    <w:uiPriority w:val="9"/>
    <w:unhideWhenUsed/>
    <w:qFormat/>
    <w:pPr>
      <w:spacing w:before="200" w:after="120"/>
      <w:outlineLvl w:val="2"/>
    </w:pPr>
    <w:rPr>
      <w:b/>
      <w:bCs/>
      <w:i/>
      <w:iCs/>
      <w:color w:val="2C3E6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15</Pages>
  <Words>3150</Words>
  <Characters>17958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 Hai Ngoc</cp:lastModifiedBy>
  <cp:revision>3</cp:revision>
  <dcterms:created xsi:type="dcterms:W3CDTF">2026-04-12T05:42:00Z</dcterms:created>
  <dcterms:modified xsi:type="dcterms:W3CDTF">2026-04-12T06:52:00Z</dcterms:modified>
</cp:coreProperties>
</file>