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FD70C" w14:textId="77777777" w:rsidR="00004314" w:rsidRPr="002F006C" w:rsidRDefault="003A32C7" w:rsidP="002632D6">
      <w:pPr>
        <w:spacing w:before="100" w:beforeAutospacing="1" w:line="400" w:lineRule="exact"/>
        <w:rPr>
          <w:rFonts w:ascii="標楷體" w:eastAsia="標楷體" w:hAnsi="標楷體"/>
          <w:color w:val="000000"/>
          <w:szCs w:val="24"/>
        </w:rPr>
      </w:pPr>
      <w:r w:rsidRPr="002F006C">
        <w:rPr>
          <w:rFonts w:ascii="標楷體" w:eastAsia="標楷體" w:hAnsi="標楷體" w:hint="eastAsia"/>
          <w:color w:val="000000"/>
          <w:szCs w:val="24"/>
        </w:rPr>
        <w:t xml:space="preserve">注意: </w:t>
      </w:r>
      <w:r w:rsidR="0021690A" w:rsidRPr="002F006C">
        <w:rPr>
          <w:rFonts w:ascii="標楷體" w:eastAsia="標楷體" w:hAnsi="標楷體" w:hint="eastAsia"/>
          <w:color w:val="000000"/>
          <w:szCs w:val="24"/>
        </w:rPr>
        <w:t>本次考試為o</w:t>
      </w:r>
      <w:r w:rsidR="0021690A" w:rsidRPr="002F006C">
        <w:rPr>
          <w:rFonts w:ascii="標楷體" w:eastAsia="標楷體" w:hAnsi="標楷體"/>
          <w:color w:val="000000"/>
          <w:szCs w:val="24"/>
        </w:rPr>
        <w:t>pen book</w:t>
      </w:r>
      <w:r w:rsidR="0021690A" w:rsidRPr="002F006C">
        <w:rPr>
          <w:rFonts w:ascii="標楷體" w:eastAsia="標楷體" w:hAnsi="標楷體" w:hint="eastAsia"/>
          <w:color w:val="000000"/>
          <w:szCs w:val="24"/>
        </w:rPr>
        <w:t>，可以查詢各種資料，但請勿跟同學討論</w:t>
      </w:r>
      <w:r w:rsidRPr="002F006C">
        <w:rPr>
          <w:rFonts w:ascii="標楷體" w:eastAsia="標楷體" w:hAnsi="標楷體" w:hint="eastAsia"/>
          <w:color w:val="000000"/>
          <w:szCs w:val="24"/>
        </w:rPr>
        <w:t>。</w:t>
      </w:r>
    </w:p>
    <w:p w14:paraId="4129A27A" w14:textId="77777777" w:rsidR="00C725FA" w:rsidRPr="002F006C" w:rsidRDefault="00C725FA" w:rsidP="00C725FA">
      <w:pPr>
        <w:rPr>
          <w:rFonts w:ascii="標楷體" w:eastAsia="標楷體" w:hAnsi="標楷體"/>
          <w:color w:val="000000"/>
          <w:szCs w:val="24"/>
        </w:rPr>
      </w:pPr>
    </w:p>
    <w:p w14:paraId="754B0838" w14:textId="06828742" w:rsidR="00C725FA" w:rsidRPr="002F006C" w:rsidRDefault="0021690A" w:rsidP="006F657A">
      <w:pPr>
        <w:numPr>
          <w:ilvl w:val="0"/>
          <w:numId w:val="1"/>
        </w:numPr>
        <w:rPr>
          <w:rFonts w:ascii="標楷體" w:eastAsia="標楷體" w:hAnsi="標楷體"/>
          <w:color w:val="000000"/>
          <w:szCs w:val="24"/>
        </w:rPr>
      </w:pPr>
      <w:r w:rsidRPr="002F006C">
        <w:rPr>
          <w:rFonts w:ascii="標楷體" w:eastAsia="標楷體" w:hAnsi="標楷體" w:hint="eastAsia"/>
          <w:color w:val="000000"/>
          <w:szCs w:val="24"/>
        </w:rPr>
        <w:t>請問何謂underwriting cycle? 請利用2000年到2019年的火險資料, 提出一些佐證，檢驗此市場是否可能有underwriting cycle。</w:t>
      </w:r>
      <w:r w:rsidR="00414EA3" w:rsidRPr="002F006C">
        <w:rPr>
          <w:rFonts w:ascii="標楷體" w:eastAsia="標楷體" w:hAnsi="標楷體" w:hint="eastAsia"/>
          <w:color w:val="000000"/>
          <w:szCs w:val="24"/>
        </w:rPr>
        <w:t>(</w:t>
      </w:r>
      <w:r w:rsidR="00414EA3" w:rsidRPr="002F006C">
        <w:rPr>
          <w:rFonts w:ascii="標楷體" w:eastAsia="標楷體" w:hAnsi="標楷體"/>
          <w:color w:val="000000"/>
          <w:szCs w:val="24"/>
        </w:rPr>
        <w:t>20%</w:t>
      </w:r>
      <w:r w:rsidR="00414EA3" w:rsidRPr="002F006C">
        <w:rPr>
          <w:rFonts w:ascii="標楷體" w:eastAsia="標楷體" w:hAnsi="標楷體" w:hint="eastAsia"/>
          <w:color w:val="000000"/>
          <w:szCs w:val="24"/>
        </w:rPr>
        <w:t>)</w:t>
      </w:r>
    </w:p>
    <w:p w14:paraId="0925E455" w14:textId="2968B199" w:rsidR="00C55DD0" w:rsidRPr="002F006C" w:rsidRDefault="001B0EED" w:rsidP="0077699F">
      <w:pPr>
        <w:ind w:firstLine="360"/>
        <w:rPr>
          <w:rFonts w:ascii="標楷體" w:eastAsia="標楷體" w:hAnsi="標楷體"/>
        </w:rPr>
      </w:pPr>
      <w:r w:rsidRPr="004A797E">
        <w:rPr>
          <w:rFonts w:ascii="標楷體" w:eastAsia="標楷體" w:hAnsi="標楷體" w:hint="eastAsia"/>
          <w:b/>
          <w:bCs/>
          <w:color w:val="1F497D" w:themeColor="text2"/>
          <w:szCs w:val="24"/>
          <w:u w:val="single"/>
        </w:rPr>
        <w:t>U</w:t>
      </w:r>
      <w:r w:rsidR="00434E1C" w:rsidRPr="004A797E">
        <w:rPr>
          <w:rFonts w:ascii="標楷體" w:eastAsia="標楷體" w:hAnsi="標楷體" w:hint="eastAsia"/>
          <w:b/>
          <w:bCs/>
          <w:color w:val="1F497D" w:themeColor="text2"/>
          <w:szCs w:val="24"/>
          <w:u w:val="single"/>
        </w:rPr>
        <w:t>nderwriting cycle</w:t>
      </w:r>
      <w:r w:rsidR="00434E1C" w:rsidRPr="002F006C">
        <w:rPr>
          <w:rFonts w:ascii="標楷體" w:eastAsia="標楷體" w:hAnsi="標楷體" w:hint="eastAsia"/>
          <w:color w:val="000000"/>
          <w:szCs w:val="24"/>
        </w:rPr>
        <w:t>指保險人的</w:t>
      </w:r>
      <w:r w:rsidR="00434E1C" w:rsidRPr="004A797E">
        <w:rPr>
          <w:rFonts w:ascii="標楷體" w:eastAsia="標楷體" w:hAnsi="標楷體" w:hint="eastAsia"/>
          <w:b/>
          <w:bCs/>
          <w:color w:val="1F497D" w:themeColor="text2"/>
          <w:szCs w:val="24"/>
          <w:u w:val="single"/>
        </w:rPr>
        <w:t>損失率</w:t>
      </w:r>
      <w:r w:rsidR="00427DAA" w:rsidRPr="004A797E">
        <w:rPr>
          <w:rFonts w:ascii="標楷體" w:eastAsia="標楷體" w:hAnsi="標楷體" w:hint="eastAsia"/>
          <w:b/>
          <w:bCs/>
          <w:color w:val="1F497D" w:themeColor="text2"/>
          <w:szCs w:val="24"/>
          <w:u w:val="single"/>
        </w:rPr>
        <w:t>、</w:t>
      </w:r>
      <w:r w:rsidR="00434E1C" w:rsidRPr="004A797E">
        <w:rPr>
          <w:rFonts w:ascii="標楷體" w:eastAsia="標楷體" w:hAnsi="標楷體" w:hint="eastAsia"/>
          <w:b/>
          <w:bCs/>
          <w:color w:val="1F497D" w:themeColor="text2"/>
          <w:szCs w:val="24"/>
          <w:u w:val="single"/>
        </w:rPr>
        <w:t>綜合成本率</w:t>
      </w:r>
      <w:r w:rsidR="00427DAA" w:rsidRPr="002F006C">
        <w:rPr>
          <w:rFonts w:ascii="標楷體" w:eastAsia="標楷體" w:hAnsi="標楷體" w:hint="eastAsia"/>
          <w:color w:val="000000"/>
          <w:szCs w:val="24"/>
        </w:rPr>
        <w:t>等與獲利相關指標具</w:t>
      </w:r>
      <w:r w:rsidR="00427DAA" w:rsidRPr="004A797E">
        <w:rPr>
          <w:rFonts w:ascii="標楷體" w:eastAsia="標楷體" w:hAnsi="標楷體" w:hint="eastAsia"/>
          <w:b/>
          <w:bCs/>
          <w:color w:val="1F497D" w:themeColor="text2"/>
          <w:szCs w:val="24"/>
          <w:u w:val="single"/>
        </w:rPr>
        <w:t>週期性上升</w:t>
      </w:r>
      <w:r w:rsidR="00427DAA" w:rsidRPr="002F006C">
        <w:rPr>
          <w:rFonts w:ascii="標楷體" w:eastAsia="標楷體" w:hAnsi="標楷體" w:hint="eastAsia"/>
          <w:color w:val="000000"/>
          <w:szCs w:val="24"/>
        </w:rPr>
        <w:t>與</w:t>
      </w:r>
      <w:r w:rsidR="00427DAA" w:rsidRPr="004A797E">
        <w:rPr>
          <w:rFonts w:ascii="標楷體" w:eastAsia="標楷體" w:hAnsi="標楷體" w:hint="eastAsia"/>
          <w:b/>
          <w:bCs/>
          <w:color w:val="1F497D" w:themeColor="text2"/>
          <w:szCs w:val="24"/>
          <w:u w:val="single"/>
        </w:rPr>
        <w:t>下降</w:t>
      </w:r>
      <w:r w:rsidR="00427DAA" w:rsidRPr="002F006C">
        <w:rPr>
          <w:rFonts w:ascii="標楷體" w:eastAsia="標楷體" w:hAnsi="標楷體" w:hint="eastAsia"/>
          <w:color w:val="000000"/>
          <w:szCs w:val="24"/>
        </w:rPr>
        <w:t>的現象</w:t>
      </w:r>
      <w:r w:rsidR="00427DAA" w:rsidRPr="002F006C">
        <w:rPr>
          <w:rFonts w:ascii="標楷體" w:eastAsia="標楷體" w:hAnsi="標楷體"/>
        </w:rPr>
        <w:t xml:space="preserve">(Niehaus &amp; Terry, 1993; </w:t>
      </w:r>
      <w:proofErr w:type="spellStart"/>
      <w:r w:rsidR="00427DAA" w:rsidRPr="002F006C">
        <w:rPr>
          <w:rFonts w:ascii="標楷體" w:eastAsia="標楷體" w:hAnsi="標楷體"/>
        </w:rPr>
        <w:t>Gron</w:t>
      </w:r>
      <w:proofErr w:type="spellEnd"/>
      <w:r w:rsidR="00427DAA" w:rsidRPr="002F006C">
        <w:rPr>
          <w:rFonts w:ascii="標楷體" w:eastAsia="標楷體" w:hAnsi="標楷體"/>
        </w:rPr>
        <w:t xml:space="preserve">, 1994a; Harrington &amp; </w:t>
      </w:r>
      <w:proofErr w:type="spellStart"/>
      <w:r w:rsidR="00427DAA" w:rsidRPr="002F006C">
        <w:rPr>
          <w:rFonts w:ascii="標楷體" w:eastAsia="標楷體" w:hAnsi="標楷體"/>
        </w:rPr>
        <w:t>Danzon</w:t>
      </w:r>
      <w:proofErr w:type="spellEnd"/>
      <w:r w:rsidR="00427DAA" w:rsidRPr="002F006C">
        <w:rPr>
          <w:rFonts w:ascii="標楷體" w:eastAsia="標楷體" w:hAnsi="標楷體"/>
        </w:rPr>
        <w:t>, 1994; Urrutia, 1996)</w:t>
      </w:r>
      <w:r w:rsidR="00427DAA" w:rsidRPr="002F006C">
        <w:rPr>
          <w:rFonts w:ascii="標楷體" w:eastAsia="標楷體" w:hAnsi="標楷體" w:hint="eastAsia"/>
        </w:rPr>
        <w:t>，其又可依據保險市場供需分為</w:t>
      </w:r>
      <w:r w:rsidR="00427DAA" w:rsidRPr="004A797E">
        <w:rPr>
          <w:rFonts w:ascii="標楷體" w:eastAsia="標楷體" w:hAnsi="標楷體" w:hint="eastAsia"/>
          <w:b/>
          <w:bCs/>
          <w:color w:val="1F497D" w:themeColor="text2"/>
          <w:szCs w:val="24"/>
          <w:u w:val="single"/>
        </w:rPr>
        <w:t>軟</w:t>
      </w:r>
      <w:r w:rsidR="00427DAA" w:rsidRPr="002F006C">
        <w:rPr>
          <w:rFonts w:ascii="標楷體" w:eastAsia="標楷體" w:hAnsi="標楷體" w:hint="eastAsia"/>
        </w:rPr>
        <w:t>市場和</w:t>
      </w:r>
      <w:r w:rsidR="00427DAA" w:rsidRPr="004A797E">
        <w:rPr>
          <w:rFonts w:ascii="標楷體" w:eastAsia="標楷體" w:hAnsi="標楷體" w:hint="eastAsia"/>
          <w:b/>
          <w:bCs/>
          <w:color w:val="1F497D" w:themeColor="text2"/>
          <w:szCs w:val="24"/>
          <w:u w:val="single"/>
        </w:rPr>
        <w:t>硬</w:t>
      </w:r>
      <w:r w:rsidR="00427DAA" w:rsidRPr="002F006C">
        <w:rPr>
          <w:rFonts w:ascii="標楷體" w:eastAsia="標楷體" w:hAnsi="標楷體" w:hint="eastAsia"/>
        </w:rPr>
        <w:t>市場，當某險種在保險市場承保利潤好時，各家保險開始留意到這個險種，因此進入軟市場，在此情形下，保險公司彼此爭奪業務，</w:t>
      </w:r>
      <w:r w:rsidR="00C55DD0" w:rsidRPr="002F006C">
        <w:rPr>
          <w:rFonts w:ascii="標楷體" w:eastAsia="標楷體" w:hAnsi="標楷體" w:hint="eastAsia"/>
        </w:rPr>
        <w:t>願意在承保條款對你做讓利</w:t>
      </w:r>
      <w:r w:rsidR="00427DAA" w:rsidRPr="002F006C">
        <w:rPr>
          <w:rFonts w:ascii="標楷體" w:eastAsia="標楷體" w:hAnsi="標楷體" w:hint="eastAsia"/>
        </w:rPr>
        <w:t>且</w:t>
      </w:r>
      <w:r w:rsidR="00C55DD0" w:rsidRPr="002F006C">
        <w:rPr>
          <w:rFonts w:ascii="標楷體" w:eastAsia="標楷體" w:hAnsi="標楷體" w:hint="eastAsia"/>
        </w:rPr>
        <w:t>放寬</w:t>
      </w:r>
      <w:r w:rsidR="00427DAA" w:rsidRPr="002F006C">
        <w:rPr>
          <w:rFonts w:ascii="標楷體" w:eastAsia="標楷體" w:hAnsi="標楷體" w:hint="eastAsia"/>
        </w:rPr>
        <w:t>核保標準，因為供給方大於需求方，需透過降低保費來維持市場，所以獲利率會下降，</w:t>
      </w:r>
      <w:r w:rsidRPr="002F006C">
        <w:rPr>
          <w:rFonts w:ascii="標楷體" w:eastAsia="標楷體" w:hAnsi="標楷體" w:hint="eastAsia"/>
        </w:rPr>
        <w:t>損失率上升，</w:t>
      </w:r>
      <w:r w:rsidR="00427DAA" w:rsidRPr="002F006C">
        <w:rPr>
          <w:rFonts w:ascii="標楷體" w:eastAsia="標楷體" w:hAnsi="標楷體" w:hint="eastAsia"/>
        </w:rPr>
        <w:t>反之，若某險種承保利潤差，僅有少數幾家保險公司</w:t>
      </w:r>
      <w:r w:rsidR="00C55DD0" w:rsidRPr="002F006C">
        <w:rPr>
          <w:rFonts w:ascii="標楷體" w:eastAsia="標楷體" w:hAnsi="標楷體" w:hint="eastAsia"/>
        </w:rPr>
        <w:t>有能力提供保險，這時就進入硬市場，此時保險公司會提高核保標準，在承保條款中幾乎不讓利給被保險人，甚至在投資收益無法彌補承保損失時提高保費，</w:t>
      </w:r>
      <w:r w:rsidRPr="002F006C">
        <w:rPr>
          <w:rFonts w:ascii="標楷體" w:eastAsia="標楷體" w:hAnsi="標楷體" w:hint="eastAsia"/>
        </w:rPr>
        <w:t>因此此時期保費通常較高，對被保險人條件相對不利，獲利率會因為保險公司加強控管而上升，損失率則因為保費收入增加提高風險承受金額而下降。</w:t>
      </w:r>
    </w:p>
    <w:p w14:paraId="0A29FBF9" w14:textId="10420713" w:rsidR="001B0EED" w:rsidRPr="002F006C" w:rsidRDefault="003F1C42" w:rsidP="0077699F">
      <w:pPr>
        <w:ind w:firstLine="360"/>
        <w:rPr>
          <w:rFonts w:ascii="標楷體" w:eastAsia="標楷體" w:hAnsi="標楷體"/>
          <w:color w:val="000000"/>
          <w:szCs w:val="24"/>
        </w:rPr>
      </w:pPr>
      <w:r w:rsidRPr="002F006C">
        <w:rPr>
          <w:rFonts w:ascii="標楷體" w:eastAsia="標楷體" w:hAnsi="標楷體" w:hint="eastAsia"/>
        </w:rPr>
        <w:t>在檢測台灣火險是否具有</w:t>
      </w:r>
      <w:r w:rsidRPr="002F006C">
        <w:rPr>
          <w:rFonts w:ascii="標楷體" w:eastAsia="標楷體" w:hAnsi="標楷體" w:hint="eastAsia"/>
          <w:color w:val="000000"/>
          <w:szCs w:val="24"/>
        </w:rPr>
        <w:t>underwriting cycle時，先對分析資料所需使用的各個項目進行名詞解釋，本次資料是從財團法人保險事業發展中心各火險賠款率統計總表彙總而成，其大致分為四個項目，分別為當年簽單保費、滿期保費、已發生賠款以及損失率，當年簽單保費指的是保險人在該年度所簽保單所列保費，依會計基於收付實現基礎原則在簽保單當下全數認列，但因有權責發生問題，因此依權利義務是否完成又可分為滿期保費跟未滿期保費，滿期保費是指該年保險期間已期滿的保險費，其值等於該年</w:t>
      </w:r>
      <w:r w:rsidR="0077699F" w:rsidRPr="002F006C">
        <w:rPr>
          <w:rFonts w:ascii="標楷體" w:eastAsia="標楷體" w:hAnsi="標楷體" w:hint="eastAsia"/>
          <w:color w:val="000000"/>
          <w:szCs w:val="24"/>
        </w:rPr>
        <w:t>毛保險費扣除該年未滿期保費加上上年度未滿期保費，未滿期保費又稱未到期保費，指該年保險期間權利義務未到期的保費，因配合會計年度在年度終了時為保險人負債，損失率目的在於了解該年度損失情況，進而算出成本率來評估該年經營成果或作為保費調整依據，其計算方式大致上分為三種，分別為歷年制損失率、保單年度制損失率、意外年度制損失率。</w:t>
      </w:r>
    </w:p>
    <w:p w14:paraId="4E92CBFE" w14:textId="6BE01F66" w:rsidR="0077699F" w:rsidRPr="002F006C" w:rsidRDefault="0077699F" w:rsidP="0077699F">
      <w:pPr>
        <w:rPr>
          <w:rFonts w:ascii="標楷體" w:eastAsia="標楷體" w:hAnsi="標楷體"/>
          <w:color w:val="000000"/>
          <w:szCs w:val="24"/>
        </w:rPr>
      </w:pPr>
      <w:r w:rsidRPr="002F006C">
        <w:rPr>
          <w:rFonts w:ascii="標楷體" w:eastAsia="標楷體" w:hAnsi="標楷體"/>
          <w:color w:val="000000"/>
          <w:szCs w:val="24"/>
        </w:rPr>
        <w:tab/>
      </w:r>
      <w:r w:rsidRPr="004A797E">
        <w:rPr>
          <w:rFonts w:ascii="標楷體" w:eastAsia="標楷體" w:hAnsi="標楷體" w:hint="eastAsia"/>
          <w:b/>
          <w:bCs/>
          <w:color w:val="1F497D" w:themeColor="text2"/>
          <w:szCs w:val="24"/>
          <w:u w:val="single"/>
        </w:rPr>
        <w:t>歷年制損失率</w:t>
      </w:r>
      <w:r w:rsidRPr="002F006C">
        <w:rPr>
          <w:rFonts w:ascii="標楷體" w:eastAsia="標楷體" w:hAnsi="標楷體" w:hint="eastAsia"/>
          <w:color w:val="000000"/>
          <w:szCs w:val="24"/>
        </w:rPr>
        <w:t>是以保險人於某年支付賠款為基礎，其計算</w:t>
      </w:r>
      <w:r w:rsidRPr="004A797E">
        <w:rPr>
          <w:rFonts w:ascii="標楷體" w:eastAsia="標楷體" w:hAnsi="標楷體" w:hint="eastAsia"/>
          <w:b/>
          <w:bCs/>
          <w:color w:val="1F497D" w:themeColor="text2"/>
          <w:szCs w:val="24"/>
          <w:u w:val="single"/>
        </w:rPr>
        <w:t>只考慮賠款支付年度</w:t>
      </w:r>
      <w:r w:rsidRPr="002F006C">
        <w:rPr>
          <w:rFonts w:ascii="標楷體" w:eastAsia="標楷體" w:hAnsi="標楷體" w:hint="eastAsia"/>
          <w:color w:val="000000"/>
          <w:szCs w:val="24"/>
        </w:rPr>
        <w:t>而非</w:t>
      </w:r>
      <w:r w:rsidR="009454A6" w:rsidRPr="002F006C">
        <w:rPr>
          <w:rFonts w:ascii="標楷體" w:eastAsia="標楷體" w:hAnsi="標楷體" w:hint="eastAsia"/>
          <w:color w:val="000000"/>
          <w:szCs w:val="24"/>
        </w:rPr>
        <w:t>發生</w:t>
      </w:r>
      <w:r w:rsidRPr="002F006C">
        <w:rPr>
          <w:rFonts w:ascii="標楷體" w:eastAsia="標楷體" w:hAnsi="標楷體" w:hint="eastAsia"/>
          <w:color w:val="000000"/>
          <w:szCs w:val="24"/>
        </w:rPr>
        <w:t>賠款案子年度，因此其公式</w:t>
      </w:r>
      <w:r w:rsidR="009454A6" w:rsidRPr="002F006C">
        <w:rPr>
          <w:rFonts w:ascii="標楷體" w:eastAsia="標楷體" w:hAnsi="標楷體" w:hint="eastAsia"/>
          <w:color w:val="000000"/>
          <w:szCs w:val="24"/>
        </w:rPr>
        <w:t>大致定義</w:t>
      </w:r>
      <w:r w:rsidRPr="002F006C">
        <w:rPr>
          <w:rFonts w:ascii="標楷體" w:eastAsia="標楷體" w:hAnsi="標楷體" w:hint="eastAsia"/>
          <w:color w:val="000000"/>
          <w:szCs w:val="24"/>
        </w:rPr>
        <w:t>為統計區間已決賠款加上</w:t>
      </w:r>
      <w:r w:rsidR="009454A6" w:rsidRPr="002F006C">
        <w:rPr>
          <w:rFonts w:ascii="標楷體" w:eastAsia="標楷體" w:hAnsi="標楷體" w:hint="eastAsia"/>
          <w:color w:val="000000"/>
          <w:szCs w:val="24"/>
        </w:rPr>
        <w:t>統計區間未決賠款變化後，在除以統計區間滿期保費，公式可應用在年度月度甚至是跨年度的計算，舉例來說，當其應用在年度統計時，其公式統計區間滿期保費指的是當年度簽單保費扣除年末滿期保費加上年初滿期保費，統計區間已決賠款加上統計區間未決賠款變化為當年度已付賠款加上年末未決賠款扣除年初未決賠款，若附加使用50%法提列滿期保費，則統計區間滿期保費定義改為當年度保費收入加上上年保費收入後再除以二，不過得留意50%法提列滿期保費在歷年制損失率計算時並不適用於月度統計，月度統計較常使用24法跟365分法來提列滿期保費，由於歷年制損失率簡單且能配合會計年度，因此常用來大致判斷經營效益，但其保費跟賠款時間較其他制度匹配性差，保費跟保單也不完全對應</w:t>
      </w:r>
      <w:r w:rsidR="00E11EB7" w:rsidRPr="002F006C">
        <w:rPr>
          <w:rFonts w:ascii="標楷體" w:eastAsia="標楷體" w:hAnsi="標楷體" w:hint="eastAsia"/>
          <w:color w:val="000000"/>
          <w:szCs w:val="24"/>
        </w:rPr>
        <w:t>，難以判斷承保業務質量。</w:t>
      </w:r>
    </w:p>
    <w:p w14:paraId="023F7C43" w14:textId="7DC3A55E" w:rsidR="00E11EB7" w:rsidRPr="002F006C" w:rsidRDefault="00E11EB7" w:rsidP="0077699F">
      <w:pPr>
        <w:rPr>
          <w:rFonts w:ascii="標楷體" w:eastAsia="標楷體" w:hAnsi="標楷體"/>
          <w:color w:val="000000"/>
          <w:szCs w:val="24"/>
        </w:rPr>
      </w:pPr>
      <w:r w:rsidRPr="002F006C">
        <w:rPr>
          <w:rFonts w:ascii="標楷體" w:eastAsia="標楷體" w:hAnsi="標楷體"/>
          <w:color w:val="000000"/>
          <w:szCs w:val="24"/>
        </w:rPr>
        <w:tab/>
      </w:r>
      <w:r w:rsidRPr="002F006C">
        <w:rPr>
          <w:rFonts w:ascii="標楷體" w:eastAsia="標楷體" w:hAnsi="標楷體" w:hint="eastAsia"/>
          <w:color w:val="000000"/>
          <w:szCs w:val="24"/>
        </w:rPr>
        <w:t>可若賠款確定跟保單有效期時間差異極大呢? 舉例來說，民國88年發生921地震，福益紡織受損，向保險公司申請理賠19億1511萬9040，但保險公司只願付2.38億，兩者在金額上認知落差大，因此請第三方機構公證保險事故與損害金額，可依然喬不攏，最後在90年9月申請進入仲裁庭，並於91年12月26日確定仲裁結果，判保險公司須支付高達11.5億</w:t>
      </w:r>
      <w:r w:rsidRPr="002F006C">
        <w:rPr>
          <w:rFonts w:ascii="標楷體" w:eastAsia="標楷體" w:hAnsi="標楷體" w:hint="eastAsia"/>
          <w:color w:val="000000"/>
          <w:szCs w:val="24"/>
        </w:rPr>
        <w:lastRenderedPageBreak/>
        <w:t>賠償金，</w:t>
      </w:r>
      <w:r w:rsidR="00E16F37" w:rsidRPr="002F006C">
        <w:rPr>
          <w:rFonts w:ascii="標楷體" w:eastAsia="標楷體" w:hAnsi="標楷體" w:hint="eastAsia"/>
          <w:color w:val="000000"/>
          <w:szCs w:val="24"/>
        </w:rPr>
        <w:t>民國88年投保的保單到民國91年才確定賠款金額，中間整整相差三年，若使用歷年制推估經營效益很可能就會出現偏差，因此才有了保單年度制與意外年度制的出現。</w:t>
      </w:r>
    </w:p>
    <w:p w14:paraId="10217329" w14:textId="20037530" w:rsidR="00E11EB7" w:rsidRPr="002F006C" w:rsidRDefault="00E11EB7" w:rsidP="00E16F37">
      <w:pPr>
        <w:ind w:firstLine="360"/>
        <w:rPr>
          <w:rFonts w:ascii="標楷體" w:eastAsia="標楷體" w:hAnsi="標楷體"/>
          <w:color w:val="000000"/>
          <w:szCs w:val="24"/>
        </w:rPr>
      </w:pPr>
      <w:r w:rsidRPr="004A797E">
        <w:rPr>
          <w:rFonts w:ascii="標楷體" w:eastAsia="標楷體" w:hAnsi="標楷體" w:hint="eastAsia"/>
          <w:b/>
          <w:bCs/>
          <w:color w:val="1F497D" w:themeColor="text2"/>
          <w:szCs w:val="24"/>
          <w:u w:val="single"/>
        </w:rPr>
        <w:t>保單年度制損失率</w:t>
      </w:r>
      <w:r w:rsidRPr="002F006C">
        <w:rPr>
          <w:rFonts w:ascii="標楷體" w:eastAsia="標楷體" w:hAnsi="標楷體" w:hint="eastAsia"/>
          <w:color w:val="000000"/>
          <w:szCs w:val="24"/>
        </w:rPr>
        <w:t>又稱承保年度制賠付率，是把</w:t>
      </w:r>
      <w:r w:rsidRPr="004A797E">
        <w:rPr>
          <w:rFonts w:ascii="標楷體" w:eastAsia="標楷體" w:hAnsi="標楷體" w:hint="eastAsia"/>
          <w:b/>
          <w:bCs/>
          <w:color w:val="1F497D" w:themeColor="text2"/>
          <w:szCs w:val="24"/>
          <w:u w:val="single"/>
        </w:rPr>
        <w:t>保單與理賠</w:t>
      </w:r>
      <w:r w:rsidRPr="002F006C">
        <w:rPr>
          <w:rFonts w:ascii="標楷體" w:eastAsia="標楷體" w:hAnsi="標楷體" w:hint="eastAsia"/>
          <w:color w:val="000000"/>
          <w:szCs w:val="24"/>
        </w:rPr>
        <w:t>全部</w:t>
      </w:r>
      <w:r w:rsidRPr="004A797E">
        <w:rPr>
          <w:rFonts w:ascii="標楷體" w:eastAsia="標楷體" w:hAnsi="標楷體" w:hint="eastAsia"/>
          <w:b/>
          <w:bCs/>
          <w:color w:val="1F497D" w:themeColor="text2"/>
          <w:szCs w:val="24"/>
          <w:u w:val="single"/>
        </w:rPr>
        <w:t>追朔致同一年度生效</w:t>
      </w:r>
      <w:r w:rsidRPr="002F006C">
        <w:rPr>
          <w:rFonts w:ascii="標楷體" w:eastAsia="標楷體" w:hAnsi="標楷體" w:hint="eastAsia"/>
          <w:color w:val="000000"/>
          <w:szCs w:val="24"/>
        </w:rPr>
        <w:t>的保單，若保單皆為一年期，此制度</w:t>
      </w:r>
      <w:r w:rsidRPr="004A797E">
        <w:rPr>
          <w:rFonts w:ascii="標楷體" w:eastAsia="標楷體" w:hAnsi="標楷體" w:hint="eastAsia"/>
          <w:b/>
          <w:bCs/>
          <w:color w:val="1F497D" w:themeColor="text2"/>
          <w:szCs w:val="24"/>
          <w:u w:val="single"/>
        </w:rPr>
        <w:t>至少需兩年時間</w:t>
      </w:r>
      <w:r w:rsidRPr="002F006C">
        <w:rPr>
          <w:rFonts w:ascii="標楷體" w:eastAsia="標楷體" w:hAnsi="標楷體" w:hint="eastAsia"/>
          <w:color w:val="000000"/>
          <w:szCs w:val="24"/>
        </w:rPr>
        <w:t>才能獲得初步資料，其與歷年制差異在於其把賠款與保費收入按保單年度分類各自統計，由於保單年度責任跨24個月，年度保單賠款確定也至少24個月</w:t>
      </w:r>
      <w:r w:rsidR="00BF1B21" w:rsidRPr="002F006C">
        <w:rPr>
          <w:rFonts w:ascii="標楷體" w:eastAsia="標楷體" w:hAnsi="標楷體" w:hint="eastAsia"/>
          <w:color w:val="000000"/>
          <w:szCs w:val="24"/>
        </w:rPr>
        <w:t>，因此會有保單未決賠款，前面所提的福益紡織便是一例，保單未決賠款包括已出險已報案已核實、已出險已報案未核實以及已出險未報案未核實，造成這些差異的主因在於其程序時間上的消耗，其中已出險已報案已核實通常會直接作為未決賠款，而後兩項則會被認定是賠款責任，也就是IBNR，因此其公式定義為某保單年度已決賠款加上未決賠款和賠款責任後，除以某保單年度滿期保費，根據前述所提，由於其保費與損失資料出於同一保單，在匹配程度上為所有方法中最好，因此用其判斷承保業務質量最為準確，然而，由於要求保費與損失資料出於同一保單，已發生損失會隨評估日不同而變化，在時效性上相對較差，且其賠付率對應保費為該時間段起保保單在該時間段生成的滿期保費，而非時間段內所有保單的滿期保費，因此難以評估該時間經營效益。</w:t>
      </w:r>
    </w:p>
    <w:p w14:paraId="3FB36E61" w14:textId="0B58FEDB" w:rsidR="00BF1B21" w:rsidRPr="002F006C" w:rsidRDefault="00A131BE" w:rsidP="00E16F37">
      <w:pPr>
        <w:ind w:firstLine="360"/>
        <w:rPr>
          <w:rFonts w:ascii="標楷體" w:eastAsia="標楷體" w:hAnsi="標楷體"/>
          <w:color w:val="000000"/>
          <w:szCs w:val="24"/>
        </w:rPr>
      </w:pPr>
      <w:r w:rsidRPr="004A797E">
        <w:rPr>
          <w:rFonts w:ascii="標楷體" w:eastAsia="標楷體" w:hAnsi="標楷體" w:hint="eastAsia"/>
          <w:b/>
          <w:bCs/>
          <w:color w:val="1F497D" w:themeColor="text2"/>
          <w:szCs w:val="24"/>
          <w:u w:val="single"/>
        </w:rPr>
        <w:t>意外年度制損失率</w:t>
      </w:r>
      <w:r w:rsidRPr="002F006C">
        <w:rPr>
          <w:rFonts w:ascii="標楷體" w:eastAsia="標楷體" w:hAnsi="標楷體" w:hint="eastAsia"/>
          <w:color w:val="000000"/>
          <w:szCs w:val="24"/>
        </w:rPr>
        <w:t>又稱事故年度制滿期賠付率，在保費處理上與歷年制相同，但損失資料是</w:t>
      </w:r>
      <w:r w:rsidRPr="004A797E">
        <w:rPr>
          <w:rFonts w:ascii="標楷體" w:eastAsia="標楷體" w:hAnsi="標楷體" w:hint="eastAsia"/>
          <w:b/>
          <w:bCs/>
          <w:color w:val="1F497D" w:themeColor="text2"/>
          <w:szCs w:val="24"/>
          <w:u w:val="single"/>
        </w:rPr>
        <w:t>以賠款案子發生</w:t>
      </w:r>
      <w:r w:rsidRPr="002F006C">
        <w:rPr>
          <w:rFonts w:ascii="標楷體" w:eastAsia="標楷體" w:hAnsi="標楷體" w:hint="eastAsia"/>
          <w:color w:val="000000"/>
          <w:szCs w:val="24"/>
        </w:rPr>
        <w:t>日期為依據，在保費為單一年期時，年底即可獲知初步資料而無須向保單年度制耗時兩年以上，其公式為某年度簽單保費加上某年末未期滿保費和年初未期滿保費的差額後作為公式分母，分子則為所有發生在某年度事故累計已付賠款加上所有發生在某年度事故的累計賠款金，亦即該年保單上發生的已決賠款加上未決賠款和賠款責任，由此所計算的賠付率能準確評價當年有效保單承保質量，</w:t>
      </w:r>
      <w:r w:rsidRPr="004A797E">
        <w:rPr>
          <w:rFonts w:ascii="標楷體" w:eastAsia="標楷體" w:hAnsi="標楷體" w:hint="eastAsia"/>
          <w:b/>
          <w:bCs/>
          <w:color w:val="1F497D" w:themeColor="text2"/>
          <w:szCs w:val="24"/>
          <w:u w:val="single"/>
        </w:rPr>
        <w:t>為產品純費率制定提供數據參考</w:t>
      </w:r>
      <w:r w:rsidRPr="002F006C">
        <w:rPr>
          <w:rFonts w:ascii="標楷體" w:eastAsia="標楷體" w:hAnsi="標楷體" w:hint="eastAsia"/>
          <w:color w:val="000000"/>
          <w:szCs w:val="24"/>
        </w:rPr>
        <w:t>，並相較歷年制考慮到統計期間出險但未在統計期間確認的未決賠款，然而其缺點也顯而易見，保費與損失資料相對承保年度制，匹配程度較差。</w:t>
      </w:r>
    </w:p>
    <w:p w14:paraId="7035D1DA" w14:textId="64520FB7" w:rsidR="00A131BE" w:rsidRPr="002F006C" w:rsidRDefault="00A131BE" w:rsidP="00E16F37">
      <w:pPr>
        <w:ind w:firstLine="360"/>
        <w:rPr>
          <w:rFonts w:ascii="標楷體" w:eastAsia="標楷體" w:hAnsi="標楷體"/>
          <w:color w:val="000000"/>
          <w:szCs w:val="24"/>
        </w:rPr>
      </w:pPr>
      <w:r w:rsidRPr="002F006C">
        <w:rPr>
          <w:rFonts w:ascii="標楷體" w:eastAsia="標楷體" w:hAnsi="標楷體" w:hint="eastAsia"/>
          <w:color w:val="000000"/>
          <w:szCs w:val="24"/>
        </w:rPr>
        <w:t>參考</w:t>
      </w:r>
      <w:r w:rsidR="005E0E58" w:rsidRPr="002F006C">
        <w:rPr>
          <w:rFonts w:ascii="標楷體" w:eastAsia="標楷體" w:hAnsi="標楷體" w:hint="eastAsia"/>
          <w:color w:val="000000"/>
          <w:szCs w:val="24"/>
        </w:rPr>
        <w:t>前述</w:t>
      </w:r>
      <w:r w:rsidRPr="002F006C">
        <w:rPr>
          <w:rFonts w:ascii="標楷體" w:eastAsia="標楷體" w:hAnsi="標楷體" w:hint="eastAsia"/>
          <w:color w:val="000000"/>
          <w:szCs w:val="24"/>
        </w:rPr>
        <w:t>各項損失率</w:t>
      </w:r>
      <w:r w:rsidR="005E0E58" w:rsidRPr="002F006C">
        <w:rPr>
          <w:rFonts w:ascii="標楷體" w:eastAsia="標楷體" w:hAnsi="標楷體" w:hint="eastAsia"/>
          <w:color w:val="000000"/>
          <w:szCs w:val="24"/>
        </w:rPr>
        <w:t>計算優缺點，</w:t>
      </w:r>
      <w:r w:rsidRPr="002F006C">
        <w:rPr>
          <w:rFonts w:ascii="標楷體" w:eastAsia="標楷體" w:hAnsi="標楷體" w:hint="eastAsia"/>
          <w:color w:val="000000"/>
          <w:szCs w:val="24"/>
        </w:rPr>
        <w:t>本</w:t>
      </w:r>
      <w:r w:rsidR="005E0E58" w:rsidRPr="002F006C">
        <w:rPr>
          <w:rFonts w:ascii="標楷體" w:eastAsia="標楷體" w:hAnsi="標楷體" w:hint="eastAsia"/>
          <w:color w:val="000000"/>
          <w:szCs w:val="24"/>
        </w:rPr>
        <w:t>文</w:t>
      </w:r>
      <w:r w:rsidRPr="002F006C">
        <w:rPr>
          <w:rFonts w:ascii="標楷體" w:eastAsia="標楷體" w:hAnsi="標楷體" w:hint="eastAsia"/>
          <w:color w:val="000000"/>
          <w:szCs w:val="24"/>
        </w:rPr>
        <w:t>研究採用意外年度制來計算損失率</w:t>
      </w:r>
      <w:r w:rsidR="005E0E58" w:rsidRPr="002F006C">
        <w:rPr>
          <w:rFonts w:ascii="標楷體" w:eastAsia="標楷體" w:hAnsi="標楷體" w:hint="eastAsia"/>
          <w:color w:val="000000"/>
          <w:szCs w:val="24"/>
        </w:rPr>
        <w:t>，其原因為保發中心所提供的火險賠款率統計總表就是採用意外年度制來計算，</w:t>
      </w:r>
      <w:r w:rsidR="00AB7A15" w:rsidRPr="002F006C">
        <w:rPr>
          <w:rFonts w:ascii="標楷體" w:eastAsia="標楷體" w:hAnsi="標楷體" w:hint="eastAsia"/>
          <w:color w:val="000000"/>
          <w:szCs w:val="24"/>
        </w:rPr>
        <w:t>其他方式所對應的相關資料無法單就保發中心所提供的資料獲取，此外，由於</w:t>
      </w:r>
      <w:r w:rsidR="005E0E58" w:rsidRPr="002F006C">
        <w:rPr>
          <w:rFonts w:ascii="標楷體" w:eastAsia="標楷體" w:hAnsi="標楷體" w:hint="eastAsia"/>
          <w:color w:val="000000"/>
          <w:szCs w:val="24"/>
        </w:rPr>
        <w:t>每年度火險賠款率僅提供包含該年度前三年的當年簽單保費、滿期保費、已發生賠款和損失率，而無從得知未決賠款和賠款責任的計算方式，</w:t>
      </w:r>
      <w:r w:rsidR="00106803" w:rsidRPr="002F006C">
        <w:rPr>
          <w:rFonts w:ascii="標楷體" w:eastAsia="標楷體" w:hAnsi="標楷體" w:hint="eastAsia"/>
          <w:color w:val="000000"/>
          <w:szCs w:val="24"/>
        </w:rPr>
        <w:t>甚至可以從各年度統整資料發現，在2000年到2005年間該年簽單保費、滿期保費有經常隨報表發布年度變化而有所不同的現象，</w:t>
      </w:r>
      <w:r w:rsidR="005E0E58" w:rsidRPr="002F006C">
        <w:rPr>
          <w:rFonts w:ascii="標楷體" w:eastAsia="標楷體" w:hAnsi="標楷體" w:hint="eastAsia"/>
          <w:color w:val="000000"/>
          <w:szCs w:val="24"/>
        </w:rPr>
        <w:t>因此，我採用最新年度揭露的該年保險賠款率來做分析，以2003年賠款率來說，我會以2005年所揭露的2003年資料來做為2003年資料的分析而非使用該年度的賠款率來做分析，這樣可以盡可能減少無法得知未決賠款和賠款責任所造成的影響，使資料更趨於準確，另外，由於2021尚未結束，無法得到2021年火險賠款率統計總表，因此選擇2020年度火險賠款率統計總表所揭露的2019年</w:t>
      </w:r>
      <w:r w:rsidR="00AB7A15" w:rsidRPr="002F006C">
        <w:rPr>
          <w:rFonts w:ascii="標楷體" w:eastAsia="標楷體" w:hAnsi="標楷體" w:hint="eastAsia"/>
          <w:color w:val="000000"/>
          <w:szCs w:val="24"/>
        </w:rPr>
        <w:t>火險賠款率統計總表作為2019年分析的依據</w:t>
      </w:r>
      <w:r w:rsidR="00EB0198" w:rsidRPr="002F006C">
        <w:rPr>
          <w:rFonts w:ascii="標楷體" w:eastAsia="標楷體" w:hAnsi="標楷體" w:hint="eastAsia"/>
          <w:color w:val="000000"/>
          <w:szCs w:val="24"/>
        </w:rPr>
        <w:t>。</w:t>
      </w:r>
    </w:p>
    <w:p w14:paraId="1A783890" w14:textId="7745791A" w:rsidR="00EB0198" w:rsidRPr="002F006C" w:rsidRDefault="00EB0198" w:rsidP="00E16F37">
      <w:pPr>
        <w:ind w:firstLine="360"/>
        <w:rPr>
          <w:rFonts w:ascii="標楷體" w:eastAsia="標楷體" w:hAnsi="標楷體"/>
          <w:color w:val="000000"/>
          <w:szCs w:val="24"/>
        </w:rPr>
      </w:pPr>
      <w:r w:rsidRPr="002F006C">
        <w:rPr>
          <w:rFonts w:ascii="標楷體" w:eastAsia="標楷體" w:hAnsi="標楷體" w:hint="eastAsia"/>
          <w:color w:val="000000"/>
          <w:szCs w:val="24"/>
        </w:rPr>
        <w:t>分析是否可能有underwriting cycle</w:t>
      </w:r>
      <w:r w:rsidR="006330BD" w:rsidRPr="002F006C">
        <w:rPr>
          <w:rFonts w:ascii="標楷體" w:eastAsia="標楷體" w:hAnsi="標楷體" w:hint="eastAsia"/>
          <w:color w:val="000000"/>
          <w:szCs w:val="24"/>
        </w:rPr>
        <w:t>的研究流程</w:t>
      </w:r>
      <w:r w:rsidRPr="002F006C">
        <w:rPr>
          <w:rFonts w:ascii="標楷體" w:eastAsia="標楷體" w:hAnsi="標楷體" w:hint="eastAsia"/>
          <w:color w:val="000000"/>
          <w:szCs w:val="24"/>
        </w:rPr>
        <w:t>則參考台灣商業個人健康保險之核保循環：二階自我迴歸與馬可夫轉換模型這篇論文所使用的分析流程架構</w:t>
      </w:r>
      <w:r w:rsidR="006330BD" w:rsidRPr="002F006C">
        <w:rPr>
          <w:rFonts w:ascii="標楷體" w:eastAsia="標楷體" w:hAnsi="標楷體" w:hint="eastAsia"/>
          <w:color w:val="000000"/>
          <w:szCs w:val="24"/>
        </w:rPr>
        <w:t>經</w:t>
      </w:r>
      <w:r w:rsidRPr="002F006C">
        <w:rPr>
          <w:rFonts w:ascii="標楷體" w:eastAsia="標楷體" w:hAnsi="標楷體" w:hint="eastAsia"/>
          <w:color w:val="000000"/>
          <w:szCs w:val="24"/>
        </w:rPr>
        <w:t>簡化而成，</w:t>
      </w:r>
      <w:r w:rsidR="006330BD" w:rsidRPr="002F006C">
        <w:rPr>
          <w:rFonts w:ascii="標楷體" w:eastAsia="標楷體" w:hAnsi="標楷體" w:hint="eastAsia"/>
          <w:color w:val="000000"/>
          <w:szCs w:val="24"/>
        </w:rPr>
        <w:t>由於造成核保循環的原因至少可歸納出五種假說</w:t>
      </w:r>
      <w:r w:rsidR="006330BD" w:rsidRPr="002F006C">
        <w:rPr>
          <w:rFonts w:ascii="標楷體" w:eastAsia="標楷體" w:hAnsi="標楷體"/>
          <w:szCs w:val="24"/>
        </w:rPr>
        <w:t>(Fung et al., 1998)</w:t>
      </w:r>
      <w:r w:rsidR="006330BD" w:rsidRPr="002F006C">
        <w:rPr>
          <w:rFonts w:ascii="標楷體" w:eastAsia="標楷體" w:hAnsi="標楷體" w:hint="eastAsia"/>
          <w:szCs w:val="24"/>
        </w:rPr>
        <w:t>，其分別是</w:t>
      </w:r>
      <w:r w:rsidR="006330BD" w:rsidRPr="002F006C">
        <w:rPr>
          <w:rFonts w:ascii="標楷體" w:eastAsia="標楷體" w:hAnsi="標楷體"/>
          <w:szCs w:val="24"/>
        </w:rPr>
        <w:t xml:space="preserve">外插法假說 (Extrapolation Hypothesis, </w:t>
      </w:r>
      <w:proofErr w:type="spellStart"/>
      <w:r w:rsidR="006330BD" w:rsidRPr="002F006C">
        <w:rPr>
          <w:rFonts w:ascii="標楷體" w:eastAsia="標楷體" w:hAnsi="標楷體"/>
          <w:szCs w:val="24"/>
        </w:rPr>
        <w:t>Venezian</w:t>
      </w:r>
      <w:proofErr w:type="spellEnd"/>
      <w:r w:rsidR="006330BD" w:rsidRPr="002F006C">
        <w:rPr>
          <w:rFonts w:ascii="標楷體" w:eastAsia="標楷體" w:hAnsi="標楷體"/>
          <w:szCs w:val="24"/>
        </w:rPr>
        <w:t>, 1985)、理性預期 / 制度干預假說 (Rational</w:t>
      </w:r>
      <w:r w:rsidR="006330BD" w:rsidRPr="002F006C">
        <w:rPr>
          <w:rFonts w:ascii="標楷體" w:eastAsia="標楷體" w:hAnsi="標楷體" w:hint="eastAsia"/>
          <w:szCs w:val="24"/>
        </w:rPr>
        <w:t xml:space="preserve"> </w:t>
      </w:r>
      <w:r w:rsidR="006330BD" w:rsidRPr="002F006C">
        <w:rPr>
          <w:rFonts w:ascii="標楷體" w:eastAsia="標楷體" w:hAnsi="標楷體"/>
          <w:szCs w:val="24"/>
        </w:rPr>
        <w:t xml:space="preserve">Expectations/Institutional Intervention Hypothesis, Cummins &amp; </w:t>
      </w:r>
      <w:proofErr w:type="spellStart"/>
      <w:r w:rsidR="006330BD" w:rsidRPr="002F006C">
        <w:rPr>
          <w:rFonts w:ascii="標楷體" w:eastAsia="標楷體" w:hAnsi="標楷體"/>
          <w:szCs w:val="24"/>
        </w:rPr>
        <w:t>Outreville</w:t>
      </w:r>
      <w:proofErr w:type="spellEnd"/>
      <w:r w:rsidR="006330BD" w:rsidRPr="002F006C">
        <w:rPr>
          <w:rFonts w:ascii="標楷體" w:eastAsia="標楷體" w:hAnsi="標楷體"/>
          <w:szCs w:val="24"/>
        </w:rPr>
        <w:t>, 1987)、</w:t>
      </w:r>
      <w:r w:rsidR="006330BD" w:rsidRPr="002F006C">
        <w:rPr>
          <w:rFonts w:ascii="標楷體" w:eastAsia="標楷體" w:hAnsi="標楷體"/>
          <w:szCs w:val="24"/>
        </w:rPr>
        <w:lastRenderedPageBreak/>
        <w:t xml:space="preserve">利率變動假說 (Fluctuation in Interest Rates Hypothesis, Doherty &amp; Kang, 1988; Doherty &amp; </w:t>
      </w:r>
      <w:proofErr w:type="spellStart"/>
      <w:r w:rsidR="006330BD" w:rsidRPr="002F006C">
        <w:rPr>
          <w:rFonts w:ascii="標楷體" w:eastAsia="標楷體" w:hAnsi="標楷體"/>
          <w:szCs w:val="24"/>
        </w:rPr>
        <w:t>Garven</w:t>
      </w:r>
      <w:proofErr w:type="spellEnd"/>
      <w:r w:rsidR="006330BD" w:rsidRPr="002F006C">
        <w:rPr>
          <w:rFonts w:ascii="標楷體" w:eastAsia="標楷體" w:hAnsi="標楷體"/>
          <w:szCs w:val="24"/>
        </w:rPr>
        <w:t xml:space="preserve">, 1995)、資本限制假說 (Capacity Constraint Hypothesis, Winter, 1988, 1991; Cummins &amp; </w:t>
      </w:r>
      <w:proofErr w:type="spellStart"/>
      <w:r w:rsidR="006330BD" w:rsidRPr="002F006C">
        <w:rPr>
          <w:rFonts w:ascii="標楷體" w:eastAsia="標楷體" w:hAnsi="標楷體"/>
          <w:szCs w:val="24"/>
        </w:rPr>
        <w:t>Danzon</w:t>
      </w:r>
      <w:proofErr w:type="spellEnd"/>
      <w:r w:rsidR="006330BD" w:rsidRPr="002F006C">
        <w:rPr>
          <w:rFonts w:ascii="標楷體" w:eastAsia="標楷體" w:hAnsi="標楷體"/>
          <w:szCs w:val="24"/>
        </w:rPr>
        <w:t xml:space="preserve">, 1991; </w:t>
      </w:r>
      <w:proofErr w:type="spellStart"/>
      <w:r w:rsidR="006330BD" w:rsidRPr="002F006C">
        <w:rPr>
          <w:rFonts w:ascii="標楷體" w:eastAsia="標楷體" w:hAnsi="標楷體"/>
          <w:szCs w:val="24"/>
        </w:rPr>
        <w:t>Gron</w:t>
      </w:r>
      <w:proofErr w:type="spellEnd"/>
      <w:r w:rsidR="006330BD" w:rsidRPr="002F006C">
        <w:rPr>
          <w:rFonts w:ascii="標楷體" w:eastAsia="標楷體" w:hAnsi="標楷體"/>
          <w:szCs w:val="24"/>
        </w:rPr>
        <w:t>, 1994a)</w:t>
      </w:r>
      <w:r w:rsidR="006330BD" w:rsidRPr="002F006C">
        <w:rPr>
          <w:rFonts w:ascii="標楷體" w:eastAsia="標楷體" w:hAnsi="標楷體" w:hint="eastAsia"/>
          <w:szCs w:val="24"/>
        </w:rPr>
        <w:t>，另外還有</w:t>
      </w:r>
      <w:r w:rsidR="006330BD" w:rsidRPr="002F006C">
        <w:rPr>
          <w:rFonts w:ascii="標楷體" w:eastAsia="標楷體" w:hAnsi="標楷體"/>
          <w:szCs w:val="24"/>
        </w:rPr>
        <w:t>Lai 與 Witt (1990, 1992)</w:t>
      </w:r>
      <w:r w:rsidR="006330BD" w:rsidRPr="002F006C">
        <w:rPr>
          <w:rFonts w:ascii="標楷體" w:eastAsia="標楷體" w:hAnsi="標楷體" w:hint="eastAsia"/>
          <w:szCs w:val="24"/>
        </w:rPr>
        <w:t>所提出的預期變動假說</w:t>
      </w:r>
      <w:r w:rsidR="006330BD" w:rsidRPr="002F006C">
        <w:rPr>
          <w:rFonts w:ascii="標楷體" w:eastAsia="標楷體" w:hAnsi="標楷體"/>
          <w:szCs w:val="24"/>
        </w:rPr>
        <w:t>(Change in Expectations Hypothesis)</w:t>
      </w:r>
      <w:r w:rsidR="006330BD" w:rsidRPr="002F006C">
        <w:rPr>
          <w:rFonts w:ascii="標楷體" w:eastAsia="標楷體" w:hAnsi="標楷體" w:hint="eastAsia"/>
          <w:szCs w:val="24"/>
        </w:rPr>
        <w:t>，在此簡述一下以上所提各假說的假設跟實證，</w:t>
      </w:r>
      <w:r w:rsidR="00C54889" w:rsidRPr="002F006C">
        <w:rPr>
          <w:rFonts w:ascii="標楷體" w:eastAsia="標楷體" w:hAnsi="標楷體" w:hint="eastAsia"/>
          <w:szCs w:val="24"/>
        </w:rPr>
        <w:t>外插法認為核保循環是因保險人僅使用過去損益來定保費所導致的商品定價誤差，未來損失估計誤差與過去損失有所關聯，可用過去損失解釋當期保費</w:t>
      </w:r>
      <w:r w:rsidR="00C54889" w:rsidRPr="002F006C">
        <w:rPr>
          <w:rFonts w:ascii="標楷體" w:eastAsia="標楷體" w:hAnsi="標楷體"/>
        </w:rPr>
        <w:t>(Niehaus &amp; Terry, 1993)</w:t>
      </w:r>
      <w:r w:rsidR="00C54889" w:rsidRPr="002F006C">
        <w:rPr>
          <w:rFonts w:ascii="標楷體" w:eastAsia="標楷體" w:hAnsi="標楷體" w:hint="eastAsia"/>
        </w:rPr>
        <w:t>，</w:t>
      </w:r>
      <w:r w:rsidR="00C54889" w:rsidRPr="002F006C">
        <w:rPr>
          <w:rFonts w:ascii="標楷體" w:eastAsia="標楷體" w:hAnsi="標楷體" w:hint="eastAsia"/>
          <w:szCs w:val="24"/>
        </w:rPr>
        <w:t>理性預期獲致度干預假說則除了強調過去統計資料定價的偏差外，還提出資料整理和發布會計報表間的延遲，政府對於定價和監理規範的僵固性等外部因素對保險市場的干擾，</w:t>
      </w:r>
      <w:r w:rsidR="00C54889" w:rsidRPr="002F006C">
        <w:rPr>
          <w:rFonts w:ascii="標楷體" w:eastAsia="標楷體" w:hAnsi="標楷體" w:hint="eastAsia"/>
          <w:color w:val="000000"/>
          <w:szCs w:val="24"/>
        </w:rPr>
        <w:t xml:space="preserve"> </w:t>
      </w:r>
      <w:r w:rsidR="004C30D4" w:rsidRPr="002F006C">
        <w:rPr>
          <w:rFonts w:ascii="標楷體" w:eastAsia="標楷體" w:hAnsi="標楷體" w:hint="eastAsia"/>
          <w:color w:val="000000"/>
          <w:szCs w:val="24"/>
        </w:rPr>
        <w:t>利率變動假說著墨在利率與保費的反向關係，亦即核保利潤與保費的負向關係，資本限制假說假設核保循環的出現為保險公司資本不足，由於資本限制造成資本少保險公司減少保險供給，造成保費價格上升的現象，因此此一假說主要是用來證明核保利潤與資本盈餘間是否存在負向關係，預期變動假說提出保費定價模型除受純保費影響外也有考慮</w:t>
      </w:r>
      <w:r w:rsidR="009534B3" w:rsidRPr="002F006C">
        <w:rPr>
          <w:rFonts w:ascii="標楷體" w:eastAsia="標楷體" w:hAnsi="標楷體" w:hint="eastAsia"/>
          <w:color w:val="000000"/>
          <w:szCs w:val="24"/>
        </w:rPr>
        <w:t>附加費用變動影響，因保險公司提高對未來利率與損失不確定性的恐懼而導致保費上調的現象，保費對利率及損失的不確定性呈現正向關係。</w:t>
      </w:r>
    </w:p>
    <w:p w14:paraId="3F43D15B" w14:textId="59EAC19F" w:rsidR="009534B3" w:rsidRPr="002F006C" w:rsidRDefault="00520EC8" w:rsidP="00E16F37">
      <w:pPr>
        <w:ind w:firstLine="360"/>
        <w:rPr>
          <w:rFonts w:ascii="標楷體" w:eastAsia="標楷體" w:hAnsi="標楷體"/>
          <w:szCs w:val="24"/>
        </w:rPr>
      </w:pPr>
      <w:r w:rsidRPr="002F006C">
        <w:rPr>
          <w:rFonts w:ascii="標楷體" w:eastAsia="標楷體" w:hAnsi="標楷體" w:hint="eastAsia"/>
          <w:color w:val="000000"/>
          <w:szCs w:val="24"/>
        </w:rPr>
        <w:t>本次研究採用</w:t>
      </w:r>
      <w:r w:rsidRPr="002F006C">
        <w:rPr>
          <w:rFonts w:ascii="標楷體" w:eastAsia="標楷體" w:hAnsi="標楷體"/>
          <w:szCs w:val="24"/>
        </w:rPr>
        <w:t>外插法假說</w:t>
      </w:r>
      <w:r w:rsidR="00D43421" w:rsidRPr="002F006C">
        <w:rPr>
          <w:rFonts w:ascii="標楷體" w:eastAsia="標楷體" w:hAnsi="標楷體" w:hint="eastAsia"/>
          <w:szCs w:val="24"/>
        </w:rPr>
        <w:t>，</w:t>
      </w:r>
      <w:r w:rsidR="00181788" w:rsidRPr="002F006C">
        <w:rPr>
          <w:rFonts w:ascii="標楷體" w:eastAsia="標楷體" w:hAnsi="標楷體" w:hint="eastAsia"/>
          <w:szCs w:val="24"/>
        </w:rPr>
        <w:t>以</w:t>
      </w:r>
      <w:r w:rsidR="00D43421" w:rsidRPr="002F006C">
        <w:rPr>
          <w:rFonts w:ascii="標楷體" w:eastAsia="標楷體" w:hAnsi="標楷體" w:hint="eastAsia"/>
          <w:szCs w:val="24"/>
        </w:rPr>
        <w:t>損失率變化的檢定來判斷火險市場是否具有核保循環，</w:t>
      </w:r>
      <w:r w:rsidR="00181788" w:rsidRPr="002F006C">
        <w:rPr>
          <w:rFonts w:ascii="標楷體" w:eastAsia="標楷體" w:hAnsi="標楷體" w:hint="eastAsia"/>
          <w:szCs w:val="24"/>
        </w:rPr>
        <w:t>其步驟為</w:t>
      </w:r>
      <w:r w:rsidR="00181788" w:rsidRPr="004A797E">
        <w:rPr>
          <w:rFonts w:ascii="標楷體" w:eastAsia="標楷體" w:hAnsi="標楷體" w:hint="eastAsia"/>
          <w:b/>
          <w:bCs/>
          <w:color w:val="1F497D" w:themeColor="text2"/>
          <w:szCs w:val="24"/>
          <w:u w:val="single"/>
        </w:rPr>
        <w:t>先檢視</w:t>
      </w:r>
      <w:r w:rsidR="00181788" w:rsidRPr="002F006C">
        <w:rPr>
          <w:rFonts w:ascii="標楷體" w:eastAsia="標楷體" w:hAnsi="標楷體" w:hint="eastAsia"/>
          <w:szCs w:val="24"/>
        </w:rPr>
        <w:t>資料各項變數的描述性統計，</w:t>
      </w:r>
      <w:r w:rsidR="00181788" w:rsidRPr="004A797E">
        <w:rPr>
          <w:rFonts w:ascii="標楷體" w:eastAsia="標楷體" w:hAnsi="標楷體" w:hint="eastAsia"/>
          <w:b/>
          <w:bCs/>
          <w:color w:val="1F497D" w:themeColor="text2"/>
          <w:szCs w:val="24"/>
          <w:u w:val="single"/>
        </w:rPr>
        <w:t>再用ADF跟PP</w:t>
      </w:r>
      <w:r w:rsidR="00181788" w:rsidRPr="002F006C">
        <w:rPr>
          <w:rFonts w:ascii="標楷體" w:eastAsia="標楷體" w:hAnsi="標楷體" w:hint="eastAsia"/>
          <w:szCs w:val="24"/>
        </w:rPr>
        <w:t>分別對損失率做單根檢定，若兩者檢定不一致，使用</w:t>
      </w:r>
      <w:proofErr w:type="spellStart"/>
      <w:r w:rsidR="00181788" w:rsidRPr="004A797E">
        <w:rPr>
          <w:rFonts w:ascii="標楷體" w:eastAsia="標楷體" w:hAnsi="標楷體" w:hint="eastAsia"/>
          <w:b/>
          <w:bCs/>
          <w:color w:val="1F497D" w:themeColor="text2"/>
          <w:szCs w:val="24"/>
          <w:u w:val="single"/>
        </w:rPr>
        <w:t>Z</w:t>
      </w:r>
      <w:r w:rsidR="00181788" w:rsidRPr="004A797E">
        <w:rPr>
          <w:rFonts w:ascii="標楷體" w:eastAsia="標楷體" w:hAnsi="標楷體"/>
          <w:b/>
          <w:bCs/>
          <w:color w:val="1F497D" w:themeColor="text2"/>
          <w:szCs w:val="24"/>
          <w:u w:val="single"/>
        </w:rPr>
        <w:t>ivot</w:t>
      </w:r>
      <w:proofErr w:type="spellEnd"/>
      <w:r w:rsidR="00181788" w:rsidRPr="004A797E">
        <w:rPr>
          <w:rFonts w:ascii="標楷體" w:eastAsia="標楷體" w:hAnsi="標楷體" w:hint="eastAsia"/>
          <w:b/>
          <w:bCs/>
          <w:color w:val="1F497D" w:themeColor="text2"/>
          <w:szCs w:val="24"/>
          <w:u w:val="single"/>
        </w:rPr>
        <w:t>與An</w:t>
      </w:r>
      <w:r w:rsidR="00181788" w:rsidRPr="004A797E">
        <w:rPr>
          <w:rFonts w:ascii="標楷體" w:eastAsia="標楷體" w:hAnsi="標楷體"/>
          <w:b/>
          <w:bCs/>
          <w:color w:val="1F497D" w:themeColor="text2"/>
          <w:szCs w:val="24"/>
          <w:u w:val="single"/>
        </w:rPr>
        <w:t>drews</w:t>
      </w:r>
      <w:r w:rsidR="00181788" w:rsidRPr="002F006C">
        <w:rPr>
          <w:rFonts w:ascii="標楷體" w:eastAsia="標楷體" w:hAnsi="標楷體" w:hint="eastAsia"/>
          <w:szCs w:val="24"/>
        </w:rPr>
        <w:t>結構轉變單根檢定判斷單根是否由結構轉變的穩定數列引起，並以此找出結構轉變時間點，並以此把母體切割成多個子樣本，分別帶入</w:t>
      </w:r>
      <w:r w:rsidR="00181788" w:rsidRPr="004A797E">
        <w:rPr>
          <w:rFonts w:ascii="標楷體" w:eastAsia="標楷體" w:hAnsi="標楷體" w:hint="eastAsia"/>
          <w:b/>
          <w:bCs/>
          <w:color w:val="1F497D" w:themeColor="text2"/>
          <w:szCs w:val="24"/>
          <w:u w:val="single"/>
        </w:rPr>
        <w:t>二階自我迴歸</w:t>
      </w:r>
      <w:r w:rsidR="00181788" w:rsidRPr="002F006C">
        <w:rPr>
          <w:rFonts w:ascii="標楷體" w:eastAsia="標楷體" w:hAnsi="標楷體" w:hint="eastAsia"/>
          <w:szCs w:val="24"/>
        </w:rPr>
        <w:t>檢定子樣本是否具有核保循環，</w:t>
      </w:r>
      <w:r w:rsidR="00C6664B" w:rsidRPr="002F006C">
        <w:rPr>
          <w:rFonts w:ascii="標楷體" w:eastAsia="標楷體" w:hAnsi="標楷體" w:hint="eastAsia"/>
          <w:szCs w:val="24"/>
        </w:rPr>
        <w:t>最後</w:t>
      </w:r>
      <w:r w:rsidR="00C6664B" w:rsidRPr="004A797E">
        <w:rPr>
          <w:rFonts w:ascii="標楷體" w:eastAsia="標楷體" w:hAnsi="標楷體" w:hint="eastAsia"/>
          <w:b/>
          <w:bCs/>
          <w:color w:val="1F497D" w:themeColor="text2"/>
          <w:szCs w:val="24"/>
          <w:u w:val="single"/>
        </w:rPr>
        <w:t>再用馬可夫轉換模型</w:t>
      </w:r>
      <w:r w:rsidR="00C6664B" w:rsidRPr="002F006C">
        <w:rPr>
          <w:rFonts w:ascii="標楷體" w:eastAsia="標楷體" w:hAnsi="標楷體" w:hint="eastAsia"/>
          <w:szCs w:val="24"/>
        </w:rPr>
        <w:t>判別整體模型軟硬市場轉換跟核保週期長度。</w:t>
      </w:r>
    </w:p>
    <w:p w14:paraId="1E12D7A4" w14:textId="46115956" w:rsidR="00C6664B" w:rsidRPr="002F006C" w:rsidRDefault="008B240B" w:rsidP="00E16F37">
      <w:pPr>
        <w:ind w:firstLine="360"/>
        <w:rPr>
          <w:rFonts w:ascii="標楷體" w:eastAsia="標楷體" w:hAnsi="標楷體"/>
          <w:color w:val="000000"/>
          <w:szCs w:val="24"/>
        </w:rPr>
      </w:pPr>
      <w:r w:rsidRPr="002F006C">
        <w:rPr>
          <w:rFonts w:ascii="標楷體" w:eastAsia="標楷體" w:hAnsi="標楷體" w:hint="eastAsia"/>
          <w:color w:val="000000"/>
          <w:szCs w:val="24"/>
        </w:rPr>
        <w:t>首先，各項變數資料檢視如下(表一)，可以看到各項變數的分配跟變化程度</w:t>
      </w:r>
    </w:p>
    <w:tbl>
      <w:tblPr>
        <w:tblW w:w="8634" w:type="dxa"/>
        <w:tblCellMar>
          <w:left w:w="28" w:type="dxa"/>
          <w:right w:w="28" w:type="dxa"/>
        </w:tblCellMar>
        <w:tblLook w:val="04A0" w:firstRow="1" w:lastRow="0" w:firstColumn="1" w:lastColumn="0" w:noHBand="0" w:noVBand="1"/>
      </w:tblPr>
      <w:tblGrid>
        <w:gridCol w:w="1927"/>
        <w:gridCol w:w="1927"/>
        <w:gridCol w:w="1634"/>
        <w:gridCol w:w="1609"/>
        <w:gridCol w:w="1537"/>
      </w:tblGrid>
      <w:tr w:rsidR="008B240B" w:rsidRPr="002F006C" w14:paraId="75375FA1" w14:textId="77777777" w:rsidTr="008B240B">
        <w:trPr>
          <w:trHeight w:val="221"/>
        </w:trPr>
        <w:tc>
          <w:tcPr>
            <w:tcW w:w="19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1CD75" w14:textId="77777777" w:rsidR="008B240B" w:rsidRPr="002F006C" w:rsidRDefault="008B240B" w:rsidP="008B240B">
            <w:pPr>
              <w:widowControl/>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 xml:space="preserve">　</w:t>
            </w:r>
          </w:p>
        </w:tc>
        <w:tc>
          <w:tcPr>
            <w:tcW w:w="1927" w:type="dxa"/>
            <w:tcBorders>
              <w:top w:val="single" w:sz="4" w:space="0" w:color="auto"/>
              <w:left w:val="nil"/>
              <w:bottom w:val="single" w:sz="4" w:space="0" w:color="auto"/>
              <w:right w:val="single" w:sz="4" w:space="0" w:color="auto"/>
            </w:tcBorders>
            <w:shd w:val="clear" w:color="auto" w:fill="auto"/>
            <w:noWrap/>
            <w:hideMark/>
          </w:tcPr>
          <w:p w14:paraId="4663E396"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當年簽單保費</w:t>
            </w:r>
          </w:p>
        </w:tc>
        <w:tc>
          <w:tcPr>
            <w:tcW w:w="1634" w:type="dxa"/>
            <w:tcBorders>
              <w:top w:val="single" w:sz="4" w:space="0" w:color="auto"/>
              <w:left w:val="nil"/>
              <w:bottom w:val="single" w:sz="4" w:space="0" w:color="auto"/>
              <w:right w:val="single" w:sz="4" w:space="0" w:color="auto"/>
            </w:tcBorders>
            <w:shd w:val="clear" w:color="auto" w:fill="auto"/>
            <w:noWrap/>
            <w:hideMark/>
          </w:tcPr>
          <w:p w14:paraId="011EC26B"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滿期保費</w:t>
            </w:r>
          </w:p>
        </w:tc>
        <w:tc>
          <w:tcPr>
            <w:tcW w:w="1609" w:type="dxa"/>
            <w:tcBorders>
              <w:top w:val="single" w:sz="4" w:space="0" w:color="auto"/>
              <w:left w:val="nil"/>
              <w:bottom w:val="single" w:sz="4" w:space="0" w:color="auto"/>
              <w:right w:val="single" w:sz="4" w:space="0" w:color="auto"/>
            </w:tcBorders>
            <w:shd w:val="clear" w:color="auto" w:fill="auto"/>
            <w:noWrap/>
            <w:hideMark/>
          </w:tcPr>
          <w:p w14:paraId="14153CF2"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已發生賠款</w:t>
            </w:r>
          </w:p>
        </w:tc>
        <w:tc>
          <w:tcPr>
            <w:tcW w:w="1537" w:type="dxa"/>
            <w:tcBorders>
              <w:top w:val="single" w:sz="4" w:space="0" w:color="auto"/>
              <w:left w:val="nil"/>
              <w:bottom w:val="single" w:sz="4" w:space="0" w:color="auto"/>
              <w:right w:val="single" w:sz="4" w:space="0" w:color="auto"/>
            </w:tcBorders>
            <w:shd w:val="clear" w:color="auto" w:fill="auto"/>
            <w:noWrap/>
            <w:hideMark/>
          </w:tcPr>
          <w:p w14:paraId="0DCFBAA1"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損失率</w:t>
            </w:r>
          </w:p>
        </w:tc>
      </w:tr>
      <w:tr w:rsidR="008B240B" w:rsidRPr="002F006C" w14:paraId="515EAC00"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685CA154"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總數</w:t>
            </w:r>
          </w:p>
        </w:tc>
        <w:tc>
          <w:tcPr>
            <w:tcW w:w="1927" w:type="dxa"/>
            <w:tcBorders>
              <w:top w:val="nil"/>
              <w:left w:val="nil"/>
              <w:bottom w:val="single" w:sz="4" w:space="0" w:color="auto"/>
              <w:right w:val="single" w:sz="4" w:space="0" w:color="auto"/>
            </w:tcBorders>
            <w:shd w:val="clear" w:color="auto" w:fill="auto"/>
            <w:noWrap/>
            <w:vAlign w:val="bottom"/>
            <w:hideMark/>
          </w:tcPr>
          <w:p w14:paraId="44A60315"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w:t>
            </w:r>
          </w:p>
        </w:tc>
        <w:tc>
          <w:tcPr>
            <w:tcW w:w="1634" w:type="dxa"/>
            <w:tcBorders>
              <w:top w:val="nil"/>
              <w:left w:val="nil"/>
              <w:bottom w:val="single" w:sz="4" w:space="0" w:color="auto"/>
              <w:right w:val="single" w:sz="4" w:space="0" w:color="auto"/>
            </w:tcBorders>
            <w:shd w:val="clear" w:color="auto" w:fill="auto"/>
            <w:noWrap/>
            <w:vAlign w:val="bottom"/>
            <w:hideMark/>
          </w:tcPr>
          <w:p w14:paraId="2FD1283A"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w:t>
            </w:r>
          </w:p>
        </w:tc>
        <w:tc>
          <w:tcPr>
            <w:tcW w:w="1609" w:type="dxa"/>
            <w:tcBorders>
              <w:top w:val="nil"/>
              <w:left w:val="nil"/>
              <w:bottom w:val="single" w:sz="4" w:space="0" w:color="auto"/>
              <w:right w:val="single" w:sz="4" w:space="0" w:color="auto"/>
            </w:tcBorders>
            <w:shd w:val="clear" w:color="auto" w:fill="auto"/>
            <w:noWrap/>
            <w:vAlign w:val="bottom"/>
            <w:hideMark/>
          </w:tcPr>
          <w:p w14:paraId="06010C9F"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w:t>
            </w:r>
          </w:p>
        </w:tc>
        <w:tc>
          <w:tcPr>
            <w:tcW w:w="1537" w:type="dxa"/>
            <w:tcBorders>
              <w:top w:val="nil"/>
              <w:left w:val="nil"/>
              <w:bottom w:val="single" w:sz="4" w:space="0" w:color="auto"/>
              <w:right w:val="single" w:sz="4" w:space="0" w:color="auto"/>
            </w:tcBorders>
            <w:shd w:val="clear" w:color="auto" w:fill="auto"/>
            <w:noWrap/>
            <w:vAlign w:val="bottom"/>
            <w:hideMark/>
          </w:tcPr>
          <w:p w14:paraId="714DD12D"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w:t>
            </w:r>
          </w:p>
        </w:tc>
      </w:tr>
      <w:tr w:rsidR="008B240B" w:rsidRPr="002F006C" w14:paraId="1EDE86BE"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37F95132"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最小值</w:t>
            </w:r>
          </w:p>
        </w:tc>
        <w:tc>
          <w:tcPr>
            <w:tcW w:w="1927" w:type="dxa"/>
            <w:tcBorders>
              <w:top w:val="nil"/>
              <w:left w:val="nil"/>
              <w:bottom w:val="single" w:sz="4" w:space="0" w:color="auto"/>
              <w:right w:val="single" w:sz="4" w:space="0" w:color="auto"/>
            </w:tcBorders>
            <w:shd w:val="clear" w:color="auto" w:fill="auto"/>
            <w:noWrap/>
            <w:vAlign w:val="bottom"/>
            <w:hideMark/>
          </w:tcPr>
          <w:p w14:paraId="72ACB2CB"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10635143916</w:t>
            </w:r>
          </w:p>
        </w:tc>
        <w:tc>
          <w:tcPr>
            <w:tcW w:w="1634" w:type="dxa"/>
            <w:tcBorders>
              <w:top w:val="nil"/>
              <w:left w:val="nil"/>
              <w:bottom w:val="single" w:sz="4" w:space="0" w:color="auto"/>
              <w:right w:val="single" w:sz="4" w:space="0" w:color="auto"/>
            </w:tcBorders>
            <w:shd w:val="clear" w:color="auto" w:fill="auto"/>
            <w:noWrap/>
            <w:vAlign w:val="bottom"/>
            <w:hideMark/>
          </w:tcPr>
          <w:p w14:paraId="66540876"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10090205387</w:t>
            </w:r>
          </w:p>
        </w:tc>
        <w:tc>
          <w:tcPr>
            <w:tcW w:w="1609" w:type="dxa"/>
            <w:tcBorders>
              <w:top w:val="nil"/>
              <w:left w:val="nil"/>
              <w:bottom w:val="single" w:sz="4" w:space="0" w:color="auto"/>
              <w:right w:val="single" w:sz="4" w:space="0" w:color="auto"/>
            </w:tcBorders>
            <w:shd w:val="clear" w:color="auto" w:fill="auto"/>
            <w:noWrap/>
            <w:vAlign w:val="bottom"/>
            <w:hideMark/>
          </w:tcPr>
          <w:p w14:paraId="40D5744E"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3032008484</w:t>
            </w:r>
          </w:p>
        </w:tc>
        <w:tc>
          <w:tcPr>
            <w:tcW w:w="1537" w:type="dxa"/>
            <w:tcBorders>
              <w:top w:val="nil"/>
              <w:left w:val="nil"/>
              <w:bottom w:val="single" w:sz="4" w:space="0" w:color="auto"/>
              <w:right w:val="single" w:sz="4" w:space="0" w:color="auto"/>
            </w:tcBorders>
            <w:shd w:val="clear" w:color="auto" w:fill="auto"/>
            <w:noWrap/>
            <w:vAlign w:val="bottom"/>
            <w:hideMark/>
          </w:tcPr>
          <w:p w14:paraId="57DB9B38"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0.12128344</w:t>
            </w:r>
          </w:p>
        </w:tc>
      </w:tr>
      <w:tr w:rsidR="008B240B" w:rsidRPr="002F006C" w14:paraId="76B7748D"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59E3E0DE"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最小值位置</w:t>
            </w:r>
          </w:p>
        </w:tc>
        <w:tc>
          <w:tcPr>
            <w:tcW w:w="1927" w:type="dxa"/>
            <w:tcBorders>
              <w:top w:val="nil"/>
              <w:left w:val="nil"/>
              <w:bottom w:val="single" w:sz="4" w:space="0" w:color="auto"/>
              <w:right w:val="single" w:sz="4" w:space="0" w:color="auto"/>
            </w:tcBorders>
            <w:shd w:val="clear" w:color="auto" w:fill="auto"/>
            <w:noWrap/>
            <w:vAlign w:val="bottom"/>
            <w:hideMark/>
          </w:tcPr>
          <w:p w14:paraId="1636872F"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2000 年</w:t>
            </w:r>
          </w:p>
        </w:tc>
        <w:tc>
          <w:tcPr>
            <w:tcW w:w="1634" w:type="dxa"/>
            <w:tcBorders>
              <w:top w:val="nil"/>
              <w:left w:val="nil"/>
              <w:bottom w:val="single" w:sz="4" w:space="0" w:color="auto"/>
              <w:right w:val="single" w:sz="4" w:space="0" w:color="auto"/>
            </w:tcBorders>
            <w:shd w:val="clear" w:color="auto" w:fill="auto"/>
            <w:noWrap/>
            <w:vAlign w:val="bottom"/>
            <w:hideMark/>
          </w:tcPr>
          <w:p w14:paraId="44ECC415"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2000 年</w:t>
            </w:r>
          </w:p>
        </w:tc>
        <w:tc>
          <w:tcPr>
            <w:tcW w:w="1609" w:type="dxa"/>
            <w:tcBorders>
              <w:top w:val="nil"/>
              <w:left w:val="nil"/>
              <w:bottom w:val="single" w:sz="4" w:space="0" w:color="auto"/>
              <w:right w:val="single" w:sz="4" w:space="0" w:color="auto"/>
            </w:tcBorders>
            <w:shd w:val="clear" w:color="auto" w:fill="auto"/>
            <w:noWrap/>
            <w:vAlign w:val="bottom"/>
            <w:hideMark/>
          </w:tcPr>
          <w:p w14:paraId="4A2B2156"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2003 年</w:t>
            </w:r>
          </w:p>
        </w:tc>
        <w:tc>
          <w:tcPr>
            <w:tcW w:w="1537" w:type="dxa"/>
            <w:tcBorders>
              <w:top w:val="nil"/>
              <w:left w:val="nil"/>
              <w:bottom w:val="single" w:sz="4" w:space="0" w:color="auto"/>
              <w:right w:val="single" w:sz="4" w:space="0" w:color="auto"/>
            </w:tcBorders>
            <w:shd w:val="clear" w:color="auto" w:fill="auto"/>
            <w:noWrap/>
            <w:vAlign w:val="bottom"/>
            <w:hideMark/>
          </w:tcPr>
          <w:p w14:paraId="73AAB38F"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2003 年</w:t>
            </w:r>
          </w:p>
        </w:tc>
      </w:tr>
      <w:tr w:rsidR="008B240B" w:rsidRPr="002F006C" w14:paraId="3DDD925F"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76FF2BF2"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25%分位數</w:t>
            </w:r>
          </w:p>
        </w:tc>
        <w:tc>
          <w:tcPr>
            <w:tcW w:w="1927" w:type="dxa"/>
            <w:tcBorders>
              <w:top w:val="nil"/>
              <w:left w:val="nil"/>
              <w:bottom w:val="single" w:sz="4" w:space="0" w:color="auto"/>
              <w:right w:val="single" w:sz="4" w:space="0" w:color="auto"/>
            </w:tcBorders>
            <w:shd w:val="clear" w:color="auto" w:fill="auto"/>
            <w:noWrap/>
            <w:vAlign w:val="bottom"/>
            <w:hideMark/>
          </w:tcPr>
          <w:p w14:paraId="3645E451"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17093745681</w:t>
            </w:r>
          </w:p>
        </w:tc>
        <w:tc>
          <w:tcPr>
            <w:tcW w:w="1634" w:type="dxa"/>
            <w:tcBorders>
              <w:top w:val="nil"/>
              <w:left w:val="nil"/>
              <w:bottom w:val="single" w:sz="4" w:space="0" w:color="auto"/>
              <w:right w:val="single" w:sz="4" w:space="0" w:color="auto"/>
            </w:tcBorders>
            <w:shd w:val="clear" w:color="auto" w:fill="auto"/>
            <w:noWrap/>
            <w:vAlign w:val="bottom"/>
            <w:hideMark/>
          </w:tcPr>
          <w:p w14:paraId="3254C594"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18124787480</w:t>
            </w:r>
          </w:p>
        </w:tc>
        <w:tc>
          <w:tcPr>
            <w:tcW w:w="1609" w:type="dxa"/>
            <w:tcBorders>
              <w:top w:val="nil"/>
              <w:left w:val="nil"/>
              <w:bottom w:val="single" w:sz="4" w:space="0" w:color="auto"/>
              <w:right w:val="single" w:sz="4" w:space="0" w:color="auto"/>
            </w:tcBorders>
            <w:shd w:val="clear" w:color="auto" w:fill="auto"/>
            <w:noWrap/>
            <w:vAlign w:val="bottom"/>
            <w:hideMark/>
          </w:tcPr>
          <w:p w14:paraId="792C838C"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4874465311</w:t>
            </w:r>
          </w:p>
        </w:tc>
        <w:tc>
          <w:tcPr>
            <w:tcW w:w="1537" w:type="dxa"/>
            <w:tcBorders>
              <w:top w:val="nil"/>
              <w:left w:val="nil"/>
              <w:bottom w:val="single" w:sz="4" w:space="0" w:color="auto"/>
              <w:right w:val="single" w:sz="4" w:space="0" w:color="auto"/>
            </w:tcBorders>
            <w:shd w:val="clear" w:color="auto" w:fill="auto"/>
            <w:noWrap/>
            <w:vAlign w:val="bottom"/>
            <w:hideMark/>
          </w:tcPr>
          <w:p w14:paraId="3BBF8852"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0.219659575</w:t>
            </w:r>
          </w:p>
        </w:tc>
      </w:tr>
      <w:tr w:rsidR="008B240B" w:rsidRPr="002F006C" w14:paraId="572B18E3"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78452585"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中位數</w:t>
            </w:r>
          </w:p>
        </w:tc>
        <w:tc>
          <w:tcPr>
            <w:tcW w:w="1927" w:type="dxa"/>
            <w:tcBorders>
              <w:top w:val="nil"/>
              <w:left w:val="nil"/>
              <w:bottom w:val="single" w:sz="4" w:space="0" w:color="auto"/>
              <w:right w:val="single" w:sz="4" w:space="0" w:color="auto"/>
            </w:tcBorders>
            <w:shd w:val="clear" w:color="auto" w:fill="auto"/>
            <w:noWrap/>
            <w:vAlign w:val="bottom"/>
            <w:hideMark/>
          </w:tcPr>
          <w:p w14:paraId="0FBD4572"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18657529933</w:t>
            </w:r>
          </w:p>
        </w:tc>
        <w:tc>
          <w:tcPr>
            <w:tcW w:w="1634" w:type="dxa"/>
            <w:tcBorders>
              <w:top w:val="nil"/>
              <w:left w:val="nil"/>
              <w:bottom w:val="single" w:sz="4" w:space="0" w:color="auto"/>
              <w:right w:val="single" w:sz="4" w:space="0" w:color="auto"/>
            </w:tcBorders>
            <w:shd w:val="clear" w:color="auto" w:fill="auto"/>
            <w:noWrap/>
            <w:vAlign w:val="bottom"/>
            <w:hideMark/>
          </w:tcPr>
          <w:p w14:paraId="6B1DF011"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19880343170</w:t>
            </w:r>
          </w:p>
        </w:tc>
        <w:tc>
          <w:tcPr>
            <w:tcW w:w="1609" w:type="dxa"/>
            <w:tcBorders>
              <w:top w:val="nil"/>
              <w:left w:val="nil"/>
              <w:bottom w:val="single" w:sz="4" w:space="0" w:color="auto"/>
              <w:right w:val="single" w:sz="4" w:space="0" w:color="auto"/>
            </w:tcBorders>
            <w:shd w:val="clear" w:color="auto" w:fill="auto"/>
            <w:noWrap/>
            <w:vAlign w:val="bottom"/>
            <w:hideMark/>
          </w:tcPr>
          <w:p w14:paraId="768FAB37"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5493432091</w:t>
            </w:r>
          </w:p>
        </w:tc>
        <w:tc>
          <w:tcPr>
            <w:tcW w:w="1537" w:type="dxa"/>
            <w:tcBorders>
              <w:top w:val="nil"/>
              <w:left w:val="nil"/>
              <w:bottom w:val="single" w:sz="4" w:space="0" w:color="auto"/>
              <w:right w:val="single" w:sz="4" w:space="0" w:color="auto"/>
            </w:tcBorders>
            <w:shd w:val="clear" w:color="auto" w:fill="auto"/>
            <w:noWrap/>
            <w:vAlign w:val="bottom"/>
            <w:hideMark/>
          </w:tcPr>
          <w:p w14:paraId="00A864AE"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0.308819766</w:t>
            </w:r>
          </w:p>
        </w:tc>
      </w:tr>
      <w:tr w:rsidR="008B240B" w:rsidRPr="002F006C" w14:paraId="3E56572F"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2B66A6B7"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75%分位數</w:t>
            </w:r>
          </w:p>
        </w:tc>
        <w:tc>
          <w:tcPr>
            <w:tcW w:w="1927" w:type="dxa"/>
            <w:tcBorders>
              <w:top w:val="nil"/>
              <w:left w:val="nil"/>
              <w:bottom w:val="single" w:sz="4" w:space="0" w:color="auto"/>
              <w:right w:val="single" w:sz="4" w:space="0" w:color="auto"/>
            </w:tcBorders>
            <w:shd w:val="clear" w:color="auto" w:fill="auto"/>
            <w:noWrap/>
            <w:vAlign w:val="bottom"/>
            <w:hideMark/>
          </w:tcPr>
          <w:p w14:paraId="1C168F27"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20413861649</w:t>
            </w:r>
          </w:p>
        </w:tc>
        <w:tc>
          <w:tcPr>
            <w:tcW w:w="1634" w:type="dxa"/>
            <w:tcBorders>
              <w:top w:val="nil"/>
              <w:left w:val="nil"/>
              <w:bottom w:val="single" w:sz="4" w:space="0" w:color="auto"/>
              <w:right w:val="single" w:sz="4" w:space="0" w:color="auto"/>
            </w:tcBorders>
            <w:shd w:val="clear" w:color="auto" w:fill="auto"/>
            <w:noWrap/>
            <w:vAlign w:val="bottom"/>
            <w:hideMark/>
          </w:tcPr>
          <w:p w14:paraId="287E8863"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21357449471</w:t>
            </w:r>
          </w:p>
        </w:tc>
        <w:tc>
          <w:tcPr>
            <w:tcW w:w="1609" w:type="dxa"/>
            <w:tcBorders>
              <w:top w:val="nil"/>
              <w:left w:val="nil"/>
              <w:bottom w:val="single" w:sz="4" w:space="0" w:color="auto"/>
              <w:right w:val="single" w:sz="4" w:space="0" w:color="auto"/>
            </w:tcBorders>
            <w:shd w:val="clear" w:color="auto" w:fill="auto"/>
            <w:noWrap/>
            <w:vAlign w:val="bottom"/>
            <w:hideMark/>
          </w:tcPr>
          <w:p w14:paraId="194300CE"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7447959552</w:t>
            </w:r>
          </w:p>
        </w:tc>
        <w:tc>
          <w:tcPr>
            <w:tcW w:w="1537" w:type="dxa"/>
            <w:tcBorders>
              <w:top w:val="nil"/>
              <w:left w:val="nil"/>
              <w:bottom w:val="single" w:sz="4" w:space="0" w:color="auto"/>
              <w:right w:val="single" w:sz="4" w:space="0" w:color="auto"/>
            </w:tcBorders>
            <w:shd w:val="clear" w:color="auto" w:fill="auto"/>
            <w:noWrap/>
            <w:vAlign w:val="bottom"/>
            <w:hideMark/>
          </w:tcPr>
          <w:p w14:paraId="3A829336"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0.435941602</w:t>
            </w:r>
          </w:p>
        </w:tc>
      </w:tr>
      <w:tr w:rsidR="008B240B" w:rsidRPr="002F006C" w14:paraId="5CCF62EF"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115B7461"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均值</w:t>
            </w:r>
          </w:p>
        </w:tc>
        <w:tc>
          <w:tcPr>
            <w:tcW w:w="1927" w:type="dxa"/>
            <w:tcBorders>
              <w:top w:val="nil"/>
              <w:left w:val="nil"/>
              <w:bottom w:val="single" w:sz="4" w:space="0" w:color="auto"/>
              <w:right w:val="single" w:sz="4" w:space="0" w:color="auto"/>
            </w:tcBorders>
            <w:shd w:val="clear" w:color="auto" w:fill="auto"/>
            <w:noWrap/>
            <w:vAlign w:val="bottom"/>
            <w:hideMark/>
          </w:tcPr>
          <w:p w14:paraId="7C8C5998"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18339143543</w:t>
            </w:r>
          </w:p>
        </w:tc>
        <w:tc>
          <w:tcPr>
            <w:tcW w:w="1634" w:type="dxa"/>
            <w:tcBorders>
              <w:top w:val="nil"/>
              <w:left w:val="nil"/>
              <w:bottom w:val="single" w:sz="4" w:space="0" w:color="auto"/>
              <w:right w:val="single" w:sz="4" w:space="0" w:color="auto"/>
            </w:tcBorders>
            <w:shd w:val="clear" w:color="auto" w:fill="auto"/>
            <w:noWrap/>
            <w:vAlign w:val="bottom"/>
            <w:hideMark/>
          </w:tcPr>
          <w:p w14:paraId="2F560A71"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19207260169</w:t>
            </w:r>
          </w:p>
        </w:tc>
        <w:tc>
          <w:tcPr>
            <w:tcW w:w="1609" w:type="dxa"/>
            <w:tcBorders>
              <w:top w:val="nil"/>
              <w:left w:val="nil"/>
              <w:bottom w:val="single" w:sz="4" w:space="0" w:color="auto"/>
              <w:right w:val="single" w:sz="4" w:space="0" w:color="auto"/>
            </w:tcBorders>
            <w:shd w:val="clear" w:color="auto" w:fill="auto"/>
            <w:noWrap/>
            <w:vAlign w:val="bottom"/>
            <w:hideMark/>
          </w:tcPr>
          <w:p w14:paraId="12DB4C06"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7656345412</w:t>
            </w:r>
          </w:p>
        </w:tc>
        <w:tc>
          <w:tcPr>
            <w:tcW w:w="1537" w:type="dxa"/>
            <w:tcBorders>
              <w:top w:val="nil"/>
              <w:left w:val="nil"/>
              <w:bottom w:val="single" w:sz="4" w:space="0" w:color="auto"/>
              <w:right w:val="single" w:sz="4" w:space="0" w:color="auto"/>
            </w:tcBorders>
            <w:shd w:val="clear" w:color="auto" w:fill="auto"/>
            <w:noWrap/>
            <w:vAlign w:val="bottom"/>
            <w:hideMark/>
          </w:tcPr>
          <w:p w14:paraId="020033C9"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0.430684647</w:t>
            </w:r>
          </w:p>
        </w:tc>
      </w:tr>
      <w:tr w:rsidR="008B240B" w:rsidRPr="002F006C" w14:paraId="6EDDCF63"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1B135E85"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最大值</w:t>
            </w:r>
          </w:p>
        </w:tc>
        <w:tc>
          <w:tcPr>
            <w:tcW w:w="1927" w:type="dxa"/>
            <w:tcBorders>
              <w:top w:val="nil"/>
              <w:left w:val="nil"/>
              <w:bottom w:val="single" w:sz="4" w:space="0" w:color="auto"/>
              <w:right w:val="single" w:sz="4" w:space="0" w:color="auto"/>
            </w:tcBorders>
            <w:shd w:val="clear" w:color="auto" w:fill="auto"/>
            <w:noWrap/>
            <w:vAlign w:val="bottom"/>
            <w:hideMark/>
          </w:tcPr>
          <w:p w14:paraId="511DC9D1"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22717960326</w:t>
            </w:r>
          </w:p>
        </w:tc>
        <w:tc>
          <w:tcPr>
            <w:tcW w:w="1634" w:type="dxa"/>
            <w:tcBorders>
              <w:top w:val="nil"/>
              <w:left w:val="nil"/>
              <w:bottom w:val="single" w:sz="4" w:space="0" w:color="auto"/>
              <w:right w:val="single" w:sz="4" w:space="0" w:color="auto"/>
            </w:tcBorders>
            <w:shd w:val="clear" w:color="auto" w:fill="auto"/>
            <w:noWrap/>
            <w:vAlign w:val="bottom"/>
            <w:hideMark/>
          </w:tcPr>
          <w:p w14:paraId="7ED424EC"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24999360892</w:t>
            </w:r>
          </w:p>
        </w:tc>
        <w:tc>
          <w:tcPr>
            <w:tcW w:w="1609" w:type="dxa"/>
            <w:tcBorders>
              <w:top w:val="nil"/>
              <w:left w:val="nil"/>
              <w:bottom w:val="single" w:sz="4" w:space="0" w:color="auto"/>
              <w:right w:val="single" w:sz="4" w:space="0" w:color="auto"/>
            </w:tcBorders>
            <w:shd w:val="clear" w:color="auto" w:fill="auto"/>
            <w:noWrap/>
            <w:vAlign w:val="bottom"/>
            <w:hideMark/>
          </w:tcPr>
          <w:p w14:paraId="2B99754F"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26010542819</w:t>
            </w:r>
          </w:p>
        </w:tc>
        <w:tc>
          <w:tcPr>
            <w:tcW w:w="1537" w:type="dxa"/>
            <w:tcBorders>
              <w:top w:val="nil"/>
              <w:left w:val="nil"/>
              <w:bottom w:val="single" w:sz="4" w:space="0" w:color="auto"/>
              <w:right w:val="single" w:sz="4" w:space="0" w:color="auto"/>
            </w:tcBorders>
            <w:shd w:val="clear" w:color="auto" w:fill="auto"/>
            <w:noWrap/>
            <w:vAlign w:val="bottom"/>
            <w:hideMark/>
          </w:tcPr>
          <w:p w14:paraId="3936300A"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1.387209161</w:t>
            </w:r>
          </w:p>
        </w:tc>
      </w:tr>
      <w:tr w:rsidR="008B240B" w:rsidRPr="002F006C" w14:paraId="4D1328A2"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4E6A0E69"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最大值位數</w:t>
            </w:r>
          </w:p>
        </w:tc>
        <w:tc>
          <w:tcPr>
            <w:tcW w:w="1927" w:type="dxa"/>
            <w:tcBorders>
              <w:top w:val="nil"/>
              <w:left w:val="nil"/>
              <w:bottom w:val="single" w:sz="4" w:space="0" w:color="auto"/>
              <w:right w:val="single" w:sz="4" w:space="0" w:color="auto"/>
            </w:tcBorders>
            <w:shd w:val="clear" w:color="auto" w:fill="auto"/>
            <w:noWrap/>
            <w:vAlign w:val="bottom"/>
            <w:hideMark/>
          </w:tcPr>
          <w:p w14:paraId="55B7BF50"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2003 年</w:t>
            </w:r>
          </w:p>
        </w:tc>
        <w:tc>
          <w:tcPr>
            <w:tcW w:w="1634" w:type="dxa"/>
            <w:tcBorders>
              <w:top w:val="nil"/>
              <w:left w:val="nil"/>
              <w:bottom w:val="single" w:sz="4" w:space="0" w:color="auto"/>
              <w:right w:val="single" w:sz="4" w:space="0" w:color="auto"/>
            </w:tcBorders>
            <w:shd w:val="clear" w:color="auto" w:fill="auto"/>
            <w:noWrap/>
            <w:vAlign w:val="bottom"/>
            <w:hideMark/>
          </w:tcPr>
          <w:p w14:paraId="053352DB"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2003 年</w:t>
            </w:r>
          </w:p>
        </w:tc>
        <w:tc>
          <w:tcPr>
            <w:tcW w:w="1609" w:type="dxa"/>
            <w:tcBorders>
              <w:top w:val="nil"/>
              <w:left w:val="nil"/>
              <w:bottom w:val="single" w:sz="4" w:space="0" w:color="auto"/>
              <w:right w:val="single" w:sz="4" w:space="0" w:color="auto"/>
            </w:tcBorders>
            <w:shd w:val="clear" w:color="auto" w:fill="auto"/>
            <w:noWrap/>
            <w:vAlign w:val="bottom"/>
            <w:hideMark/>
          </w:tcPr>
          <w:p w14:paraId="1CFE5987"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2016 年</w:t>
            </w:r>
          </w:p>
        </w:tc>
        <w:tc>
          <w:tcPr>
            <w:tcW w:w="1537" w:type="dxa"/>
            <w:tcBorders>
              <w:top w:val="nil"/>
              <w:left w:val="nil"/>
              <w:bottom w:val="single" w:sz="4" w:space="0" w:color="auto"/>
              <w:right w:val="single" w:sz="4" w:space="0" w:color="auto"/>
            </w:tcBorders>
            <w:shd w:val="clear" w:color="auto" w:fill="auto"/>
            <w:noWrap/>
            <w:vAlign w:val="bottom"/>
            <w:hideMark/>
          </w:tcPr>
          <w:p w14:paraId="64BD4BD5"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2001 年</w:t>
            </w:r>
          </w:p>
        </w:tc>
      </w:tr>
      <w:tr w:rsidR="008B240B" w:rsidRPr="002F006C" w14:paraId="122B76E1"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730AAB29"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平均絕對偏差</w:t>
            </w:r>
          </w:p>
        </w:tc>
        <w:tc>
          <w:tcPr>
            <w:tcW w:w="1927" w:type="dxa"/>
            <w:tcBorders>
              <w:top w:val="nil"/>
              <w:left w:val="nil"/>
              <w:bottom w:val="single" w:sz="4" w:space="0" w:color="auto"/>
              <w:right w:val="single" w:sz="4" w:space="0" w:color="auto"/>
            </w:tcBorders>
            <w:shd w:val="clear" w:color="auto" w:fill="auto"/>
            <w:noWrap/>
            <w:vAlign w:val="bottom"/>
            <w:hideMark/>
          </w:tcPr>
          <w:p w14:paraId="7B553BB4"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2283565839</w:t>
            </w:r>
          </w:p>
        </w:tc>
        <w:tc>
          <w:tcPr>
            <w:tcW w:w="1634" w:type="dxa"/>
            <w:tcBorders>
              <w:top w:val="nil"/>
              <w:left w:val="nil"/>
              <w:bottom w:val="single" w:sz="4" w:space="0" w:color="auto"/>
              <w:right w:val="single" w:sz="4" w:space="0" w:color="auto"/>
            </w:tcBorders>
            <w:shd w:val="clear" w:color="auto" w:fill="auto"/>
            <w:noWrap/>
            <w:vAlign w:val="bottom"/>
            <w:hideMark/>
          </w:tcPr>
          <w:p w14:paraId="0FE05351"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2569173478</w:t>
            </w:r>
          </w:p>
        </w:tc>
        <w:tc>
          <w:tcPr>
            <w:tcW w:w="1609" w:type="dxa"/>
            <w:tcBorders>
              <w:top w:val="nil"/>
              <w:left w:val="nil"/>
              <w:bottom w:val="single" w:sz="4" w:space="0" w:color="auto"/>
              <w:right w:val="single" w:sz="4" w:space="0" w:color="auto"/>
            </w:tcBorders>
            <w:shd w:val="clear" w:color="auto" w:fill="auto"/>
            <w:noWrap/>
            <w:vAlign w:val="bottom"/>
            <w:hideMark/>
          </w:tcPr>
          <w:p w14:paraId="2BE905B2"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3871686015</w:t>
            </w:r>
          </w:p>
        </w:tc>
        <w:tc>
          <w:tcPr>
            <w:tcW w:w="1537" w:type="dxa"/>
            <w:tcBorders>
              <w:top w:val="nil"/>
              <w:left w:val="nil"/>
              <w:bottom w:val="single" w:sz="4" w:space="0" w:color="auto"/>
              <w:right w:val="single" w:sz="4" w:space="0" w:color="auto"/>
            </w:tcBorders>
            <w:shd w:val="clear" w:color="auto" w:fill="auto"/>
            <w:noWrap/>
            <w:vAlign w:val="bottom"/>
            <w:hideMark/>
          </w:tcPr>
          <w:p w14:paraId="258C4B24"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0.251514302</w:t>
            </w:r>
          </w:p>
        </w:tc>
      </w:tr>
      <w:tr w:rsidR="008B240B" w:rsidRPr="002F006C" w14:paraId="45D9B5AD"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287C3E34"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方差</w:t>
            </w:r>
          </w:p>
        </w:tc>
        <w:tc>
          <w:tcPr>
            <w:tcW w:w="1927" w:type="dxa"/>
            <w:tcBorders>
              <w:top w:val="nil"/>
              <w:left w:val="nil"/>
              <w:bottom w:val="single" w:sz="4" w:space="0" w:color="auto"/>
              <w:right w:val="single" w:sz="4" w:space="0" w:color="auto"/>
            </w:tcBorders>
            <w:shd w:val="clear" w:color="auto" w:fill="auto"/>
            <w:noWrap/>
            <w:vAlign w:val="bottom"/>
            <w:hideMark/>
          </w:tcPr>
          <w:p w14:paraId="416B07AA"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9.2097E+18</w:t>
            </w:r>
          </w:p>
        </w:tc>
        <w:tc>
          <w:tcPr>
            <w:tcW w:w="1634" w:type="dxa"/>
            <w:tcBorders>
              <w:top w:val="nil"/>
              <w:left w:val="nil"/>
              <w:bottom w:val="single" w:sz="4" w:space="0" w:color="auto"/>
              <w:right w:val="single" w:sz="4" w:space="0" w:color="auto"/>
            </w:tcBorders>
            <w:shd w:val="clear" w:color="auto" w:fill="auto"/>
            <w:noWrap/>
            <w:vAlign w:val="bottom"/>
            <w:hideMark/>
          </w:tcPr>
          <w:p w14:paraId="4211D621"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1.25808E+19</w:t>
            </w:r>
          </w:p>
        </w:tc>
        <w:tc>
          <w:tcPr>
            <w:tcW w:w="1609" w:type="dxa"/>
            <w:tcBorders>
              <w:top w:val="nil"/>
              <w:left w:val="nil"/>
              <w:bottom w:val="single" w:sz="4" w:space="0" w:color="auto"/>
              <w:right w:val="single" w:sz="4" w:space="0" w:color="auto"/>
            </w:tcBorders>
            <w:shd w:val="clear" w:color="auto" w:fill="auto"/>
            <w:noWrap/>
            <w:vAlign w:val="bottom"/>
            <w:hideMark/>
          </w:tcPr>
          <w:p w14:paraId="415093DE"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3.13085E+19</w:t>
            </w:r>
          </w:p>
        </w:tc>
        <w:tc>
          <w:tcPr>
            <w:tcW w:w="1537" w:type="dxa"/>
            <w:tcBorders>
              <w:top w:val="nil"/>
              <w:left w:val="nil"/>
              <w:bottom w:val="single" w:sz="4" w:space="0" w:color="auto"/>
              <w:right w:val="single" w:sz="4" w:space="0" w:color="auto"/>
            </w:tcBorders>
            <w:shd w:val="clear" w:color="auto" w:fill="auto"/>
            <w:noWrap/>
            <w:vAlign w:val="bottom"/>
            <w:hideMark/>
          </w:tcPr>
          <w:p w14:paraId="4B458A5C"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0.126182188</w:t>
            </w:r>
          </w:p>
        </w:tc>
      </w:tr>
      <w:tr w:rsidR="008B240B" w:rsidRPr="002F006C" w14:paraId="4D509BD0"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4C1B87E9"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標準差</w:t>
            </w:r>
          </w:p>
        </w:tc>
        <w:tc>
          <w:tcPr>
            <w:tcW w:w="1927" w:type="dxa"/>
            <w:tcBorders>
              <w:top w:val="nil"/>
              <w:left w:val="nil"/>
              <w:bottom w:val="single" w:sz="4" w:space="0" w:color="auto"/>
              <w:right w:val="single" w:sz="4" w:space="0" w:color="auto"/>
            </w:tcBorders>
            <w:shd w:val="clear" w:color="auto" w:fill="auto"/>
            <w:noWrap/>
            <w:vAlign w:val="bottom"/>
            <w:hideMark/>
          </w:tcPr>
          <w:p w14:paraId="5739DC38"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3034749199</w:t>
            </w:r>
          </w:p>
        </w:tc>
        <w:tc>
          <w:tcPr>
            <w:tcW w:w="1634" w:type="dxa"/>
            <w:tcBorders>
              <w:top w:val="nil"/>
              <w:left w:val="nil"/>
              <w:bottom w:val="single" w:sz="4" w:space="0" w:color="auto"/>
              <w:right w:val="single" w:sz="4" w:space="0" w:color="auto"/>
            </w:tcBorders>
            <w:shd w:val="clear" w:color="auto" w:fill="auto"/>
            <w:noWrap/>
            <w:vAlign w:val="bottom"/>
            <w:hideMark/>
          </w:tcPr>
          <w:p w14:paraId="61C243BB"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3546944905</w:t>
            </w:r>
          </w:p>
        </w:tc>
        <w:tc>
          <w:tcPr>
            <w:tcW w:w="1609" w:type="dxa"/>
            <w:tcBorders>
              <w:top w:val="nil"/>
              <w:left w:val="nil"/>
              <w:bottom w:val="single" w:sz="4" w:space="0" w:color="auto"/>
              <w:right w:val="single" w:sz="4" w:space="0" w:color="auto"/>
            </w:tcBorders>
            <w:shd w:val="clear" w:color="auto" w:fill="auto"/>
            <w:noWrap/>
            <w:vAlign w:val="bottom"/>
            <w:hideMark/>
          </w:tcPr>
          <w:p w14:paraId="74AD52A5"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5595398138</w:t>
            </w:r>
          </w:p>
        </w:tc>
        <w:tc>
          <w:tcPr>
            <w:tcW w:w="1537" w:type="dxa"/>
            <w:tcBorders>
              <w:top w:val="nil"/>
              <w:left w:val="nil"/>
              <w:bottom w:val="single" w:sz="4" w:space="0" w:color="auto"/>
              <w:right w:val="single" w:sz="4" w:space="0" w:color="auto"/>
            </w:tcBorders>
            <w:shd w:val="clear" w:color="auto" w:fill="auto"/>
            <w:noWrap/>
            <w:vAlign w:val="bottom"/>
            <w:hideMark/>
          </w:tcPr>
          <w:p w14:paraId="38486B7E"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0.355221322</w:t>
            </w:r>
          </w:p>
        </w:tc>
      </w:tr>
      <w:tr w:rsidR="008B240B" w:rsidRPr="002F006C" w14:paraId="572EB433"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287648A4"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偏度</w:t>
            </w:r>
          </w:p>
        </w:tc>
        <w:tc>
          <w:tcPr>
            <w:tcW w:w="1927" w:type="dxa"/>
            <w:tcBorders>
              <w:top w:val="nil"/>
              <w:left w:val="nil"/>
              <w:bottom w:val="single" w:sz="4" w:space="0" w:color="auto"/>
              <w:right w:val="single" w:sz="4" w:space="0" w:color="auto"/>
            </w:tcBorders>
            <w:shd w:val="clear" w:color="auto" w:fill="auto"/>
            <w:noWrap/>
            <w:vAlign w:val="bottom"/>
            <w:hideMark/>
          </w:tcPr>
          <w:p w14:paraId="5CCD7964"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-0.90602084</w:t>
            </w:r>
          </w:p>
        </w:tc>
        <w:tc>
          <w:tcPr>
            <w:tcW w:w="1634" w:type="dxa"/>
            <w:tcBorders>
              <w:top w:val="nil"/>
              <w:left w:val="nil"/>
              <w:bottom w:val="single" w:sz="4" w:space="0" w:color="auto"/>
              <w:right w:val="single" w:sz="4" w:space="0" w:color="auto"/>
            </w:tcBorders>
            <w:shd w:val="clear" w:color="auto" w:fill="auto"/>
            <w:noWrap/>
            <w:vAlign w:val="bottom"/>
            <w:hideMark/>
          </w:tcPr>
          <w:p w14:paraId="51B6EBE9"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-1.102706596</w:t>
            </w:r>
          </w:p>
        </w:tc>
        <w:tc>
          <w:tcPr>
            <w:tcW w:w="1609" w:type="dxa"/>
            <w:tcBorders>
              <w:top w:val="nil"/>
              <w:left w:val="nil"/>
              <w:bottom w:val="single" w:sz="4" w:space="0" w:color="auto"/>
              <w:right w:val="single" w:sz="4" w:space="0" w:color="auto"/>
            </w:tcBorders>
            <w:shd w:val="clear" w:color="auto" w:fill="auto"/>
            <w:noWrap/>
            <w:vAlign w:val="bottom"/>
            <w:hideMark/>
          </w:tcPr>
          <w:p w14:paraId="718529C6"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2.299949245</w:t>
            </w:r>
          </w:p>
        </w:tc>
        <w:tc>
          <w:tcPr>
            <w:tcW w:w="1537" w:type="dxa"/>
            <w:tcBorders>
              <w:top w:val="nil"/>
              <w:left w:val="nil"/>
              <w:bottom w:val="single" w:sz="4" w:space="0" w:color="auto"/>
              <w:right w:val="single" w:sz="4" w:space="0" w:color="auto"/>
            </w:tcBorders>
            <w:shd w:val="clear" w:color="auto" w:fill="auto"/>
            <w:noWrap/>
            <w:vAlign w:val="bottom"/>
            <w:hideMark/>
          </w:tcPr>
          <w:p w14:paraId="1CA092DC"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2.017855287</w:t>
            </w:r>
          </w:p>
        </w:tc>
      </w:tr>
      <w:tr w:rsidR="008B240B" w:rsidRPr="002F006C" w14:paraId="77779CBB" w14:textId="77777777" w:rsidTr="008B240B">
        <w:trPr>
          <w:trHeight w:val="221"/>
        </w:trPr>
        <w:tc>
          <w:tcPr>
            <w:tcW w:w="1927" w:type="dxa"/>
            <w:tcBorders>
              <w:top w:val="nil"/>
              <w:left w:val="single" w:sz="4" w:space="0" w:color="auto"/>
              <w:bottom w:val="single" w:sz="4" w:space="0" w:color="auto"/>
              <w:right w:val="single" w:sz="4" w:space="0" w:color="auto"/>
            </w:tcBorders>
            <w:shd w:val="clear" w:color="auto" w:fill="auto"/>
            <w:noWrap/>
            <w:hideMark/>
          </w:tcPr>
          <w:p w14:paraId="35C3DDCC" w14:textId="77777777" w:rsidR="008B240B" w:rsidRPr="002F006C" w:rsidRDefault="008B240B" w:rsidP="008B240B">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峰度</w:t>
            </w:r>
          </w:p>
        </w:tc>
        <w:tc>
          <w:tcPr>
            <w:tcW w:w="1927" w:type="dxa"/>
            <w:tcBorders>
              <w:top w:val="nil"/>
              <w:left w:val="nil"/>
              <w:bottom w:val="single" w:sz="4" w:space="0" w:color="auto"/>
              <w:right w:val="single" w:sz="4" w:space="0" w:color="auto"/>
            </w:tcBorders>
            <w:shd w:val="clear" w:color="auto" w:fill="auto"/>
            <w:noWrap/>
            <w:vAlign w:val="bottom"/>
            <w:hideMark/>
          </w:tcPr>
          <w:p w14:paraId="3620A9B6"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0.711131671</w:t>
            </w:r>
          </w:p>
        </w:tc>
        <w:tc>
          <w:tcPr>
            <w:tcW w:w="1634" w:type="dxa"/>
            <w:tcBorders>
              <w:top w:val="nil"/>
              <w:left w:val="nil"/>
              <w:bottom w:val="single" w:sz="4" w:space="0" w:color="auto"/>
              <w:right w:val="single" w:sz="4" w:space="0" w:color="auto"/>
            </w:tcBorders>
            <w:shd w:val="clear" w:color="auto" w:fill="auto"/>
            <w:noWrap/>
            <w:vAlign w:val="bottom"/>
            <w:hideMark/>
          </w:tcPr>
          <w:p w14:paraId="1E1B735A"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1.533009055</w:t>
            </w:r>
          </w:p>
        </w:tc>
        <w:tc>
          <w:tcPr>
            <w:tcW w:w="1609" w:type="dxa"/>
            <w:tcBorders>
              <w:top w:val="nil"/>
              <w:left w:val="nil"/>
              <w:bottom w:val="single" w:sz="4" w:space="0" w:color="auto"/>
              <w:right w:val="single" w:sz="4" w:space="0" w:color="auto"/>
            </w:tcBorders>
            <w:shd w:val="clear" w:color="auto" w:fill="auto"/>
            <w:noWrap/>
            <w:vAlign w:val="bottom"/>
            <w:hideMark/>
          </w:tcPr>
          <w:p w14:paraId="1E24FB12"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5.583286108</w:t>
            </w:r>
          </w:p>
        </w:tc>
        <w:tc>
          <w:tcPr>
            <w:tcW w:w="1537" w:type="dxa"/>
            <w:tcBorders>
              <w:top w:val="nil"/>
              <w:left w:val="nil"/>
              <w:bottom w:val="single" w:sz="4" w:space="0" w:color="auto"/>
              <w:right w:val="single" w:sz="4" w:space="0" w:color="auto"/>
            </w:tcBorders>
            <w:shd w:val="clear" w:color="auto" w:fill="auto"/>
            <w:noWrap/>
            <w:vAlign w:val="bottom"/>
            <w:hideMark/>
          </w:tcPr>
          <w:p w14:paraId="0BC09DEF" w14:textId="77777777" w:rsidR="008B240B" w:rsidRPr="002F006C" w:rsidRDefault="008B240B" w:rsidP="008B240B">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3.44593584</w:t>
            </w:r>
          </w:p>
        </w:tc>
      </w:tr>
    </w:tbl>
    <w:p w14:paraId="2B291DFD" w14:textId="5C702F65" w:rsidR="00C55DD0" w:rsidRPr="002F006C" w:rsidRDefault="008B240B" w:rsidP="008B240B">
      <w:pPr>
        <w:rPr>
          <w:rFonts w:ascii="標楷體" w:eastAsia="標楷體" w:hAnsi="標楷體"/>
        </w:rPr>
      </w:pPr>
      <w:r w:rsidRPr="002F006C">
        <w:rPr>
          <w:rFonts w:ascii="標楷體" w:eastAsia="標楷體" w:hAnsi="標楷體" w:hint="eastAsia"/>
          <w:color w:val="000000"/>
          <w:szCs w:val="24"/>
        </w:rPr>
        <w:t>(表一) 本研究製作</w:t>
      </w:r>
    </w:p>
    <w:p w14:paraId="63071868" w14:textId="1DD3AA40" w:rsidR="00C55DD0" w:rsidRPr="002F006C" w:rsidRDefault="008B240B" w:rsidP="0077699F">
      <w:pPr>
        <w:rPr>
          <w:rFonts w:ascii="標楷體" w:eastAsia="標楷體" w:hAnsi="標楷體"/>
        </w:rPr>
      </w:pPr>
      <w:r w:rsidRPr="002F006C">
        <w:rPr>
          <w:rFonts w:ascii="標楷體" w:eastAsia="標楷體" w:hAnsi="標楷體"/>
        </w:rPr>
        <w:tab/>
      </w:r>
      <w:r w:rsidRPr="002F006C">
        <w:rPr>
          <w:rFonts w:ascii="標楷體" w:eastAsia="標楷體" w:hAnsi="標楷體" w:hint="eastAsia"/>
        </w:rPr>
        <w:t>接下來，針對損失率和當年簽單保費這兩項判別核保循環最主要依據變數製圖，</w:t>
      </w:r>
      <w:r w:rsidR="0063772A" w:rsidRPr="002F006C">
        <w:rPr>
          <w:rFonts w:ascii="標楷體" w:eastAsia="標楷體" w:hAnsi="標楷體" w:hint="eastAsia"/>
        </w:rPr>
        <w:t>可以見</w:t>
      </w:r>
      <w:r w:rsidR="0063772A" w:rsidRPr="002F006C">
        <w:rPr>
          <w:rFonts w:ascii="標楷體" w:eastAsia="標楷體" w:hAnsi="標楷體" w:hint="eastAsia"/>
        </w:rPr>
        <w:lastRenderedPageBreak/>
        <w:t>到如(圖一)(圖二)顯示，在損失率的部分似乎有個周期性變化，保費收入則是從2000年遞增，在2003年來到高峰，並一路下滑至2010年到達谷底，並從2010年以後一路遞增至2019年。</w:t>
      </w:r>
    </w:p>
    <w:p w14:paraId="2093BE0D" w14:textId="085653CE" w:rsidR="00577B2A" w:rsidRPr="002F006C" w:rsidRDefault="00577B2A" w:rsidP="00577B2A">
      <w:pPr>
        <w:jc w:val="center"/>
        <w:rPr>
          <w:rFonts w:ascii="標楷體" w:eastAsia="標楷體" w:hAnsi="標楷體"/>
        </w:rPr>
      </w:pPr>
      <w:r w:rsidRPr="002F006C">
        <w:rPr>
          <w:rFonts w:ascii="標楷體" w:eastAsia="標楷體" w:hAnsi="標楷體"/>
          <w:noProof/>
        </w:rPr>
        <w:drawing>
          <wp:inline distT="0" distB="0" distL="0" distR="0" wp14:anchorId="16454DD4" wp14:editId="49DD137E">
            <wp:extent cx="6188710" cy="320040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7"/>
                    <a:stretch>
                      <a:fillRect/>
                    </a:stretch>
                  </pic:blipFill>
                  <pic:spPr>
                    <a:xfrm>
                      <a:off x="0" y="0"/>
                      <a:ext cx="6188710" cy="3200400"/>
                    </a:xfrm>
                    <a:prstGeom prst="rect">
                      <a:avLst/>
                    </a:prstGeom>
                  </pic:spPr>
                </pic:pic>
              </a:graphicData>
            </a:graphic>
          </wp:inline>
        </w:drawing>
      </w:r>
      <w:r w:rsidRPr="002F006C">
        <w:rPr>
          <w:rFonts w:ascii="標楷體" w:eastAsia="標楷體" w:hAnsi="標楷體" w:hint="eastAsia"/>
        </w:rPr>
        <w:t>(圖一)</w:t>
      </w:r>
    </w:p>
    <w:p w14:paraId="572666A8" w14:textId="22DB9498" w:rsidR="008B240B" w:rsidRPr="002F006C" w:rsidRDefault="00577B2A" w:rsidP="0077699F">
      <w:pPr>
        <w:rPr>
          <w:rFonts w:ascii="標楷體" w:eastAsia="標楷體" w:hAnsi="標楷體"/>
        </w:rPr>
      </w:pPr>
      <w:r w:rsidRPr="002F006C">
        <w:rPr>
          <w:rFonts w:ascii="標楷體" w:eastAsia="標楷體" w:hAnsi="標楷體"/>
          <w:noProof/>
        </w:rPr>
        <w:drawing>
          <wp:inline distT="0" distB="0" distL="0" distR="0" wp14:anchorId="43E49FC4" wp14:editId="0EC5EA2D">
            <wp:extent cx="6188710" cy="320040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8"/>
                    <a:stretch>
                      <a:fillRect/>
                    </a:stretch>
                  </pic:blipFill>
                  <pic:spPr>
                    <a:xfrm>
                      <a:off x="0" y="0"/>
                      <a:ext cx="6188710" cy="3200400"/>
                    </a:xfrm>
                    <a:prstGeom prst="rect">
                      <a:avLst/>
                    </a:prstGeom>
                  </pic:spPr>
                </pic:pic>
              </a:graphicData>
            </a:graphic>
          </wp:inline>
        </w:drawing>
      </w:r>
    </w:p>
    <w:p w14:paraId="5CE05CE4" w14:textId="305E57E4" w:rsidR="00577B2A" w:rsidRPr="002F006C" w:rsidRDefault="00577B2A" w:rsidP="00577B2A">
      <w:pPr>
        <w:jc w:val="center"/>
        <w:rPr>
          <w:rFonts w:ascii="標楷體" w:eastAsia="標楷體" w:hAnsi="標楷體"/>
        </w:rPr>
      </w:pPr>
      <w:r w:rsidRPr="002F006C">
        <w:rPr>
          <w:rFonts w:ascii="標楷體" w:eastAsia="標楷體" w:hAnsi="標楷體" w:hint="eastAsia"/>
        </w:rPr>
        <w:t>(圖二)</w:t>
      </w:r>
    </w:p>
    <w:p w14:paraId="00A0BACC" w14:textId="68EFE062" w:rsidR="008B240B" w:rsidRPr="002F006C" w:rsidRDefault="0063772A" w:rsidP="0077699F">
      <w:pPr>
        <w:rPr>
          <w:rFonts w:ascii="標楷體" w:eastAsia="標楷體" w:hAnsi="標楷體"/>
        </w:rPr>
      </w:pPr>
      <w:r w:rsidRPr="002F006C">
        <w:rPr>
          <w:rFonts w:ascii="標楷體" w:eastAsia="標楷體" w:hAnsi="標楷體"/>
        </w:rPr>
        <w:tab/>
      </w:r>
      <w:r w:rsidRPr="002F006C">
        <w:rPr>
          <w:rFonts w:ascii="標楷體" w:eastAsia="標楷體" w:hAnsi="標楷體" w:hint="eastAsia"/>
        </w:rPr>
        <w:t>為了更確保火險是否有週期性變化不受結構狀態改變的影響檢定結果，以ADF檢定虛無假設為序列有一單位根此一敘述是否成立，</w:t>
      </w:r>
      <w:r w:rsidR="00232593">
        <w:rPr>
          <w:rFonts w:ascii="標楷體" w:eastAsia="標楷體" w:hAnsi="標楷體" w:hint="eastAsia"/>
        </w:rPr>
        <w:t>即檢定</w:t>
      </w:r>
      <m:oMath>
        <m:r>
          <m:rPr>
            <m:sty m:val="p"/>
          </m:rPr>
          <w:rPr>
            <w:rFonts w:ascii="Cambria Math" w:eastAsia="標楷體" w:hAnsi="Cambria Math"/>
          </w:rPr>
          <m:t>∆</m:t>
        </m:r>
        <m:sSub>
          <m:sSubPr>
            <m:ctrlPr>
              <w:rPr>
                <w:rFonts w:ascii="Cambria Math" w:eastAsia="標楷體" w:hAnsi="Cambria Math"/>
                <w:iCs/>
              </w:rPr>
            </m:ctrlPr>
          </m:sSubPr>
          <m:e>
            <m:r>
              <m:rPr>
                <m:sty m:val="p"/>
              </m:rPr>
              <w:rPr>
                <w:rFonts w:ascii="Cambria Math" w:eastAsia="標楷體" w:hAnsi="Cambria Math" w:hint="eastAsia"/>
              </w:rPr>
              <m:t>Y</m:t>
            </m:r>
          </m:e>
          <m:sub>
            <m:r>
              <m:rPr>
                <m:sty m:val="p"/>
              </m:rPr>
              <w:rPr>
                <w:rFonts w:ascii="Cambria Math" w:eastAsia="標楷體" w:hAnsi="Cambria Math"/>
              </w:rPr>
              <m:t>t</m:t>
            </m:r>
          </m:sub>
        </m:sSub>
        <m:r>
          <m:rPr>
            <m:sty m:val="p"/>
          </m:rPr>
          <w:rPr>
            <w:rFonts w:ascii="Cambria Math" w:eastAsia="標楷體" w:hAnsi="Cambria Math"/>
          </w:rPr>
          <m:t>=b0+k</m:t>
        </m:r>
        <m:sSub>
          <m:sSubPr>
            <m:ctrlPr>
              <w:rPr>
                <w:rFonts w:ascii="Cambria Math" w:eastAsia="標楷體" w:hAnsi="Cambria Math"/>
                <w:iCs/>
              </w:rPr>
            </m:ctrlPr>
          </m:sSubPr>
          <m:e>
            <m:r>
              <m:rPr>
                <m:sty m:val="p"/>
              </m:rPr>
              <w:rPr>
                <w:rFonts w:ascii="Cambria Math" w:eastAsia="標楷體" w:hAnsi="Cambria Math"/>
              </w:rPr>
              <m:t>Y</m:t>
            </m:r>
          </m:e>
          <m:sub>
            <m:r>
              <m:rPr>
                <m:sty m:val="p"/>
              </m:rPr>
              <w:rPr>
                <w:rFonts w:ascii="Cambria Math" w:eastAsia="標楷體" w:hAnsi="Cambria Math"/>
              </w:rPr>
              <m:t>t-1</m:t>
            </m:r>
          </m:sub>
        </m:sSub>
        <m:r>
          <m:rPr>
            <m:sty m:val="p"/>
          </m:rPr>
          <w:rPr>
            <w:rFonts w:ascii="Cambria Math" w:eastAsia="標楷體" w:hAnsi="Cambria Math"/>
          </w:rPr>
          <m:t>+</m:t>
        </m:r>
        <m:sSub>
          <m:sSubPr>
            <m:ctrlPr>
              <w:rPr>
                <w:rFonts w:ascii="Cambria Math" w:eastAsia="標楷體" w:hAnsi="Cambria Math"/>
                <w:iCs/>
              </w:rPr>
            </m:ctrlPr>
          </m:sSubPr>
          <m:e>
            <m:r>
              <m:rPr>
                <m:sty m:val="p"/>
              </m:rP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iCs/>
              </w:rPr>
            </m:ctrlPr>
          </m:sSubPr>
          <m:e>
            <m:r>
              <m:rPr>
                <m:sty m:val="p"/>
              </m:rPr>
              <w:rPr>
                <w:rFonts w:ascii="Cambria Math" w:eastAsia="標楷體" w:hAnsi="Cambria Math" w:hint="eastAsia"/>
              </w:rPr>
              <m:t>Y</m:t>
            </m:r>
          </m:e>
          <m:sub>
            <m:r>
              <m:rPr>
                <m:sty m:val="p"/>
              </m:rPr>
              <w:rPr>
                <w:rFonts w:ascii="Cambria Math" w:eastAsia="標楷體" w:hAnsi="Cambria Math"/>
              </w:rPr>
              <m:t>t-1</m:t>
            </m:r>
          </m:sub>
        </m:sSub>
        <m:r>
          <m:rPr>
            <m:sty m:val="p"/>
          </m:rPr>
          <w:rPr>
            <w:rFonts w:ascii="Cambria Math" w:eastAsia="標楷體" w:hAnsi="Cambria Math"/>
          </w:rPr>
          <m:t>+</m:t>
        </m:r>
        <m:sSub>
          <m:sSubPr>
            <m:ctrlPr>
              <w:rPr>
                <w:rFonts w:ascii="Cambria Math" w:eastAsia="標楷體" w:hAnsi="Cambria Math"/>
                <w:iCs/>
              </w:rPr>
            </m:ctrlPr>
          </m:sSubPr>
          <m:e>
            <m:r>
              <m:rPr>
                <m:sty m:val="p"/>
              </m:rP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iCs/>
              </w:rPr>
            </m:ctrlPr>
          </m:sSubPr>
          <m:e>
            <m:r>
              <m:rPr>
                <m:sty m:val="p"/>
              </m:rPr>
              <w:rPr>
                <w:rFonts w:ascii="Cambria Math" w:eastAsia="標楷體" w:hAnsi="Cambria Math" w:hint="eastAsia"/>
              </w:rPr>
              <m:t>Y</m:t>
            </m:r>
          </m:e>
          <m:sub>
            <m:r>
              <m:rPr>
                <m:sty m:val="p"/>
              </m:rPr>
              <w:rPr>
                <w:rFonts w:ascii="Cambria Math" w:eastAsia="標楷體" w:hAnsi="Cambria Math"/>
              </w:rPr>
              <m:t>t-2</m:t>
            </m:r>
          </m:sub>
        </m:sSub>
        <m:r>
          <m:rPr>
            <m:sty m:val="p"/>
          </m:rPr>
          <w:rPr>
            <w:rFonts w:ascii="Cambria Math" w:eastAsia="標楷體" w:hAnsi="Cambria Math"/>
          </w:rPr>
          <m:t>+…+</m:t>
        </m:r>
        <m:sSub>
          <m:sSubPr>
            <m:ctrlPr>
              <w:rPr>
                <w:rFonts w:ascii="Cambria Math" w:eastAsia="標楷體" w:hAnsi="Cambria Math"/>
                <w:iCs/>
              </w:rPr>
            </m:ctrlPr>
          </m:sSubPr>
          <m:e>
            <m:r>
              <m:rPr>
                <m:sty m:val="p"/>
              </m:rPr>
              <w:rPr>
                <w:rFonts w:ascii="Cambria Math" w:eastAsia="標楷體" w:hAnsi="Cambria Math"/>
              </w:rPr>
              <m:t>Y</m:t>
            </m:r>
          </m:e>
          <m:sub>
            <m:r>
              <m:rPr>
                <m:sty m:val="p"/>
              </m:rPr>
              <w:rPr>
                <w:rFonts w:ascii="Cambria Math" w:eastAsia="標楷體" w:hAnsi="Cambria Math"/>
              </w:rPr>
              <m:t>p</m:t>
            </m:r>
          </m:sub>
        </m:sSub>
        <m:r>
          <m:rPr>
            <m:sty m:val="p"/>
          </m:rPr>
          <w:rPr>
            <w:rFonts w:ascii="Cambria Math" w:eastAsia="標楷體" w:hAnsi="Cambria Math"/>
          </w:rPr>
          <m:t>×∆</m:t>
        </m:r>
        <m:sSub>
          <m:sSubPr>
            <m:ctrlPr>
              <w:rPr>
                <w:rFonts w:ascii="Cambria Math" w:eastAsia="標楷體" w:hAnsi="Cambria Math"/>
                <w:iCs/>
              </w:rPr>
            </m:ctrlPr>
          </m:sSubPr>
          <m:e>
            <m:r>
              <m:rPr>
                <m:sty m:val="p"/>
              </m:rPr>
              <w:rPr>
                <w:rFonts w:ascii="Cambria Math" w:eastAsia="標楷體" w:hAnsi="Cambria Math" w:hint="eastAsia"/>
              </w:rPr>
              <m:t>Y</m:t>
            </m:r>
          </m:e>
          <m:sub>
            <m:r>
              <m:rPr>
                <m:sty m:val="p"/>
              </m:rPr>
              <w:rPr>
                <w:rFonts w:ascii="Cambria Math" w:eastAsia="標楷體" w:hAnsi="Cambria Math"/>
              </w:rPr>
              <m:t>t-p</m:t>
            </m:r>
          </m:sub>
        </m:sSub>
        <m:r>
          <m:rPr>
            <m:sty m:val="p"/>
          </m:rPr>
          <w:rPr>
            <w:rFonts w:ascii="Cambria Math" w:eastAsia="標楷體" w:hAnsi="Cambria Math"/>
          </w:rPr>
          <m:t>+</m:t>
        </m:r>
        <m:sSub>
          <m:sSubPr>
            <m:ctrlPr>
              <w:rPr>
                <w:rFonts w:ascii="Cambria Math" w:eastAsia="標楷體" w:hAnsi="Cambria Math"/>
                <w:iCs/>
              </w:rPr>
            </m:ctrlPr>
          </m:sSubPr>
          <m:e>
            <m:r>
              <m:rPr>
                <m:sty m:val="p"/>
              </m:rPr>
              <w:rPr>
                <w:rFonts w:ascii="Cambria Math" w:eastAsia="標楷體" w:hAnsi="Cambria Math"/>
              </w:rPr>
              <m:t>u</m:t>
            </m:r>
          </m:e>
          <m:sub>
            <m:r>
              <m:rPr>
                <m:sty m:val="p"/>
              </m:rPr>
              <w:rPr>
                <w:rFonts w:ascii="Cambria Math" w:eastAsia="標楷體" w:hAnsi="Cambria Math"/>
              </w:rPr>
              <m:t>t</m:t>
            </m:r>
          </m:sub>
        </m:sSub>
        <m:r>
          <m:rPr>
            <m:sty m:val="p"/>
          </m:rPr>
          <w:rPr>
            <w:rFonts w:ascii="Cambria Math" w:eastAsia="標楷體" w:hAnsi="Cambria Math" w:hint="eastAsia"/>
          </w:rPr>
          <m:t xml:space="preserve"> </m:t>
        </m:r>
        <m:r>
          <m:rPr>
            <m:sty m:val="p"/>
          </m:rPr>
          <w:rPr>
            <w:rFonts w:ascii="Cambria Math" w:eastAsia="標楷體" w:hAnsi="Cambria Math" w:hint="eastAsia"/>
          </w:rPr>
          <m:t>中虛無假設</m:t>
        </m:r>
        <m:r>
          <m:rPr>
            <m:sty m:val="p"/>
          </m:rPr>
          <w:rPr>
            <w:rFonts w:ascii="Cambria Math" w:eastAsia="標楷體" w:hAnsi="Cambria Math" w:hint="eastAsia"/>
          </w:rPr>
          <m:t xml:space="preserve"> </m:t>
        </m:r>
        <m:r>
          <m:rPr>
            <m:sty m:val="p"/>
          </m:rPr>
          <w:rPr>
            <w:rFonts w:ascii="Cambria Math" w:eastAsia="標楷體" w:hAnsi="Cambria Math"/>
          </w:rPr>
          <m:t>k=0</m:t>
        </m:r>
        <m:r>
          <m:rPr>
            <m:sty m:val="p"/>
          </m:rPr>
          <w:rPr>
            <w:rFonts w:ascii="Cambria Math" w:eastAsia="標楷體" w:hAnsi="Cambria Math" w:hint="eastAsia"/>
          </w:rPr>
          <m:t>，而其對立假設</m:t>
        </m:r>
        <m:r>
          <m:rPr>
            <m:sty m:val="p"/>
          </m:rPr>
          <w:rPr>
            <w:rFonts w:ascii="Cambria Math" w:eastAsia="標楷體" w:hAnsi="Cambria Math"/>
          </w:rPr>
          <m:t>k&lt;0</m:t>
        </m:r>
        <m:r>
          <m:rPr>
            <m:sty m:val="p"/>
          </m:rPr>
          <w:rPr>
            <w:rFonts w:ascii="Cambria Math" w:eastAsia="標楷體" w:hAnsi="Cambria Math" w:hint="eastAsia"/>
          </w:rPr>
          <m:t>，</m:t>
        </m:r>
      </m:oMath>
      <w:r w:rsidRPr="002F006C">
        <w:rPr>
          <w:rFonts w:ascii="標楷體" w:eastAsia="標楷體" w:hAnsi="標楷體" w:hint="eastAsia"/>
        </w:rPr>
        <w:t>滯後數目判別採用AIC赤池信息準則，並把損失率分別帶入只有常數項迴歸和有常數項和趨勢項迴歸的ADF模型來作測定，得出結果如下圖顯示</w:t>
      </w:r>
      <w:r w:rsidR="008C597D" w:rsidRPr="002F006C">
        <w:rPr>
          <w:rFonts w:ascii="標楷體" w:eastAsia="標楷體" w:hAnsi="標楷體" w:hint="eastAsia"/>
        </w:rPr>
        <w:t>(圖三)，可以看到Te</w:t>
      </w:r>
      <w:r w:rsidR="008C597D" w:rsidRPr="002F006C">
        <w:rPr>
          <w:rFonts w:ascii="標楷體" w:eastAsia="標楷體" w:hAnsi="標楷體"/>
        </w:rPr>
        <w:t xml:space="preserve">st Statistic </w:t>
      </w:r>
      <w:r w:rsidR="008C597D" w:rsidRPr="002F006C">
        <w:rPr>
          <w:rFonts w:ascii="標楷體" w:eastAsia="標楷體" w:hAnsi="標楷體" w:hint="eastAsia"/>
        </w:rPr>
        <w:t>值在僅包含截距項</w:t>
      </w:r>
      <w:r w:rsidR="008C597D" w:rsidRPr="002F006C">
        <w:rPr>
          <w:rFonts w:ascii="標楷體" w:eastAsia="標楷體" w:hAnsi="標楷體" w:hint="eastAsia"/>
        </w:rPr>
        <w:lastRenderedPageBreak/>
        <w:t>時是同時大於1%、5%、10%極端值下所測定的T值，亦即此測定T值大於在99%、95%、90%信賴區間下的臨界ADF檢驗所得T值，無法拒絕虛無假設，且</w:t>
      </w:r>
      <w:proofErr w:type="spellStart"/>
      <w:r w:rsidR="008C597D" w:rsidRPr="002F006C">
        <w:rPr>
          <w:rFonts w:ascii="標楷體" w:eastAsia="標楷體" w:hAnsi="標楷體" w:hint="eastAsia"/>
        </w:rPr>
        <w:t>Pv</w:t>
      </w:r>
      <w:r w:rsidR="008C597D" w:rsidRPr="002F006C">
        <w:rPr>
          <w:rFonts w:ascii="標楷體" w:eastAsia="標楷體" w:hAnsi="標楷體"/>
        </w:rPr>
        <w:t>alue</w:t>
      </w:r>
      <w:proofErr w:type="spellEnd"/>
      <w:r w:rsidR="008C597D" w:rsidRPr="002F006C">
        <w:rPr>
          <w:rFonts w:ascii="標楷體" w:eastAsia="標楷體" w:hAnsi="標楷體" w:hint="eastAsia"/>
        </w:rPr>
        <w:t>遠大於0，證實數列是不平穩的，有單根的出現，然而在帶入包含常數項和趨勢項迴歸的ADF模型測定時，其所得T值大於在99%、95%、90%信賴區間下的臨界ADF檢驗所得T值，拒絕虛無假設，又其</w:t>
      </w:r>
      <w:proofErr w:type="spellStart"/>
      <w:r w:rsidR="008C597D" w:rsidRPr="002F006C">
        <w:rPr>
          <w:rFonts w:ascii="標楷體" w:eastAsia="標楷體" w:hAnsi="標楷體" w:hint="eastAsia"/>
        </w:rPr>
        <w:t>P</w:t>
      </w:r>
      <w:r w:rsidR="008C597D" w:rsidRPr="002F006C">
        <w:rPr>
          <w:rFonts w:ascii="標楷體" w:eastAsia="標楷體" w:hAnsi="標楷體"/>
        </w:rPr>
        <w:t>value</w:t>
      </w:r>
      <w:proofErr w:type="spellEnd"/>
      <w:r w:rsidR="008C597D" w:rsidRPr="002F006C">
        <w:rPr>
          <w:rFonts w:ascii="標楷體" w:eastAsia="標楷體" w:hAnsi="標楷體" w:hint="eastAsia"/>
        </w:rPr>
        <w:t>接近0，得出數列是平穩沒有單根這個與前述完全不同的檢定結果。</w:t>
      </w:r>
    </w:p>
    <w:p w14:paraId="51D7F2FD" w14:textId="76123BB2" w:rsidR="0063772A" w:rsidRPr="002F006C" w:rsidRDefault="0063772A" w:rsidP="0077699F">
      <w:pPr>
        <w:rPr>
          <w:rFonts w:ascii="標楷體" w:eastAsia="標楷體" w:hAnsi="標楷體"/>
        </w:rPr>
      </w:pPr>
      <w:r w:rsidRPr="002F006C">
        <w:rPr>
          <w:rFonts w:ascii="標楷體" w:eastAsia="標楷體" w:hAnsi="標楷體"/>
          <w:noProof/>
        </w:rPr>
        <w:drawing>
          <wp:inline distT="0" distB="0" distL="0" distR="0" wp14:anchorId="447B798F" wp14:editId="649ACFDA">
            <wp:extent cx="2679700" cy="2730500"/>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a:stretch>
                      <a:fillRect/>
                    </a:stretch>
                  </pic:blipFill>
                  <pic:spPr>
                    <a:xfrm>
                      <a:off x="0" y="0"/>
                      <a:ext cx="2679700" cy="2730500"/>
                    </a:xfrm>
                    <a:prstGeom prst="rect">
                      <a:avLst/>
                    </a:prstGeom>
                  </pic:spPr>
                </pic:pic>
              </a:graphicData>
            </a:graphic>
          </wp:inline>
        </w:drawing>
      </w:r>
      <w:r w:rsidRPr="002F006C">
        <w:rPr>
          <w:rFonts w:ascii="標楷體" w:eastAsia="標楷體" w:hAnsi="標楷體" w:hint="eastAsia"/>
        </w:rPr>
        <w:t>(圖三)</w:t>
      </w:r>
    </w:p>
    <w:p w14:paraId="4602568E" w14:textId="28FA7FF0" w:rsidR="0063772A" w:rsidRPr="002F006C" w:rsidRDefault="008C597D" w:rsidP="0077699F">
      <w:pPr>
        <w:rPr>
          <w:rFonts w:ascii="標楷體" w:eastAsia="標楷體" w:hAnsi="標楷體"/>
        </w:rPr>
      </w:pPr>
      <w:r w:rsidRPr="002F006C">
        <w:rPr>
          <w:rFonts w:ascii="標楷體" w:eastAsia="標楷體" w:hAnsi="標楷體"/>
        </w:rPr>
        <w:tab/>
      </w:r>
      <w:r w:rsidRPr="002F006C">
        <w:rPr>
          <w:rFonts w:ascii="標楷體" w:eastAsia="標楷體" w:hAnsi="標楷體" w:hint="eastAsia"/>
        </w:rPr>
        <w:t>為求謹慎，接下來再以</w:t>
      </w:r>
      <w:r w:rsidRPr="002F006C">
        <w:rPr>
          <w:rFonts w:ascii="標楷體" w:eastAsia="標楷體" w:hAnsi="標楷體"/>
        </w:rPr>
        <w:t>Phillips-Perron test</w:t>
      </w:r>
      <w:r w:rsidRPr="002F006C">
        <w:rPr>
          <w:rFonts w:ascii="標楷體" w:eastAsia="標楷體" w:hAnsi="標楷體" w:hint="eastAsia"/>
        </w:rPr>
        <w:t>來對損失率做檢測，得出結果如圖四所示，</w:t>
      </w:r>
      <w:r w:rsidR="00165627" w:rsidRPr="002F006C">
        <w:rPr>
          <w:rFonts w:ascii="標楷體" w:eastAsia="標楷體" w:hAnsi="標楷體" w:hint="eastAsia"/>
        </w:rPr>
        <w:t>可以得出無論是僅包含截距項迴歸還是包含截距項和趨勢項迴歸</w:t>
      </w:r>
      <w:r w:rsidR="00006A97" w:rsidRPr="002F006C">
        <w:rPr>
          <w:rFonts w:ascii="標楷體" w:eastAsia="標楷體" w:hAnsi="標楷體" w:hint="eastAsia"/>
        </w:rPr>
        <w:t>的PP檢定</w:t>
      </w:r>
      <w:r w:rsidR="00165627" w:rsidRPr="002F006C">
        <w:rPr>
          <w:rFonts w:ascii="標楷體" w:eastAsia="標楷體" w:hAnsi="標楷體" w:hint="eastAsia"/>
        </w:rPr>
        <w:t>，</w:t>
      </w:r>
      <w:r w:rsidR="00006A97" w:rsidRPr="002F006C">
        <w:rPr>
          <w:rFonts w:ascii="標楷體" w:eastAsia="標楷體" w:hAnsi="標楷體" w:hint="eastAsia"/>
        </w:rPr>
        <w:t>皆呈現拒絕虛無假設的結果，亦謂在PP檢定下，損失率數列是平穩沒有單根，這與包含趨勢和截距項的ADF模型所得出結論相同而與僅包含截距項的ADF所得結論不同。</w:t>
      </w:r>
    </w:p>
    <w:p w14:paraId="342AA14C" w14:textId="6EF37DE6" w:rsidR="00165627" w:rsidRPr="002F006C" w:rsidRDefault="00165627" w:rsidP="00165627">
      <w:pPr>
        <w:rPr>
          <w:rFonts w:ascii="標楷體" w:eastAsia="標楷體" w:hAnsi="標楷體"/>
        </w:rPr>
      </w:pPr>
      <w:r w:rsidRPr="002F006C">
        <w:rPr>
          <w:rFonts w:ascii="標楷體" w:eastAsia="標楷體" w:hAnsi="標楷體" w:hint="eastAsia"/>
          <w:noProof/>
        </w:rPr>
        <w:drawing>
          <wp:inline distT="0" distB="0" distL="0" distR="0" wp14:anchorId="72EFFDD0" wp14:editId="59D4055D">
            <wp:extent cx="4108450" cy="3390900"/>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a:stretch>
                      <a:fillRect/>
                    </a:stretch>
                  </pic:blipFill>
                  <pic:spPr>
                    <a:xfrm>
                      <a:off x="0" y="0"/>
                      <a:ext cx="4108450" cy="3390900"/>
                    </a:xfrm>
                    <a:prstGeom prst="rect">
                      <a:avLst/>
                    </a:prstGeom>
                  </pic:spPr>
                </pic:pic>
              </a:graphicData>
            </a:graphic>
          </wp:inline>
        </w:drawing>
      </w:r>
      <w:r w:rsidRPr="002F006C">
        <w:rPr>
          <w:rFonts w:ascii="標楷體" w:eastAsia="標楷體" w:hAnsi="標楷體" w:hint="eastAsia"/>
        </w:rPr>
        <w:t>(圖四)</w:t>
      </w:r>
    </w:p>
    <w:p w14:paraId="3788DE6F" w14:textId="3E42B37D" w:rsidR="00165627" w:rsidRPr="002F006C" w:rsidRDefault="00006A97" w:rsidP="0077699F">
      <w:pPr>
        <w:rPr>
          <w:rFonts w:ascii="標楷體" w:eastAsia="標楷體" w:hAnsi="標楷體"/>
        </w:rPr>
      </w:pPr>
      <w:r w:rsidRPr="002F006C">
        <w:rPr>
          <w:rFonts w:ascii="標楷體" w:eastAsia="標楷體" w:hAnsi="標楷體"/>
        </w:rPr>
        <w:lastRenderedPageBreak/>
        <w:tab/>
      </w:r>
      <w:r w:rsidRPr="002F006C">
        <w:rPr>
          <w:rFonts w:ascii="標楷體" w:eastAsia="標楷體" w:hAnsi="標楷體" w:hint="eastAsia"/>
        </w:rPr>
        <w:t>因此，針對結論不一致的現象，以</w:t>
      </w:r>
      <w:proofErr w:type="spellStart"/>
      <w:r w:rsidRPr="002F006C">
        <w:rPr>
          <w:rFonts w:ascii="標楷體" w:eastAsia="標楷體" w:hAnsi="標楷體" w:hint="eastAsia"/>
        </w:rPr>
        <w:t>Zi</w:t>
      </w:r>
      <w:r w:rsidRPr="002F006C">
        <w:rPr>
          <w:rFonts w:ascii="標楷體" w:eastAsia="標楷體" w:hAnsi="標楷體"/>
        </w:rPr>
        <w:t>vot</w:t>
      </w:r>
      <w:proofErr w:type="spellEnd"/>
      <w:r w:rsidRPr="002F006C">
        <w:rPr>
          <w:rFonts w:ascii="標楷體" w:eastAsia="標楷體" w:hAnsi="標楷體" w:hint="eastAsia"/>
        </w:rPr>
        <w:t>與An</w:t>
      </w:r>
      <w:r w:rsidRPr="002F006C">
        <w:rPr>
          <w:rFonts w:ascii="標楷體" w:eastAsia="標楷體" w:hAnsi="標楷體"/>
        </w:rPr>
        <w:t>drew</w:t>
      </w:r>
      <w:r w:rsidRPr="002F006C">
        <w:rPr>
          <w:rFonts w:ascii="標楷體" w:eastAsia="標楷體" w:hAnsi="標楷體" w:hint="eastAsia"/>
        </w:rPr>
        <w:t>檢定來找出結構轉變點(註一)，分別依據包含截距項和趨勢項與僅包含截距項的模型帶入損失率與損失率變化，得出的結果如下</w:t>
      </w:r>
      <w:r w:rsidR="006054B2" w:rsidRPr="002F006C">
        <w:rPr>
          <w:rFonts w:ascii="標楷體" w:eastAsia="標楷體" w:hAnsi="標楷體" w:hint="eastAsia"/>
        </w:rPr>
        <w:t>圖</w:t>
      </w:r>
      <w:r w:rsidRPr="002F006C">
        <w:rPr>
          <w:rFonts w:ascii="標楷體" w:eastAsia="標楷體" w:hAnsi="標楷體" w:hint="eastAsia"/>
        </w:rPr>
        <w:t>所示</w:t>
      </w:r>
      <w:r w:rsidR="006054B2" w:rsidRPr="002F006C">
        <w:rPr>
          <w:rFonts w:ascii="標楷體" w:eastAsia="標楷體" w:hAnsi="標楷體" w:hint="eastAsia"/>
        </w:rPr>
        <w:t xml:space="preserve"> (圖五) (圖六) (圖七) (圖八)，依據套件文檔解釋，此模型是用最小化T值跟Co</w:t>
      </w:r>
      <w:r w:rsidR="006054B2" w:rsidRPr="002F006C">
        <w:rPr>
          <w:rFonts w:ascii="標楷體" w:eastAsia="標楷體" w:hAnsi="標楷體"/>
        </w:rPr>
        <w:t>efficient</w:t>
      </w:r>
      <w:r w:rsidR="006054B2" w:rsidRPr="002F006C">
        <w:rPr>
          <w:rFonts w:ascii="標楷體" w:eastAsia="標楷體" w:hAnsi="標楷體" w:hint="eastAsia"/>
        </w:rPr>
        <w:t>來決定滯後變數，無法設定由AIC、BIC來決定滯後變數，</w:t>
      </w:r>
      <w:r w:rsidR="008C2903" w:rsidRPr="002F006C">
        <w:rPr>
          <w:rFonts w:ascii="標楷體" w:eastAsia="標楷體" w:hAnsi="標楷體" w:hint="eastAsia"/>
        </w:rPr>
        <w:t>且</w:t>
      </w:r>
      <w:r w:rsidR="006054B2" w:rsidRPr="002F006C">
        <w:rPr>
          <w:rFonts w:ascii="標楷體" w:eastAsia="標楷體" w:hAnsi="標楷體" w:hint="eastAsia"/>
        </w:rPr>
        <w:t>該檢定模型建立在檢定迴歸遞迴估計上，</w:t>
      </w:r>
      <w:r w:rsidR="008C2903" w:rsidRPr="002F006C">
        <w:rPr>
          <w:rFonts w:ascii="標楷體" w:eastAsia="標楷體" w:hAnsi="標楷體" w:hint="eastAsia"/>
        </w:rPr>
        <w:t>依據網友在</w:t>
      </w:r>
      <w:proofErr w:type="spellStart"/>
      <w:r w:rsidR="008C2903" w:rsidRPr="002F006C">
        <w:rPr>
          <w:rFonts w:ascii="標楷體" w:eastAsia="標楷體" w:hAnsi="標楷體"/>
        </w:rPr>
        <w:t>researchgate</w:t>
      </w:r>
      <w:proofErr w:type="spellEnd"/>
      <w:r w:rsidR="008C2903" w:rsidRPr="002F006C">
        <w:rPr>
          <w:rFonts w:ascii="標楷體" w:eastAsia="標楷體" w:hAnsi="標楷體" w:hint="eastAsia"/>
        </w:rPr>
        <w:t>網站上的提問回答，判定第四個位置為其結構改變斷點，並依此把樣本切割成2000年到2003年與2004年到2019年兩個子樣本集。</w:t>
      </w:r>
    </w:p>
    <w:p w14:paraId="6B0D1058" w14:textId="6AA43AC1" w:rsidR="006054B2" w:rsidRPr="002F006C" w:rsidRDefault="006054B2" w:rsidP="0077699F">
      <w:pPr>
        <w:rPr>
          <w:rFonts w:ascii="標楷體" w:eastAsia="標楷體" w:hAnsi="標楷體"/>
        </w:rPr>
      </w:pPr>
      <w:r w:rsidRPr="002F006C">
        <w:rPr>
          <w:rFonts w:ascii="標楷體" w:eastAsia="標楷體" w:hAnsi="標楷體" w:hint="eastAsia"/>
          <w:noProof/>
        </w:rPr>
        <w:drawing>
          <wp:inline distT="0" distB="0" distL="0" distR="0" wp14:anchorId="2E11F445" wp14:editId="5603AFE8">
            <wp:extent cx="2679700" cy="3359150"/>
            <wp:effectExtent l="0" t="0" r="635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1"/>
                    <a:stretch>
                      <a:fillRect/>
                    </a:stretch>
                  </pic:blipFill>
                  <pic:spPr>
                    <a:xfrm>
                      <a:off x="0" y="0"/>
                      <a:ext cx="2679700" cy="3359150"/>
                    </a:xfrm>
                    <a:prstGeom prst="rect">
                      <a:avLst/>
                    </a:prstGeom>
                  </pic:spPr>
                </pic:pic>
              </a:graphicData>
            </a:graphic>
          </wp:inline>
        </w:drawing>
      </w:r>
      <w:r w:rsidRPr="002F006C">
        <w:rPr>
          <w:rFonts w:ascii="標楷體" w:eastAsia="標楷體" w:hAnsi="標楷體" w:hint="eastAsia"/>
        </w:rPr>
        <w:t>損失率用包含截距項和趨勢項模型帶入 (圖五)</w:t>
      </w:r>
    </w:p>
    <w:p w14:paraId="75981CC3" w14:textId="554428A4" w:rsidR="006054B2" w:rsidRPr="002F006C" w:rsidRDefault="006054B2" w:rsidP="0077699F">
      <w:pPr>
        <w:rPr>
          <w:rFonts w:ascii="標楷體" w:eastAsia="標楷體" w:hAnsi="標楷體"/>
        </w:rPr>
      </w:pPr>
      <w:r w:rsidRPr="002F006C">
        <w:rPr>
          <w:rFonts w:ascii="標楷體" w:eastAsia="標楷體" w:hAnsi="標楷體" w:hint="eastAsia"/>
          <w:noProof/>
        </w:rPr>
        <w:drawing>
          <wp:inline distT="0" distB="0" distL="0" distR="0" wp14:anchorId="62C23AB7" wp14:editId="285354C2">
            <wp:extent cx="2673350" cy="33909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2"/>
                    <a:stretch>
                      <a:fillRect/>
                    </a:stretch>
                  </pic:blipFill>
                  <pic:spPr>
                    <a:xfrm>
                      <a:off x="0" y="0"/>
                      <a:ext cx="2673350" cy="3390900"/>
                    </a:xfrm>
                    <a:prstGeom prst="rect">
                      <a:avLst/>
                    </a:prstGeom>
                  </pic:spPr>
                </pic:pic>
              </a:graphicData>
            </a:graphic>
          </wp:inline>
        </w:drawing>
      </w:r>
      <w:r w:rsidRPr="002F006C">
        <w:rPr>
          <w:rFonts w:ascii="標楷體" w:eastAsia="標楷體" w:hAnsi="標楷體" w:hint="eastAsia"/>
        </w:rPr>
        <w:t>損失率變化用包含截距項和趨勢項模型帶入 (圖六)</w:t>
      </w:r>
    </w:p>
    <w:p w14:paraId="2339E1B1" w14:textId="7D2D1090" w:rsidR="00006A97" w:rsidRPr="002F006C" w:rsidRDefault="006054B2" w:rsidP="0077699F">
      <w:pPr>
        <w:rPr>
          <w:rFonts w:ascii="標楷體" w:eastAsia="標楷體" w:hAnsi="標楷體"/>
        </w:rPr>
      </w:pPr>
      <w:r w:rsidRPr="002F006C">
        <w:rPr>
          <w:rFonts w:ascii="標楷體" w:eastAsia="標楷體" w:hAnsi="標楷體"/>
          <w:noProof/>
        </w:rPr>
        <w:lastRenderedPageBreak/>
        <w:drawing>
          <wp:inline distT="0" distB="0" distL="0" distR="0" wp14:anchorId="454D658A" wp14:editId="43147387">
            <wp:extent cx="2736850" cy="3390900"/>
            <wp:effectExtent l="0" t="0" r="635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3"/>
                    <a:stretch>
                      <a:fillRect/>
                    </a:stretch>
                  </pic:blipFill>
                  <pic:spPr>
                    <a:xfrm>
                      <a:off x="0" y="0"/>
                      <a:ext cx="2736850" cy="3390900"/>
                    </a:xfrm>
                    <a:prstGeom prst="rect">
                      <a:avLst/>
                    </a:prstGeom>
                  </pic:spPr>
                </pic:pic>
              </a:graphicData>
            </a:graphic>
          </wp:inline>
        </w:drawing>
      </w:r>
      <w:r w:rsidRPr="002F006C">
        <w:rPr>
          <w:rFonts w:ascii="標楷體" w:eastAsia="標楷體" w:hAnsi="標楷體" w:hint="eastAsia"/>
        </w:rPr>
        <w:t>損失率用僅包含截距項模型帶入 (圖七)</w:t>
      </w:r>
    </w:p>
    <w:p w14:paraId="44E16BDC" w14:textId="792441E4" w:rsidR="006054B2" w:rsidRPr="002F006C" w:rsidRDefault="006054B2" w:rsidP="0077699F">
      <w:pPr>
        <w:rPr>
          <w:rFonts w:ascii="標楷體" w:eastAsia="標楷體" w:hAnsi="標楷體"/>
        </w:rPr>
      </w:pPr>
      <w:r w:rsidRPr="002F006C">
        <w:rPr>
          <w:rFonts w:ascii="標楷體" w:eastAsia="標楷體" w:hAnsi="標楷體"/>
          <w:noProof/>
        </w:rPr>
        <w:drawing>
          <wp:inline distT="0" distB="0" distL="0" distR="0" wp14:anchorId="7F646FF0" wp14:editId="5672AAEB">
            <wp:extent cx="2705100" cy="3403600"/>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4"/>
                    <a:stretch>
                      <a:fillRect/>
                    </a:stretch>
                  </pic:blipFill>
                  <pic:spPr>
                    <a:xfrm>
                      <a:off x="0" y="0"/>
                      <a:ext cx="2705100" cy="3403600"/>
                    </a:xfrm>
                    <a:prstGeom prst="rect">
                      <a:avLst/>
                    </a:prstGeom>
                  </pic:spPr>
                </pic:pic>
              </a:graphicData>
            </a:graphic>
          </wp:inline>
        </w:drawing>
      </w:r>
      <w:r w:rsidRPr="002F006C">
        <w:rPr>
          <w:rFonts w:ascii="標楷體" w:eastAsia="標楷體" w:hAnsi="標楷體" w:hint="eastAsia"/>
        </w:rPr>
        <w:t>損失率變化用僅包含截距項模型帶入 (圖八)</w:t>
      </w:r>
    </w:p>
    <w:p w14:paraId="0F1E2E92" w14:textId="1FECA9F7" w:rsidR="00006A97" w:rsidRPr="002F006C" w:rsidRDefault="00006A97" w:rsidP="0077699F">
      <w:pPr>
        <w:rPr>
          <w:rFonts w:ascii="標楷體" w:eastAsia="標楷體" w:hAnsi="標楷體"/>
        </w:rPr>
      </w:pPr>
      <w:r w:rsidRPr="002F006C">
        <w:rPr>
          <w:rFonts w:ascii="標楷體" w:eastAsia="標楷體" w:hAnsi="標楷體" w:hint="eastAsia"/>
        </w:rPr>
        <w:t>(註一)由於P</w:t>
      </w:r>
      <w:r w:rsidRPr="002F006C">
        <w:rPr>
          <w:rFonts w:ascii="標楷體" w:eastAsia="標楷體" w:hAnsi="標楷體"/>
        </w:rPr>
        <w:t>ython</w:t>
      </w:r>
      <w:r w:rsidRPr="002F006C">
        <w:rPr>
          <w:rFonts w:ascii="標楷體" w:eastAsia="標楷體" w:hAnsi="標楷體" w:hint="eastAsia"/>
        </w:rPr>
        <w:t>用來做</w:t>
      </w:r>
      <w:proofErr w:type="spellStart"/>
      <w:r w:rsidRPr="002F006C">
        <w:rPr>
          <w:rFonts w:ascii="標楷體" w:eastAsia="標楷體" w:hAnsi="標楷體" w:hint="eastAsia"/>
        </w:rPr>
        <w:t>Z</w:t>
      </w:r>
      <w:r w:rsidRPr="002F006C">
        <w:rPr>
          <w:rFonts w:ascii="標楷體" w:eastAsia="標楷體" w:hAnsi="標楷體"/>
        </w:rPr>
        <w:t>ivot</w:t>
      </w:r>
      <w:proofErr w:type="spellEnd"/>
      <w:r w:rsidRPr="002F006C">
        <w:rPr>
          <w:rFonts w:ascii="標楷體" w:eastAsia="標楷體" w:hAnsi="標楷體" w:hint="eastAsia"/>
        </w:rPr>
        <w:t>與An</w:t>
      </w:r>
      <w:r w:rsidRPr="002F006C">
        <w:rPr>
          <w:rFonts w:ascii="標楷體" w:eastAsia="標楷體" w:hAnsi="標楷體"/>
        </w:rPr>
        <w:t>drew</w:t>
      </w:r>
      <w:r w:rsidRPr="002F006C">
        <w:rPr>
          <w:rFonts w:ascii="標楷體" w:eastAsia="標楷體" w:hAnsi="標楷體" w:hint="eastAsia"/>
        </w:rPr>
        <w:t>的套件</w:t>
      </w:r>
      <w:r w:rsidRPr="002F006C">
        <w:rPr>
          <w:rFonts w:ascii="標楷體" w:eastAsia="標楷體" w:hAnsi="標楷體"/>
        </w:rPr>
        <w:t>arch</w:t>
      </w:r>
      <w:r w:rsidRPr="002F006C">
        <w:rPr>
          <w:rFonts w:ascii="標楷體" w:eastAsia="標楷體" w:hAnsi="標楷體" w:hint="eastAsia"/>
        </w:rPr>
        <w:t>跟</w:t>
      </w:r>
      <w:proofErr w:type="spellStart"/>
      <w:r w:rsidRPr="002F006C">
        <w:rPr>
          <w:rFonts w:ascii="標楷體" w:eastAsia="標楷體" w:hAnsi="標楷體"/>
        </w:rPr>
        <w:t>statsmodels</w:t>
      </w:r>
      <w:proofErr w:type="spellEnd"/>
      <w:r w:rsidRPr="002F006C">
        <w:rPr>
          <w:rFonts w:ascii="標楷體" w:eastAsia="標楷體" w:hAnsi="標楷體" w:hint="eastAsia"/>
        </w:rPr>
        <w:t>分別因為樣本數過少跟不明原因(猜測源代碼因為P</w:t>
      </w:r>
      <w:r w:rsidRPr="002F006C">
        <w:rPr>
          <w:rFonts w:ascii="標楷體" w:eastAsia="標楷體" w:hAnsi="標楷體"/>
        </w:rPr>
        <w:t>andas</w:t>
      </w:r>
      <w:r w:rsidRPr="002F006C">
        <w:rPr>
          <w:rFonts w:ascii="標楷體" w:eastAsia="標楷體" w:hAnsi="標楷體" w:hint="eastAsia"/>
        </w:rPr>
        <w:t>版本更新而導致語法雖正確卻無法使用報錯)，因此改用R語言</w:t>
      </w:r>
      <w:proofErr w:type="spellStart"/>
      <w:r w:rsidRPr="002F006C">
        <w:rPr>
          <w:rFonts w:ascii="標楷體" w:eastAsia="標楷體" w:hAnsi="標楷體"/>
        </w:rPr>
        <w:t>urca</w:t>
      </w:r>
      <w:proofErr w:type="spellEnd"/>
      <w:r w:rsidRPr="002F006C">
        <w:rPr>
          <w:rFonts w:ascii="標楷體" w:eastAsia="標楷體" w:hAnsi="標楷體" w:hint="eastAsia"/>
        </w:rPr>
        <w:t>套件替代作分析</w:t>
      </w:r>
    </w:p>
    <w:p w14:paraId="55411D41" w14:textId="565E6C68" w:rsidR="008C2903" w:rsidRPr="002F006C" w:rsidRDefault="00F83D7E" w:rsidP="0077699F">
      <w:pPr>
        <w:rPr>
          <w:rFonts w:ascii="標楷體" w:eastAsia="標楷體" w:hAnsi="標楷體"/>
        </w:rPr>
      </w:pPr>
      <w:r w:rsidRPr="002F006C">
        <w:rPr>
          <w:rFonts w:ascii="標楷體" w:eastAsia="標楷體" w:hAnsi="標楷體"/>
        </w:rPr>
        <w:tab/>
      </w:r>
      <w:r w:rsidRPr="002F006C">
        <w:rPr>
          <w:rFonts w:ascii="標楷體" w:eastAsia="標楷體" w:hAnsi="標楷體" w:hint="eastAsia"/>
        </w:rPr>
        <w:t>接下來針對子樣本集和整體樣本分別帶入二階自我迴歸模型，由於另一子樣本集數量過小，僅用2003-2019子樣本帶入二階自我迴歸模型，再帶入二階自我迴歸模型時，先針對偏自相關函式來做繪圖，</w:t>
      </w:r>
      <w:r w:rsidR="00F512D2" w:rsidRPr="002F006C">
        <w:rPr>
          <w:rFonts w:ascii="標楷體" w:eastAsia="標楷體" w:hAnsi="標楷體" w:hint="eastAsia"/>
        </w:rPr>
        <w:t>偏自相關函式指序列觀測值與扣除若干觀測值的觀測值的關係摘要，</w:t>
      </w:r>
      <w:r w:rsidR="00F512D2" w:rsidRPr="002F006C">
        <w:rPr>
          <w:rFonts w:ascii="標楷體" w:eastAsia="標楷體" w:hAnsi="標楷體" w:hint="eastAsia"/>
        </w:rPr>
        <w:lastRenderedPageBreak/>
        <w:t>描述觀測值與滯後觀測值間的關係，若變動小於信賴區間，代表其不再具有相關性</w:t>
      </w:r>
      <w:r w:rsidR="009B7CE1">
        <w:rPr>
          <w:rFonts w:ascii="標楷體" w:eastAsia="標楷體" w:hAnsi="標楷體" w:hint="eastAsia"/>
        </w:rPr>
        <w:t>，此次分析給定滯留數為15，以此來判定</w:t>
      </w:r>
      <w:r w:rsidR="009B7CE1" w:rsidRPr="002F006C">
        <w:rPr>
          <w:rFonts w:ascii="標楷體" w:eastAsia="標楷體" w:hAnsi="標楷體" w:hint="eastAsia"/>
        </w:rPr>
        <w:t>觀測值與滯後觀測值間的關係</w:t>
      </w:r>
      <w:r w:rsidR="009B7CE1">
        <w:rPr>
          <w:rFonts w:ascii="標楷體" w:eastAsia="標楷體" w:hAnsi="標楷體" w:hint="eastAsia"/>
        </w:rPr>
        <w:t>。</w:t>
      </w:r>
    </w:p>
    <w:p w14:paraId="7CE8F0BC" w14:textId="00BEE9C2" w:rsidR="00F512D2" w:rsidRPr="002F006C" w:rsidRDefault="00F512D2" w:rsidP="0077699F">
      <w:pPr>
        <w:rPr>
          <w:rFonts w:ascii="標楷體" w:eastAsia="標楷體" w:hAnsi="標楷體"/>
        </w:rPr>
      </w:pPr>
      <w:r w:rsidRPr="002F006C">
        <w:rPr>
          <w:rFonts w:ascii="標楷體" w:eastAsia="標楷體" w:hAnsi="標楷體"/>
          <w:noProof/>
        </w:rPr>
        <w:drawing>
          <wp:inline distT="0" distB="0" distL="0" distR="0" wp14:anchorId="3D0882FE" wp14:editId="5ACA4CDE">
            <wp:extent cx="6108699" cy="3136900"/>
            <wp:effectExtent l="0" t="0" r="698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5"/>
                    <a:stretch>
                      <a:fillRect/>
                    </a:stretch>
                  </pic:blipFill>
                  <pic:spPr>
                    <a:xfrm>
                      <a:off x="0" y="0"/>
                      <a:ext cx="6108699" cy="3136900"/>
                    </a:xfrm>
                    <a:prstGeom prst="rect">
                      <a:avLst/>
                    </a:prstGeom>
                  </pic:spPr>
                </pic:pic>
              </a:graphicData>
            </a:graphic>
          </wp:inline>
        </w:drawing>
      </w:r>
    </w:p>
    <w:p w14:paraId="371A6CC0" w14:textId="5139D3A9" w:rsidR="001503B9" w:rsidRPr="002F006C" w:rsidRDefault="001503B9" w:rsidP="0077699F">
      <w:pPr>
        <w:rPr>
          <w:rFonts w:ascii="標楷體" w:eastAsia="標楷體" w:hAnsi="標楷體"/>
        </w:rPr>
      </w:pPr>
      <w:r w:rsidRPr="002F006C">
        <w:rPr>
          <w:rFonts w:ascii="標楷體" w:eastAsia="標楷體" w:hAnsi="標楷體" w:hint="eastAsia"/>
        </w:rPr>
        <w:t>(圖九)</w:t>
      </w:r>
    </w:p>
    <w:p w14:paraId="31E97D21" w14:textId="21877589" w:rsidR="00EE5ADE" w:rsidRPr="00EE5ADE" w:rsidRDefault="00F512D2" w:rsidP="0077699F">
      <w:pPr>
        <w:rPr>
          <w:rFonts w:ascii="標楷體" w:eastAsia="標楷體" w:hAnsi="標楷體"/>
        </w:rPr>
      </w:pPr>
      <w:r w:rsidRPr="002F006C">
        <w:rPr>
          <w:rFonts w:ascii="標楷體" w:eastAsia="標楷體" w:hAnsi="標楷體"/>
        </w:rPr>
        <w:tab/>
      </w:r>
      <w:r w:rsidRPr="002F006C">
        <w:rPr>
          <w:rFonts w:ascii="標楷體" w:eastAsia="標楷體" w:hAnsi="標楷體" w:hint="eastAsia"/>
        </w:rPr>
        <w:t>此張圖</w:t>
      </w:r>
      <w:r w:rsidR="00EE5ADE">
        <w:rPr>
          <w:rFonts w:ascii="標楷體" w:eastAsia="標楷體" w:hAnsi="標楷體" w:hint="eastAsia"/>
        </w:rPr>
        <w:t>無法表明兩者不存在相關性，但與當前觀測值有關滯留參數為14期以後，可能為資料結構轉變所造成的影響，因此我又繪製</w:t>
      </w:r>
      <w:r w:rsidR="00EE5ADE" w:rsidRPr="00EE5ADE">
        <w:rPr>
          <w:rFonts w:ascii="標楷體" w:eastAsia="標楷體" w:hAnsi="標楷體" w:hint="eastAsia"/>
        </w:rPr>
        <w:t>自相關係數</w:t>
      </w:r>
      <w:r w:rsidR="00EE5ADE">
        <w:rPr>
          <w:rFonts w:ascii="標楷體" w:eastAsia="標楷體" w:hAnsi="標楷體" w:hint="eastAsia"/>
        </w:rPr>
        <w:t>圖如下圖顯示</w:t>
      </w:r>
      <w:r w:rsidR="00EE5ADE" w:rsidRPr="002F006C">
        <w:rPr>
          <w:rFonts w:ascii="標楷體" w:eastAsia="標楷體" w:hAnsi="標楷體" w:hint="eastAsia"/>
        </w:rPr>
        <w:t>(圖九</w:t>
      </w:r>
      <w:r w:rsidR="00EE5ADE">
        <w:rPr>
          <w:rFonts w:ascii="標楷體" w:eastAsia="標楷體" w:hAnsi="標楷體" w:hint="eastAsia"/>
        </w:rPr>
        <w:t>之一</w:t>
      </w:r>
      <w:r w:rsidR="00EE5ADE" w:rsidRPr="002F006C">
        <w:rPr>
          <w:rFonts w:ascii="標楷體" w:eastAsia="標楷體" w:hAnsi="標楷體" w:hint="eastAsia"/>
        </w:rPr>
        <w:t>)</w:t>
      </w:r>
      <w:r w:rsidR="00EE5ADE">
        <w:rPr>
          <w:rFonts w:ascii="標楷體" w:eastAsia="標楷體" w:hAnsi="標楷體" w:hint="eastAsia"/>
        </w:rPr>
        <w:t>，一般而言，若其為平穩序列，會快速減少至0附近或在某一階段後等於零，若為不平穩數列，則會緩慢下降，下圖可表明即便偏自我相關性參數在滯留14期以後觀測值有出現與當前觀測值高度相關性，但在自相關係數上大體而言仍在信賴區間內，因此，我仍傾向判定損失率數列為穩定數列而非不穩定數列。</w:t>
      </w:r>
    </w:p>
    <w:p w14:paraId="677E906A" w14:textId="5FDEA4FD" w:rsidR="00EE5ADE" w:rsidRDefault="00EE5ADE" w:rsidP="0077699F">
      <w:pPr>
        <w:rPr>
          <w:rFonts w:ascii="標楷體" w:eastAsia="標楷體" w:hAnsi="標楷體"/>
        </w:rPr>
      </w:pPr>
      <w:r>
        <w:rPr>
          <w:rFonts w:ascii="標楷體" w:eastAsia="標楷體" w:hAnsi="標楷體"/>
          <w:noProof/>
        </w:rPr>
        <w:drawing>
          <wp:inline distT="0" distB="0" distL="0" distR="0" wp14:anchorId="7B6C5725" wp14:editId="7A9C4B46">
            <wp:extent cx="6188710" cy="3136900"/>
            <wp:effectExtent l="0" t="0" r="254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6"/>
                    <a:stretch>
                      <a:fillRect/>
                    </a:stretch>
                  </pic:blipFill>
                  <pic:spPr>
                    <a:xfrm>
                      <a:off x="0" y="0"/>
                      <a:ext cx="6188710" cy="3136900"/>
                    </a:xfrm>
                    <a:prstGeom prst="rect">
                      <a:avLst/>
                    </a:prstGeom>
                  </pic:spPr>
                </pic:pic>
              </a:graphicData>
            </a:graphic>
          </wp:inline>
        </w:drawing>
      </w:r>
    </w:p>
    <w:p w14:paraId="6070ACBC" w14:textId="41488D60" w:rsidR="00EE5ADE" w:rsidRPr="002F006C" w:rsidRDefault="00EE5ADE" w:rsidP="00EE5ADE">
      <w:pPr>
        <w:rPr>
          <w:rFonts w:ascii="標楷體" w:eastAsia="標楷體" w:hAnsi="標楷體"/>
        </w:rPr>
      </w:pPr>
      <w:r w:rsidRPr="002F006C">
        <w:rPr>
          <w:rFonts w:ascii="標楷體" w:eastAsia="標楷體" w:hAnsi="標楷體" w:hint="eastAsia"/>
        </w:rPr>
        <w:t>(圖九</w:t>
      </w:r>
      <w:r>
        <w:rPr>
          <w:rFonts w:ascii="標楷體" w:eastAsia="標楷體" w:hAnsi="標楷體" w:hint="eastAsia"/>
        </w:rPr>
        <w:t>之一</w:t>
      </w:r>
      <w:r w:rsidRPr="002F006C">
        <w:rPr>
          <w:rFonts w:ascii="標楷體" w:eastAsia="標楷體" w:hAnsi="標楷體" w:hint="eastAsia"/>
        </w:rPr>
        <w:t>)</w:t>
      </w:r>
    </w:p>
    <w:p w14:paraId="79050685" w14:textId="1748350D" w:rsidR="00F512D2" w:rsidRPr="002F006C" w:rsidRDefault="00EE5ADE" w:rsidP="00EE5ADE">
      <w:pPr>
        <w:ind w:firstLine="480"/>
        <w:rPr>
          <w:rFonts w:ascii="標楷體" w:eastAsia="標楷體" w:hAnsi="標楷體"/>
        </w:rPr>
      </w:pPr>
      <w:r>
        <w:rPr>
          <w:rFonts w:ascii="標楷體" w:eastAsia="標楷體" w:hAnsi="標楷體" w:hint="eastAsia"/>
        </w:rPr>
        <w:lastRenderedPageBreak/>
        <w:t>不過，由於對偏自我相關係數圖有所疑慮，因此，我仍按照原定流程將損失率資料丟入</w:t>
      </w:r>
      <w:r w:rsidR="00F512D2" w:rsidRPr="002F006C">
        <w:rPr>
          <w:rFonts w:ascii="標楷體" w:eastAsia="標楷體" w:hAnsi="標楷體" w:hint="eastAsia"/>
        </w:rPr>
        <w:t>二階自我迴歸模型與馬可夫轉換模型，</w:t>
      </w:r>
      <w:r w:rsidR="001503B9" w:rsidRPr="002F006C">
        <w:rPr>
          <w:rFonts w:ascii="標楷體" w:eastAsia="標楷體" w:hAnsi="標楷體" w:hint="eastAsia"/>
        </w:rPr>
        <w:t>並針對轉換機率做繪圖和給出預期核保週期，製作結果如下圖所示，</w:t>
      </w:r>
      <w:r w:rsidR="001503B9" w:rsidRPr="002F006C">
        <w:rPr>
          <w:rFonts w:ascii="標楷體" w:eastAsia="標楷體" w:hAnsi="標楷體"/>
        </w:rPr>
        <w:softHyphen/>
      </w:r>
      <w:r w:rsidR="001503B9" w:rsidRPr="002F006C">
        <w:rPr>
          <w:rFonts w:ascii="標楷體" w:eastAsia="標楷體" w:hAnsi="標楷體" w:hint="eastAsia"/>
        </w:rPr>
        <w:t>可以由下列結果得出火險基本不具備核保週期，尤其可以看到在馬可夫轉換模型方面，</w:t>
      </w:r>
      <w:r w:rsidR="00A118D0">
        <w:rPr>
          <w:rFonts w:ascii="標楷體" w:eastAsia="標楷體" w:hAnsi="標楷體" w:hint="eastAsia"/>
        </w:rPr>
        <w:t>由於馬可夫轉換模型的虛無假設為</w:t>
      </w:r>
      <w:r w:rsidR="00A118D0" w:rsidRPr="00A118D0">
        <w:rPr>
          <w:rFonts w:ascii="標楷體" w:eastAsia="標楷體" w:hAnsi="標楷體"/>
        </w:rPr>
        <w:t>H0: P11 = P12 = 1-P22</w:t>
      </w:r>
      <w:r w:rsidR="00A118D0">
        <w:rPr>
          <w:rFonts w:ascii="標楷體" w:eastAsia="標楷體" w:hAnsi="標楷體" w:hint="eastAsia"/>
        </w:rPr>
        <w:t>，其中P11指的是前期狀態為一轉換為當期狀態1的機率，P12為前期狀態為2轉換為當期狀態1的機率，P22為前期狀態為二轉換為當期狀態2的機率，可以看到在R</w:t>
      </w:r>
      <w:r w:rsidR="00A118D0">
        <w:rPr>
          <w:rFonts w:ascii="標楷體" w:eastAsia="標楷體" w:hAnsi="標楷體"/>
        </w:rPr>
        <w:t>egime transition parameter</w:t>
      </w:r>
      <w:r w:rsidR="00A118D0">
        <w:rPr>
          <w:rFonts w:ascii="標楷體" w:eastAsia="標楷體" w:hAnsi="標楷體" w:hint="eastAsia"/>
        </w:rPr>
        <w:t>的部分</w:t>
      </w:r>
      <w:r w:rsidR="001503B9" w:rsidRPr="002F006C">
        <w:rPr>
          <w:rFonts w:ascii="標楷體" w:eastAsia="標楷體" w:hAnsi="標楷體" w:hint="eastAsia"/>
        </w:rPr>
        <w:t>，</w:t>
      </w:r>
      <w:r w:rsidR="00A118D0">
        <w:rPr>
          <w:rFonts w:ascii="標楷體" w:eastAsia="標楷體" w:hAnsi="標楷體" w:hint="eastAsia"/>
        </w:rPr>
        <w:t>兩者狀態的P</w:t>
      </w:r>
      <w:r w:rsidR="00A118D0">
        <w:rPr>
          <w:rFonts w:ascii="標楷體" w:eastAsia="標楷體" w:hAnsi="標楷體"/>
        </w:rPr>
        <w:t>-value</w:t>
      </w:r>
      <w:r w:rsidR="00A118D0">
        <w:rPr>
          <w:rFonts w:ascii="標楷體" w:eastAsia="標楷體" w:hAnsi="標楷體" w:hint="eastAsia"/>
        </w:rPr>
        <w:t>皆為1，代表其無法拒絕此虛無假設，亦即此序列不存在兩狀態變化，</w:t>
      </w:r>
      <w:r w:rsidR="00571536">
        <w:rPr>
          <w:rFonts w:ascii="標楷體" w:eastAsia="標楷體" w:hAnsi="標楷體" w:hint="eastAsia"/>
        </w:rPr>
        <w:t>且按</w:t>
      </w:r>
      <w:proofErr w:type="spellStart"/>
      <w:r w:rsidR="00571536" w:rsidRPr="00571536">
        <w:rPr>
          <w:rFonts w:ascii="標楷體" w:eastAsia="標楷體" w:hAnsi="標楷體"/>
        </w:rPr>
        <w:t>Venezian</w:t>
      </w:r>
      <w:proofErr w:type="spellEnd"/>
      <w:r w:rsidR="00571536" w:rsidRPr="00571536">
        <w:rPr>
          <w:rFonts w:ascii="標楷體" w:eastAsia="標楷體" w:hAnsi="標楷體"/>
        </w:rPr>
        <w:t xml:space="preserve"> (1985)</w:t>
      </w:r>
      <w:r w:rsidR="00571536">
        <w:rPr>
          <w:rFonts w:ascii="標楷體" w:eastAsia="標楷體" w:hAnsi="標楷體" w:hint="eastAsia"/>
        </w:rPr>
        <w:t>簡化</w:t>
      </w:r>
      <w:r w:rsidR="0033565E" w:rsidRPr="002F006C">
        <w:rPr>
          <w:rFonts w:ascii="標楷體" w:eastAsia="標楷體" w:hAnsi="標楷體" w:hint="eastAsia"/>
        </w:rPr>
        <w:t>二階迴歸模型</w:t>
      </w:r>
      <w:r w:rsidR="00571536">
        <w:rPr>
          <w:rFonts w:ascii="標楷體" w:eastAsia="標楷體" w:hAnsi="標楷體" w:hint="eastAsia"/>
        </w:rPr>
        <w:t>，測定滯留1觀察值參數跟滯留2觀察值參數需顯著，且滿足滯留1觀察值參數大於零而滯留2觀察值參數小於零，模型才有意義，而此次分析中可得出，無論是</w:t>
      </w:r>
      <w:r w:rsidR="004B53B1" w:rsidRPr="002F006C">
        <w:rPr>
          <w:rFonts w:ascii="標楷體" w:eastAsia="標楷體" w:hAnsi="標楷體" w:hint="eastAsia"/>
        </w:rPr>
        <w:t>切割後的子樣本</w:t>
      </w:r>
      <w:r w:rsidR="00571536">
        <w:rPr>
          <w:rFonts w:ascii="標楷體" w:eastAsia="標楷體" w:hAnsi="標楷體" w:hint="eastAsia"/>
        </w:rPr>
        <w:t>跟所有母樣本</w:t>
      </w:r>
      <w:r w:rsidR="004B53B1" w:rsidRPr="002F006C">
        <w:rPr>
          <w:rFonts w:ascii="標楷體" w:eastAsia="標楷體" w:hAnsi="標楷體" w:hint="eastAsia"/>
        </w:rPr>
        <w:t>集在二階迴歸模型</w:t>
      </w:r>
      <w:r w:rsidR="00571536">
        <w:rPr>
          <w:rFonts w:ascii="標楷體" w:eastAsia="標楷體" w:hAnsi="標楷體" w:hint="eastAsia"/>
        </w:rPr>
        <w:t>表現上皆不滿足滯留1觀察值參數大於零而滯留2觀察值參數小於零，</w:t>
      </w:r>
      <w:r w:rsidR="004B53B1" w:rsidRPr="002F006C">
        <w:rPr>
          <w:rFonts w:ascii="標楷體" w:eastAsia="標楷體" w:hAnsi="標楷體" w:hint="eastAsia"/>
        </w:rPr>
        <w:t>因此綜合前述所有分析，我</w:t>
      </w:r>
      <w:r w:rsidR="00571536">
        <w:rPr>
          <w:rFonts w:ascii="標楷體" w:eastAsia="標楷體" w:hAnsi="標楷體" w:hint="eastAsia"/>
        </w:rPr>
        <w:t>推斷</w:t>
      </w:r>
      <w:r w:rsidR="004B53B1" w:rsidRPr="002F006C">
        <w:rPr>
          <w:rFonts w:ascii="標楷體" w:eastAsia="標楷體" w:hAnsi="標楷體" w:hint="eastAsia"/>
        </w:rPr>
        <w:t>火險在台灣不具有核保循環。</w:t>
      </w:r>
    </w:p>
    <w:p w14:paraId="5CB2F713" w14:textId="7743F2ED" w:rsidR="001503B9" w:rsidRPr="002F006C" w:rsidRDefault="001503B9" w:rsidP="001503B9">
      <w:pPr>
        <w:rPr>
          <w:rFonts w:ascii="標楷體" w:eastAsia="標楷體" w:hAnsi="標楷體"/>
        </w:rPr>
      </w:pPr>
      <w:r w:rsidRPr="002F006C">
        <w:rPr>
          <w:rFonts w:ascii="標楷體" w:eastAsia="標楷體" w:hAnsi="標楷體" w:hint="eastAsia"/>
          <w:noProof/>
        </w:rPr>
        <w:drawing>
          <wp:inline distT="0" distB="0" distL="0" distR="0" wp14:anchorId="208D926E" wp14:editId="4B70BEAE">
            <wp:extent cx="5124450" cy="2921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7"/>
                    <a:stretch>
                      <a:fillRect/>
                    </a:stretch>
                  </pic:blipFill>
                  <pic:spPr>
                    <a:xfrm>
                      <a:off x="0" y="0"/>
                      <a:ext cx="5124450" cy="2921000"/>
                    </a:xfrm>
                    <a:prstGeom prst="rect">
                      <a:avLst/>
                    </a:prstGeom>
                  </pic:spPr>
                </pic:pic>
              </a:graphicData>
            </a:graphic>
          </wp:inline>
        </w:drawing>
      </w:r>
      <w:r w:rsidRPr="002F006C">
        <w:rPr>
          <w:rFonts w:ascii="標楷體" w:eastAsia="標楷體" w:hAnsi="標楷體" w:hint="eastAsia"/>
        </w:rPr>
        <w:t>(圖十)</w:t>
      </w:r>
    </w:p>
    <w:p w14:paraId="0B6D307C" w14:textId="1649CB20" w:rsidR="001503B9" w:rsidRPr="002F006C" w:rsidRDefault="001503B9" w:rsidP="001503B9">
      <w:pPr>
        <w:rPr>
          <w:rFonts w:ascii="標楷體" w:eastAsia="標楷體" w:hAnsi="標楷體"/>
        </w:rPr>
      </w:pPr>
      <w:r w:rsidRPr="002F006C">
        <w:rPr>
          <w:rFonts w:ascii="標楷體" w:eastAsia="標楷體" w:hAnsi="標楷體" w:hint="eastAsia"/>
          <w:noProof/>
        </w:rPr>
        <w:lastRenderedPageBreak/>
        <w:drawing>
          <wp:inline distT="0" distB="0" distL="0" distR="0" wp14:anchorId="311F993B" wp14:editId="6D14C59A">
            <wp:extent cx="5187950" cy="2946400"/>
            <wp:effectExtent l="0" t="0" r="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8"/>
                    <a:stretch>
                      <a:fillRect/>
                    </a:stretch>
                  </pic:blipFill>
                  <pic:spPr>
                    <a:xfrm>
                      <a:off x="0" y="0"/>
                      <a:ext cx="5187950" cy="2946400"/>
                    </a:xfrm>
                    <a:prstGeom prst="rect">
                      <a:avLst/>
                    </a:prstGeom>
                  </pic:spPr>
                </pic:pic>
              </a:graphicData>
            </a:graphic>
          </wp:inline>
        </w:drawing>
      </w:r>
      <w:r w:rsidRPr="002F006C">
        <w:rPr>
          <w:rFonts w:ascii="標楷體" w:eastAsia="標楷體" w:hAnsi="標楷體" w:hint="eastAsia"/>
        </w:rPr>
        <w:t>(圖十一)</w:t>
      </w:r>
    </w:p>
    <w:p w14:paraId="5E57AFF7" w14:textId="5E25EB12" w:rsidR="001503B9" w:rsidRPr="002F006C" w:rsidRDefault="001503B9" w:rsidP="0077699F">
      <w:pPr>
        <w:rPr>
          <w:rFonts w:ascii="標楷體" w:eastAsia="標楷體" w:hAnsi="標楷體"/>
        </w:rPr>
      </w:pPr>
      <w:r w:rsidRPr="002F006C">
        <w:rPr>
          <w:rFonts w:ascii="標楷體" w:eastAsia="標楷體" w:hAnsi="標楷體" w:hint="eastAsia"/>
          <w:noProof/>
        </w:rPr>
        <w:drawing>
          <wp:inline distT="0" distB="0" distL="0" distR="0" wp14:anchorId="69D443CF" wp14:editId="50ED9929">
            <wp:extent cx="3232150" cy="4933950"/>
            <wp:effectExtent l="0" t="0" r="635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9"/>
                    <a:stretch>
                      <a:fillRect/>
                    </a:stretch>
                  </pic:blipFill>
                  <pic:spPr>
                    <a:xfrm>
                      <a:off x="0" y="0"/>
                      <a:ext cx="3232150" cy="4933950"/>
                    </a:xfrm>
                    <a:prstGeom prst="rect">
                      <a:avLst/>
                    </a:prstGeom>
                  </pic:spPr>
                </pic:pic>
              </a:graphicData>
            </a:graphic>
          </wp:inline>
        </w:drawing>
      </w:r>
      <w:r w:rsidRPr="002F006C">
        <w:rPr>
          <w:rFonts w:ascii="標楷體" w:eastAsia="標楷體" w:hAnsi="標楷體" w:hint="eastAsia"/>
        </w:rPr>
        <w:t>(圖十二)</w:t>
      </w:r>
    </w:p>
    <w:p w14:paraId="6FB7F591" w14:textId="26E2882F" w:rsidR="001503B9" w:rsidRPr="002F006C" w:rsidRDefault="001503B9" w:rsidP="0077699F">
      <w:pPr>
        <w:rPr>
          <w:rFonts w:ascii="標楷體" w:eastAsia="標楷體" w:hAnsi="標楷體"/>
        </w:rPr>
      </w:pPr>
      <w:r w:rsidRPr="002F006C">
        <w:rPr>
          <w:rFonts w:ascii="標楷體" w:eastAsia="標楷體" w:hAnsi="標楷體"/>
          <w:noProof/>
        </w:rPr>
        <w:lastRenderedPageBreak/>
        <w:drawing>
          <wp:inline distT="0" distB="0" distL="0" distR="0" wp14:anchorId="2B4BB19F" wp14:editId="3550102F">
            <wp:extent cx="6188710" cy="187134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0"/>
                    <a:stretch>
                      <a:fillRect/>
                    </a:stretch>
                  </pic:blipFill>
                  <pic:spPr>
                    <a:xfrm>
                      <a:off x="0" y="0"/>
                      <a:ext cx="6188710" cy="1871345"/>
                    </a:xfrm>
                    <a:prstGeom prst="rect">
                      <a:avLst/>
                    </a:prstGeom>
                  </pic:spPr>
                </pic:pic>
              </a:graphicData>
            </a:graphic>
          </wp:inline>
        </w:drawing>
      </w:r>
      <w:r w:rsidRPr="002F006C">
        <w:rPr>
          <w:rFonts w:ascii="標楷體" w:eastAsia="標楷體" w:hAnsi="標楷體" w:hint="eastAsia"/>
        </w:rPr>
        <w:t>(圖十三)</w:t>
      </w:r>
    </w:p>
    <w:p w14:paraId="5B8F4232" w14:textId="6385367F" w:rsidR="001503B9" w:rsidRPr="002F006C" w:rsidRDefault="001503B9" w:rsidP="0077699F">
      <w:pPr>
        <w:rPr>
          <w:rFonts w:ascii="標楷體" w:eastAsia="標楷體" w:hAnsi="標楷體"/>
        </w:rPr>
      </w:pPr>
      <w:r w:rsidRPr="002F006C">
        <w:rPr>
          <w:rFonts w:ascii="標楷體" w:eastAsia="標楷體" w:hAnsi="標楷體"/>
          <w:noProof/>
        </w:rPr>
        <w:drawing>
          <wp:inline distT="0" distB="0" distL="0" distR="0" wp14:anchorId="194DBF2D" wp14:editId="16AC1A9A">
            <wp:extent cx="6188710" cy="187134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21"/>
                    <a:stretch>
                      <a:fillRect/>
                    </a:stretch>
                  </pic:blipFill>
                  <pic:spPr>
                    <a:xfrm>
                      <a:off x="0" y="0"/>
                      <a:ext cx="6188710" cy="1871345"/>
                    </a:xfrm>
                    <a:prstGeom prst="rect">
                      <a:avLst/>
                    </a:prstGeom>
                  </pic:spPr>
                </pic:pic>
              </a:graphicData>
            </a:graphic>
          </wp:inline>
        </w:drawing>
      </w:r>
    </w:p>
    <w:p w14:paraId="08889AF4" w14:textId="150C53FB" w:rsidR="001503B9" w:rsidRPr="002F006C" w:rsidRDefault="001503B9" w:rsidP="0077699F">
      <w:pPr>
        <w:rPr>
          <w:rFonts w:ascii="標楷體" w:eastAsia="標楷體" w:hAnsi="標楷體"/>
        </w:rPr>
      </w:pPr>
      <w:r w:rsidRPr="002F006C">
        <w:rPr>
          <w:rFonts w:ascii="標楷體" w:eastAsia="標楷體" w:hAnsi="標楷體" w:hint="eastAsia"/>
        </w:rPr>
        <w:t>(圖十四)</w:t>
      </w:r>
    </w:p>
    <w:p w14:paraId="31197BAF" w14:textId="2B4B4802" w:rsidR="001503B9" w:rsidRPr="002F006C" w:rsidRDefault="001503B9" w:rsidP="0077699F">
      <w:pPr>
        <w:rPr>
          <w:rFonts w:ascii="標楷體" w:eastAsia="標楷體" w:hAnsi="標楷體"/>
        </w:rPr>
      </w:pPr>
      <w:r w:rsidRPr="002F006C">
        <w:rPr>
          <w:rFonts w:ascii="標楷體" w:eastAsia="標楷體" w:hAnsi="標楷體" w:hint="eastAsia"/>
          <w:noProof/>
        </w:rPr>
        <w:drawing>
          <wp:inline distT="0" distB="0" distL="0" distR="0" wp14:anchorId="086F08E4" wp14:editId="0883C533">
            <wp:extent cx="1555750" cy="241300"/>
            <wp:effectExtent l="0" t="0" r="6350"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2"/>
                    <a:stretch>
                      <a:fillRect/>
                    </a:stretch>
                  </pic:blipFill>
                  <pic:spPr>
                    <a:xfrm>
                      <a:off x="0" y="0"/>
                      <a:ext cx="1555750" cy="241300"/>
                    </a:xfrm>
                    <a:prstGeom prst="rect">
                      <a:avLst/>
                    </a:prstGeom>
                  </pic:spPr>
                </pic:pic>
              </a:graphicData>
            </a:graphic>
          </wp:inline>
        </w:drawing>
      </w:r>
      <w:r w:rsidRPr="002F006C">
        <w:rPr>
          <w:rFonts w:ascii="標楷體" w:eastAsia="標楷體" w:hAnsi="標楷體" w:hint="eastAsia"/>
        </w:rPr>
        <w:t>預期核保週期</w:t>
      </w:r>
      <w:r w:rsidR="00511B95" w:rsidRPr="002F006C">
        <w:rPr>
          <w:rFonts w:ascii="標楷體" w:eastAsia="標楷體" w:hAnsi="標楷體" w:hint="eastAsia"/>
        </w:rPr>
        <w:t>信賴區間</w:t>
      </w:r>
      <w:r w:rsidRPr="002F006C">
        <w:rPr>
          <w:rFonts w:ascii="標楷體" w:eastAsia="標楷體" w:hAnsi="標楷體" w:hint="eastAsia"/>
        </w:rPr>
        <w:t>(圖十五)</w:t>
      </w:r>
    </w:p>
    <w:p w14:paraId="26D22A90" w14:textId="77777777" w:rsidR="008C597D" w:rsidRPr="002F006C" w:rsidRDefault="008C597D" w:rsidP="0077699F">
      <w:pPr>
        <w:rPr>
          <w:rFonts w:ascii="標楷體" w:eastAsia="標楷體" w:hAnsi="標楷體"/>
        </w:rPr>
      </w:pPr>
    </w:p>
    <w:p w14:paraId="0A7080EC" w14:textId="00A81404" w:rsidR="00BD18C7" w:rsidRPr="002F006C" w:rsidRDefault="0021690A" w:rsidP="002A06E3">
      <w:pPr>
        <w:pStyle w:val="a3"/>
        <w:numPr>
          <w:ilvl w:val="0"/>
          <w:numId w:val="1"/>
        </w:numPr>
        <w:ind w:leftChars="0"/>
        <w:rPr>
          <w:rFonts w:ascii="標楷體" w:eastAsia="標楷體" w:hAnsi="標楷體"/>
          <w:color w:val="000000"/>
          <w:szCs w:val="24"/>
        </w:rPr>
      </w:pPr>
      <w:r w:rsidRPr="002F006C">
        <w:rPr>
          <w:rFonts w:ascii="標楷體" w:eastAsia="標楷體" w:hAnsi="標楷體" w:hint="eastAsia"/>
          <w:color w:val="000000"/>
          <w:szCs w:val="24"/>
        </w:rPr>
        <w:t>極端氣候</w:t>
      </w:r>
      <w:r w:rsidR="00050B5D" w:rsidRPr="002F006C">
        <w:rPr>
          <w:rFonts w:ascii="標楷體" w:eastAsia="標楷體" w:hAnsi="標楷體" w:hint="eastAsia"/>
          <w:color w:val="000000"/>
          <w:szCs w:val="24"/>
        </w:rPr>
        <w:t>是目前人類面臨的一個重要風險，請找出跟極端氣候風險相關的一種保單，說明其承保範圍以及氣候變遷對於該保單的影響。</w:t>
      </w:r>
      <w:r w:rsidR="00414EA3" w:rsidRPr="002F006C">
        <w:rPr>
          <w:rFonts w:ascii="標楷體" w:eastAsia="標楷體" w:hAnsi="標楷體" w:hint="eastAsia"/>
          <w:color w:val="000000"/>
          <w:szCs w:val="24"/>
        </w:rPr>
        <w:t>(</w:t>
      </w:r>
      <w:r w:rsidR="00414EA3" w:rsidRPr="002F006C">
        <w:rPr>
          <w:rFonts w:ascii="標楷體" w:eastAsia="標楷體" w:hAnsi="標楷體"/>
          <w:color w:val="000000"/>
          <w:szCs w:val="24"/>
        </w:rPr>
        <w:t>20%</w:t>
      </w:r>
      <w:r w:rsidR="00414EA3" w:rsidRPr="002F006C">
        <w:rPr>
          <w:rFonts w:ascii="標楷體" w:eastAsia="標楷體" w:hAnsi="標楷體" w:hint="eastAsia"/>
          <w:color w:val="000000"/>
          <w:szCs w:val="24"/>
        </w:rPr>
        <w:t>)</w:t>
      </w:r>
    </w:p>
    <w:p w14:paraId="4B147EA5" w14:textId="41DCD165" w:rsidR="002A06E3" w:rsidRPr="002F006C" w:rsidRDefault="002A06E3" w:rsidP="002A06E3">
      <w:pPr>
        <w:rPr>
          <w:rFonts w:ascii="標楷體" w:eastAsia="標楷體" w:hAnsi="標楷體"/>
          <w:color w:val="000000"/>
          <w:szCs w:val="24"/>
        </w:rPr>
      </w:pPr>
      <w:r w:rsidRPr="002F006C">
        <w:rPr>
          <w:rFonts w:ascii="標楷體" w:eastAsia="標楷體" w:hAnsi="標楷體" w:hint="eastAsia"/>
          <w:color w:val="000000"/>
          <w:szCs w:val="24"/>
        </w:rPr>
        <w:t>由於極端氣候最直接的影響會造成農業上的損失，這邊以富邦產險所承保的農業保單為例，其承保標的物為梨，包含高接梨，對象為耕種被保險梨的農民，投保地區為全國各縣市，保單有分為天氣參數型及政府災助連結型兩種保險專案提供農民做選擇，承保範圍涵蓋颱風、豪雨以及梨穗低溫等三大風險，以颱風風速、降水量及溫度參數型專案為例，其承保範圍為被保險人於保險期間，因發生颱風或豪雨，造成保險梨的損害，依保險契約給負賠償，損害認定為分區定損方式來出處理，抽樣樣本及區域劃分依高接梨天然災害保險勘損作業手冊內容進行，</w:t>
      </w:r>
      <w:r w:rsidR="007308FF" w:rsidRPr="002F006C">
        <w:rPr>
          <w:rFonts w:ascii="標楷體" w:eastAsia="標楷體" w:hAnsi="標楷體" w:hint="eastAsia"/>
          <w:color w:val="000000"/>
          <w:szCs w:val="24"/>
        </w:rPr>
        <w:t>若為政府災助連結型，其承保範圍則為被保險人於保險期間，因發生低溫使保險高接梨之梨穗損壞，或因發生颱風或豪雨，致被保險梨遭受損害，若損害程度等於或大於百分之二十，且被保險人已依「農業天然災害救助辦法」之規定，獲得「現金救助」時，本公司依本保險契約之約定，對於被保險人所支出之直接成本負賠償之責。</w:t>
      </w:r>
    </w:p>
    <w:p w14:paraId="76F14B66" w14:textId="297D3D0E" w:rsidR="002A06E3" w:rsidRPr="002F006C" w:rsidRDefault="007308FF" w:rsidP="002A06E3">
      <w:pPr>
        <w:rPr>
          <w:rFonts w:ascii="標楷體" w:eastAsia="標楷體" w:hAnsi="標楷體"/>
          <w:color w:val="000000"/>
          <w:szCs w:val="24"/>
        </w:rPr>
      </w:pPr>
      <w:r w:rsidRPr="002F006C">
        <w:rPr>
          <w:rFonts w:ascii="標楷體" w:eastAsia="標楷體" w:hAnsi="標楷體"/>
          <w:color w:val="000000"/>
          <w:szCs w:val="24"/>
        </w:rPr>
        <w:tab/>
      </w:r>
      <w:r w:rsidRPr="002F006C">
        <w:rPr>
          <w:rFonts w:ascii="標楷體" w:eastAsia="標楷體" w:hAnsi="標楷體" w:hint="eastAsia"/>
          <w:color w:val="000000"/>
          <w:szCs w:val="24"/>
        </w:rPr>
        <w:t>各保險專案所規定保險期間不同，以颱風風速、降水量及溫度參數型保單為例，颱風暴雨的保險期間為3月15日到10月31日，低溫為11月1日到隔年3月15日，少雨則與颱風暴雨的保險期間相同，而政府災助連結型則是梨穗嫁接期至果實採收期結束為止，寒害則為</w:t>
      </w:r>
      <w:r w:rsidRPr="002F006C">
        <w:rPr>
          <w:rFonts w:ascii="標楷體" w:eastAsia="標楷體" w:hAnsi="標楷體" w:hint="eastAsia"/>
          <w:color w:val="000000"/>
          <w:szCs w:val="24"/>
        </w:rPr>
        <w:lastRenderedPageBreak/>
        <w:t>11月到隔年3月15日為止，氣候變遷對於保單的衝擊有兩種，若隨著氣候越來越加兩極化，若兩極化的現象是發生在保險期間內，則承保風險大幅提高，使政府跟保險業者</w:t>
      </w:r>
      <w:r w:rsidR="00707CFE" w:rsidRPr="002F006C">
        <w:rPr>
          <w:rFonts w:ascii="標楷體" w:eastAsia="標楷體" w:hAnsi="標楷體" w:hint="eastAsia"/>
          <w:color w:val="000000"/>
          <w:szCs w:val="24"/>
        </w:rPr>
        <w:t>損失加大，可能導致保險費率調高甚至是加強控管保險審核機制，造成原本對農民對不確定風險填補的作用下降，若是發生在保險期間外，保險業者可依法無須賠償，則農民不僅賠了保費，甚至得完全負擔氣候兩極化所造成的損失，對農民生活造成極大負擔。</w:t>
      </w:r>
    </w:p>
    <w:p w14:paraId="37C85D1E" w14:textId="77777777" w:rsidR="002A06E3" w:rsidRPr="002F006C" w:rsidRDefault="002A06E3" w:rsidP="002A06E3">
      <w:pPr>
        <w:rPr>
          <w:rFonts w:ascii="標楷體" w:eastAsia="標楷體" w:hAnsi="標楷體"/>
          <w:color w:val="000000"/>
          <w:szCs w:val="24"/>
        </w:rPr>
      </w:pPr>
    </w:p>
    <w:p w14:paraId="190E8779" w14:textId="77777777" w:rsidR="00BD18C7" w:rsidRPr="002F006C" w:rsidRDefault="00BD18C7" w:rsidP="00BD18C7">
      <w:pPr>
        <w:numPr>
          <w:ilvl w:val="0"/>
          <w:numId w:val="1"/>
        </w:numPr>
        <w:rPr>
          <w:rFonts w:ascii="標楷體" w:eastAsia="標楷體" w:hAnsi="標楷體"/>
          <w:color w:val="000000"/>
          <w:szCs w:val="24"/>
        </w:rPr>
      </w:pPr>
      <w:r w:rsidRPr="002F006C">
        <w:rPr>
          <w:rFonts w:ascii="標楷體" w:eastAsia="標楷體" w:hAnsi="標楷體" w:hint="eastAsia"/>
          <w:color w:val="000000"/>
          <w:szCs w:val="24"/>
        </w:rPr>
        <w:t>請問</w:t>
      </w:r>
      <w:r w:rsidR="00050B5D" w:rsidRPr="002F006C">
        <w:rPr>
          <w:rFonts w:ascii="標楷體" w:eastAsia="標楷體" w:hAnsi="標楷體" w:hint="eastAsia"/>
          <w:color w:val="000000"/>
          <w:szCs w:val="24"/>
        </w:rPr>
        <w:t>保險經紀(broker)跟保險代理(</w:t>
      </w:r>
      <w:r w:rsidR="00050B5D" w:rsidRPr="002F006C">
        <w:rPr>
          <w:rFonts w:ascii="標楷體" w:eastAsia="標楷體" w:hAnsi="標楷體"/>
          <w:color w:val="000000"/>
          <w:szCs w:val="24"/>
        </w:rPr>
        <w:t>agent</w:t>
      </w:r>
      <w:r w:rsidR="00050B5D" w:rsidRPr="002F006C">
        <w:rPr>
          <w:rFonts w:ascii="標楷體" w:eastAsia="標楷體" w:hAnsi="標楷體" w:hint="eastAsia"/>
          <w:color w:val="000000"/>
          <w:szCs w:val="24"/>
        </w:rPr>
        <w:t>)有何分別?</w:t>
      </w:r>
      <w:r w:rsidR="00050B5D" w:rsidRPr="002F006C">
        <w:rPr>
          <w:rFonts w:ascii="標楷體" w:eastAsia="標楷體" w:hAnsi="標楷體"/>
          <w:color w:val="000000"/>
          <w:szCs w:val="24"/>
        </w:rPr>
        <w:t xml:space="preserve"> </w:t>
      </w:r>
      <w:r w:rsidR="00050B5D" w:rsidRPr="002F006C">
        <w:rPr>
          <w:rFonts w:ascii="標楷體" w:eastAsia="標楷體" w:hAnsi="標楷體" w:hint="eastAsia"/>
          <w:color w:val="000000"/>
          <w:szCs w:val="24"/>
        </w:rPr>
        <w:t>請分別找一家保險經紀以及保險代理公司</w:t>
      </w:r>
      <w:r w:rsidR="00986193" w:rsidRPr="002F006C">
        <w:rPr>
          <w:rFonts w:ascii="標楷體" w:eastAsia="標楷體" w:hAnsi="標楷體" w:hint="eastAsia"/>
          <w:color w:val="000000"/>
          <w:szCs w:val="24"/>
        </w:rPr>
        <w:t>。</w:t>
      </w:r>
      <w:r w:rsidR="00414EA3" w:rsidRPr="002F006C">
        <w:rPr>
          <w:rFonts w:ascii="標楷體" w:eastAsia="標楷體" w:hAnsi="標楷體" w:hint="eastAsia"/>
          <w:color w:val="000000"/>
          <w:szCs w:val="24"/>
        </w:rPr>
        <w:t xml:space="preserve"> (1</w:t>
      </w:r>
      <w:r w:rsidR="00414EA3" w:rsidRPr="002F006C">
        <w:rPr>
          <w:rFonts w:ascii="標楷體" w:eastAsia="標楷體" w:hAnsi="標楷體"/>
          <w:color w:val="000000"/>
          <w:szCs w:val="24"/>
        </w:rPr>
        <w:t>5</w:t>
      </w:r>
      <w:r w:rsidR="00414EA3" w:rsidRPr="002F006C">
        <w:rPr>
          <w:rFonts w:ascii="標楷體" w:eastAsia="標楷體" w:hAnsi="標楷體" w:hint="eastAsia"/>
          <w:color w:val="000000"/>
          <w:szCs w:val="24"/>
        </w:rPr>
        <w:t>%)</w:t>
      </w:r>
    </w:p>
    <w:p w14:paraId="5D6FE71A" w14:textId="209A9C82" w:rsidR="00940BCC" w:rsidRPr="002F006C" w:rsidRDefault="009A2EE4" w:rsidP="009A2EE4">
      <w:pPr>
        <w:ind w:firstLine="360"/>
        <w:rPr>
          <w:rFonts w:ascii="標楷體" w:eastAsia="標楷體" w:hAnsi="標楷體"/>
          <w:color w:val="000000"/>
          <w:szCs w:val="24"/>
        </w:rPr>
      </w:pPr>
      <w:r w:rsidRPr="002F006C">
        <w:rPr>
          <w:rFonts w:ascii="標楷體" w:eastAsia="標楷體" w:hAnsi="標楷體" w:hint="eastAsia"/>
          <w:color w:val="000000"/>
          <w:szCs w:val="24"/>
        </w:rPr>
        <w:t>根據</w:t>
      </w:r>
      <w:r w:rsidRPr="004A797E">
        <w:rPr>
          <w:rFonts w:ascii="標楷體" w:eastAsia="標楷體" w:hAnsi="標楷體" w:hint="eastAsia"/>
          <w:b/>
          <w:bCs/>
          <w:color w:val="1F497D" w:themeColor="text2"/>
          <w:szCs w:val="24"/>
          <w:u w:val="single"/>
        </w:rPr>
        <w:t>保險法第九條</w:t>
      </w:r>
      <w:r w:rsidRPr="002F006C">
        <w:rPr>
          <w:rFonts w:ascii="標楷體" w:eastAsia="標楷體" w:hAnsi="標楷體" w:hint="eastAsia"/>
          <w:color w:val="000000"/>
          <w:szCs w:val="24"/>
        </w:rPr>
        <w:t>保險經紀人為基於被保險人利益，代向保險人洽訂保險契約，而向承保之保險業收取佣金之人判斷，</w:t>
      </w:r>
      <w:r w:rsidRPr="004A797E">
        <w:rPr>
          <w:rFonts w:ascii="標楷體" w:eastAsia="標楷體" w:hAnsi="標楷體" w:hint="eastAsia"/>
          <w:b/>
          <w:bCs/>
          <w:color w:val="1F497D" w:themeColor="text2"/>
          <w:szCs w:val="24"/>
          <w:u w:val="single"/>
        </w:rPr>
        <w:t>保險經紀人</w:t>
      </w:r>
      <w:r w:rsidRPr="002F006C">
        <w:rPr>
          <w:rFonts w:ascii="標楷體" w:eastAsia="標楷體" w:hAnsi="標楷體" w:hint="eastAsia"/>
          <w:color w:val="000000"/>
          <w:szCs w:val="24"/>
        </w:rPr>
        <w:t>為基於被</w:t>
      </w:r>
      <w:r w:rsidRPr="004A797E">
        <w:rPr>
          <w:rFonts w:ascii="標楷體" w:eastAsia="標楷體" w:hAnsi="標楷體" w:hint="eastAsia"/>
          <w:b/>
          <w:bCs/>
          <w:color w:val="1F497D" w:themeColor="text2"/>
          <w:szCs w:val="24"/>
          <w:u w:val="single"/>
        </w:rPr>
        <w:t>保險人利益</w:t>
      </w:r>
      <w:r w:rsidRPr="002F006C">
        <w:rPr>
          <w:rFonts w:ascii="標楷體" w:eastAsia="標楷體" w:hAnsi="標楷體" w:hint="eastAsia"/>
          <w:color w:val="000000"/>
          <w:szCs w:val="24"/>
        </w:rPr>
        <w:t>，</w:t>
      </w:r>
      <w:r w:rsidRPr="004A797E">
        <w:rPr>
          <w:rFonts w:ascii="標楷體" w:eastAsia="標楷體" w:hAnsi="標楷體" w:hint="eastAsia"/>
          <w:b/>
          <w:bCs/>
          <w:color w:val="1F497D" w:themeColor="text2"/>
          <w:szCs w:val="24"/>
          <w:u w:val="single"/>
        </w:rPr>
        <w:t>向保險公司尋求訂約</w:t>
      </w:r>
      <w:r w:rsidRPr="002F006C">
        <w:rPr>
          <w:rFonts w:ascii="標楷體" w:eastAsia="標楷體" w:hAnsi="標楷體" w:hint="eastAsia"/>
          <w:color w:val="000000"/>
          <w:szCs w:val="24"/>
        </w:rPr>
        <w:t>機會，而</w:t>
      </w:r>
      <w:r w:rsidRPr="004A797E">
        <w:rPr>
          <w:rFonts w:ascii="標楷體" w:eastAsia="標楷體" w:hAnsi="標楷體" w:hint="eastAsia"/>
          <w:b/>
          <w:bCs/>
          <w:color w:val="1F497D" w:themeColor="text2"/>
          <w:szCs w:val="24"/>
          <w:u w:val="single"/>
        </w:rPr>
        <w:t>非以保險公司利益為考量</w:t>
      </w:r>
      <w:r w:rsidRPr="002F006C">
        <w:rPr>
          <w:rFonts w:ascii="標楷體" w:eastAsia="標楷體" w:hAnsi="標楷體" w:hint="eastAsia"/>
          <w:color w:val="000000"/>
          <w:szCs w:val="24"/>
        </w:rPr>
        <w:t>，原則上來說，保險經紀人為消費者代表，可向多家保險公司訂約並收取傭金，然而就法律上來說，保險經紀人是否為被保險人之代理人需視被保險人與保險經紀人所簽訂</w:t>
      </w:r>
      <w:r w:rsidRPr="004A797E">
        <w:rPr>
          <w:rFonts w:ascii="標楷體" w:eastAsia="標楷體" w:hAnsi="標楷體" w:hint="eastAsia"/>
          <w:b/>
          <w:bCs/>
          <w:color w:val="1F497D" w:themeColor="text2"/>
          <w:szCs w:val="24"/>
          <w:u w:val="single"/>
        </w:rPr>
        <w:t>契約約定範圍</w:t>
      </w:r>
      <w:r w:rsidRPr="002F006C">
        <w:rPr>
          <w:rFonts w:ascii="標楷體" w:eastAsia="標楷體" w:hAnsi="標楷體" w:hint="eastAsia"/>
          <w:color w:val="000000"/>
          <w:szCs w:val="24"/>
        </w:rPr>
        <w:t>為準，若有授予代理訂立契約之權，保險經紀人可視為被保險人代理人，若無約定，則視為僅被保險人有訂立契約之權。</w:t>
      </w:r>
    </w:p>
    <w:p w14:paraId="6672F021" w14:textId="07510FB8" w:rsidR="009A2EE4" w:rsidRPr="002F006C" w:rsidRDefault="009A2EE4" w:rsidP="009A2EE4">
      <w:pPr>
        <w:ind w:firstLine="360"/>
        <w:rPr>
          <w:rFonts w:ascii="標楷體" w:eastAsia="標楷體" w:hAnsi="標楷體"/>
          <w:color w:val="000000"/>
          <w:szCs w:val="24"/>
        </w:rPr>
      </w:pPr>
      <w:r w:rsidRPr="002F006C">
        <w:rPr>
          <w:rFonts w:ascii="標楷體" w:eastAsia="標楷體" w:hAnsi="標楷體" w:hint="eastAsia"/>
          <w:color w:val="000000"/>
          <w:szCs w:val="24"/>
        </w:rPr>
        <w:t>與保險經紀人比較，</w:t>
      </w:r>
      <w:r w:rsidRPr="004A797E">
        <w:rPr>
          <w:rFonts w:ascii="標楷體" w:eastAsia="標楷體" w:hAnsi="標楷體" w:hint="eastAsia"/>
          <w:b/>
          <w:bCs/>
          <w:color w:val="1F497D" w:themeColor="text2"/>
          <w:szCs w:val="24"/>
          <w:u w:val="single"/>
        </w:rPr>
        <w:t>保險代理人</w:t>
      </w:r>
      <w:r w:rsidRPr="002F006C">
        <w:rPr>
          <w:rFonts w:ascii="標楷體" w:eastAsia="標楷體" w:hAnsi="標楷體" w:hint="eastAsia"/>
          <w:color w:val="000000"/>
          <w:szCs w:val="24"/>
        </w:rPr>
        <w:t>為依</w:t>
      </w:r>
      <w:r w:rsidRPr="004A797E">
        <w:rPr>
          <w:rFonts w:ascii="標楷體" w:eastAsia="標楷體" w:hAnsi="標楷體" w:hint="eastAsia"/>
          <w:b/>
          <w:bCs/>
          <w:color w:val="1F497D" w:themeColor="text2"/>
          <w:szCs w:val="24"/>
          <w:u w:val="single"/>
        </w:rPr>
        <w:t>保險法第八條</w:t>
      </w:r>
      <w:r w:rsidRPr="002F006C">
        <w:rPr>
          <w:rFonts w:ascii="標楷體" w:eastAsia="標楷體" w:hAnsi="標楷體" w:hint="eastAsia"/>
          <w:color w:val="000000"/>
          <w:szCs w:val="24"/>
        </w:rPr>
        <w:t>之規定為「</w:t>
      </w:r>
      <w:r w:rsidRPr="004A797E">
        <w:rPr>
          <w:rFonts w:ascii="標楷體" w:eastAsia="標楷體" w:hAnsi="標楷體" w:hint="eastAsia"/>
          <w:b/>
          <w:bCs/>
          <w:color w:val="1F497D" w:themeColor="text2"/>
          <w:szCs w:val="24"/>
          <w:u w:val="single"/>
        </w:rPr>
        <w:t>根據代理契約或授權書，向保險人收取費用，並代理經營業務之人</w:t>
      </w:r>
      <w:r w:rsidRPr="002F006C">
        <w:rPr>
          <w:rFonts w:ascii="標楷體" w:eastAsia="標楷體" w:hAnsi="標楷體" w:hint="eastAsia"/>
          <w:color w:val="000000"/>
          <w:szCs w:val="24"/>
        </w:rPr>
        <w:t>。」雙方關係視其與保險公司之「</w:t>
      </w:r>
      <w:r w:rsidRPr="004A797E">
        <w:rPr>
          <w:rFonts w:ascii="標楷體" w:eastAsia="標楷體" w:hAnsi="標楷體" w:hint="eastAsia"/>
          <w:b/>
          <w:bCs/>
          <w:color w:val="1F497D" w:themeColor="text2"/>
          <w:szCs w:val="24"/>
          <w:u w:val="single"/>
        </w:rPr>
        <w:t>授權內容</w:t>
      </w:r>
      <w:r w:rsidRPr="002F006C">
        <w:rPr>
          <w:rFonts w:ascii="標楷體" w:eastAsia="標楷體" w:hAnsi="標楷體" w:hint="eastAsia"/>
          <w:color w:val="000000"/>
          <w:szCs w:val="24"/>
        </w:rPr>
        <w:t>」及「</w:t>
      </w:r>
      <w:r w:rsidRPr="004A797E">
        <w:rPr>
          <w:rFonts w:ascii="標楷體" w:eastAsia="標楷體" w:hAnsi="標楷體" w:hint="eastAsia"/>
          <w:b/>
          <w:bCs/>
          <w:color w:val="1F497D" w:themeColor="text2"/>
          <w:szCs w:val="24"/>
          <w:u w:val="single"/>
        </w:rPr>
        <w:t>代理契約</w:t>
      </w:r>
      <w:r w:rsidRPr="002F006C">
        <w:rPr>
          <w:rFonts w:ascii="標楷體" w:eastAsia="標楷體" w:hAnsi="標楷體" w:hint="eastAsia"/>
          <w:color w:val="000000"/>
          <w:szCs w:val="24"/>
        </w:rPr>
        <w:t>」而定，亦即保險代理人僅能於代理契約授權範圍內代理保險公司的法律行為，若保險代理人有獲得保險公司授予核保與承保權限，則當保險代理人接受被保險人要保並支付保費時，契約即成立，若保險代理人不具有上述權限，則需等到保險公司承保後，保險契約才生效力，按</w:t>
      </w:r>
      <w:r w:rsidRPr="00635DB9">
        <w:rPr>
          <w:rFonts w:ascii="標楷體" w:eastAsia="標楷體" w:hAnsi="標楷體" w:hint="eastAsia"/>
          <w:b/>
          <w:bCs/>
          <w:color w:val="1F497D" w:themeColor="text2"/>
          <w:szCs w:val="24"/>
          <w:u w:val="single"/>
        </w:rPr>
        <w:t>民法第二百二十四條</w:t>
      </w:r>
      <w:r w:rsidRPr="002F006C">
        <w:rPr>
          <w:rFonts w:ascii="標楷體" w:eastAsia="標楷體" w:hAnsi="標楷體" w:hint="eastAsia"/>
          <w:color w:val="000000"/>
          <w:szCs w:val="24"/>
        </w:rPr>
        <w:t>規定：「債務人之代理人或使用人，關於債履行有故意或過失時，債務人應與自己之故意及過失負同一責任。」</w:t>
      </w:r>
      <w:r w:rsidR="00ED745F" w:rsidRPr="002F006C">
        <w:rPr>
          <w:rFonts w:ascii="標楷體" w:eastAsia="標楷體" w:hAnsi="標楷體" w:hint="eastAsia"/>
          <w:color w:val="000000"/>
          <w:szCs w:val="24"/>
        </w:rPr>
        <w:t>只要是保險代理人行使代理契約授權範圍內的行為，保險人皆須負責，另外</w:t>
      </w:r>
      <w:r w:rsidR="00ED745F" w:rsidRPr="00635DB9">
        <w:rPr>
          <w:rFonts w:ascii="標楷體" w:eastAsia="標楷體" w:hAnsi="標楷體" w:hint="eastAsia"/>
          <w:b/>
          <w:bCs/>
          <w:color w:val="1F497D" w:themeColor="text2"/>
          <w:szCs w:val="24"/>
          <w:u w:val="single"/>
        </w:rPr>
        <w:t>保險法第二條</w:t>
      </w:r>
      <w:r w:rsidR="00ED745F" w:rsidRPr="002F006C">
        <w:rPr>
          <w:rFonts w:ascii="標楷體" w:eastAsia="標楷體" w:hAnsi="標楷體" w:hint="eastAsia"/>
          <w:color w:val="000000"/>
          <w:szCs w:val="24"/>
        </w:rPr>
        <w:t>規定：「本法所稱保險人，指經營保險事業之各種機構，在保險契約成立時，有保險費之請求權；在承保危險事故發生時，依其承保之責任，負擔賠償之義務。」，</w:t>
      </w:r>
      <w:r w:rsidR="00ED745F" w:rsidRPr="00635DB9">
        <w:rPr>
          <w:rFonts w:ascii="標楷體" w:eastAsia="標楷體" w:hAnsi="標楷體" w:hint="eastAsia"/>
          <w:b/>
          <w:bCs/>
          <w:color w:val="1F497D" w:themeColor="text2"/>
          <w:szCs w:val="24"/>
          <w:u w:val="single"/>
        </w:rPr>
        <w:t>保險法第三條</w:t>
      </w:r>
      <w:r w:rsidR="00ED745F" w:rsidRPr="002F006C">
        <w:rPr>
          <w:rFonts w:ascii="標楷體" w:eastAsia="標楷體" w:hAnsi="標楷體" w:hint="eastAsia"/>
          <w:color w:val="000000"/>
          <w:szCs w:val="24"/>
        </w:rPr>
        <w:t>規定：「本法所稱要保人，指對保險標的具有保險利益，向保險人申請訂立保險契約，並負有交付保險費義務之人。」，</w:t>
      </w:r>
      <w:r w:rsidR="00ED745F" w:rsidRPr="00635DB9">
        <w:rPr>
          <w:rFonts w:ascii="標楷體" w:eastAsia="標楷體" w:hAnsi="標楷體" w:hint="eastAsia"/>
          <w:b/>
          <w:bCs/>
          <w:color w:val="1F497D" w:themeColor="text2"/>
          <w:szCs w:val="24"/>
          <w:u w:val="single"/>
        </w:rPr>
        <w:t>人身保險示範條款第二條</w:t>
      </w:r>
      <w:r w:rsidR="00ED745F" w:rsidRPr="002F006C">
        <w:rPr>
          <w:rFonts w:ascii="標楷體" w:eastAsia="標楷體" w:hAnsi="標楷體" w:hint="eastAsia"/>
          <w:color w:val="000000"/>
          <w:szCs w:val="24"/>
        </w:rPr>
        <w:t>「本公司對本契約應負之責任，自本公司同意承保且要保人交付第一期保險費時開始，本公司並應發給保險單作為承保憑證。」</w:t>
      </w:r>
      <w:r w:rsidR="00491DDF" w:rsidRPr="002F006C">
        <w:rPr>
          <w:rFonts w:ascii="標楷體" w:eastAsia="標楷體" w:hAnsi="標楷體" w:hint="eastAsia"/>
          <w:color w:val="000000"/>
          <w:szCs w:val="24"/>
        </w:rPr>
        <w:t>若</w:t>
      </w:r>
      <w:r w:rsidR="00491DDF" w:rsidRPr="00635DB9">
        <w:rPr>
          <w:rFonts w:ascii="標楷體" w:eastAsia="標楷體" w:hAnsi="標楷體" w:hint="eastAsia"/>
          <w:b/>
          <w:bCs/>
          <w:color w:val="1F497D" w:themeColor="text2"/>
          <w:szCs w:val="24"/>
          <w:u w:val="single"/>
        </w:rPr>
        <w:t>保險代理人有獲得保險公司授予核保與承保權限</w:t>
      </w:r>
      <w:r w:rsidR="00491DDF" w:rsidRPr="002F006C">
        <w:rPr>
          <w:rFonts w:ascii="標楷體" w:eastAsia="標楷體" w:hAnsi="標楷體" w:hint="eastAsia"/>
          <w:color w:val="000000"/>
          <w:szCs w:val="24"/>
        </w:rPr>
        <w:t>(通常都會授與)，其性質</w:t>
      </w:r>
      <w:r w:rsidR="00491DDF" w:rsidRPr="00635DB9">
        <w:rPr>
          <w:rFonts w:ascii="標楷體" w:eastAsia="標楷體" w:hAnsi="標楷體" w:hint="eastAsia"/>
          <w:b/>
          <w:bCs/>
          <w:color w:val="1F497D" w:themeColor="text2"/>
          <w:szCs w:val="24"/>
          <w:u w:val="single"/>
        </w:rPr>
        <w:t>等同於保險公司代表</w:t>
      </w:r>
      <w:r w:rsidR="00491DDF" w:rsidRPr="002F006C">
        <w:rPr>
          <w:rFonts w:ascii="標楷體" w:eastAsia="標楷體" w:hAnsi="標楷體" w:hint="eastAsia"/>
          <w:color w:val="000000"/>
          <w:szCs w:val="24"/>
        </w:rPr>
        <w:t>，按保險法第八條授予保險代理人收取保費權利，當保險代理人向消費者收取保費時，其視同保險公司收取保費，保險在收取當下</w:t>
      </w:r>
      <w:r w:rsidR="00491DDF" w:rsidRPr="00635DB9">
        <w:rPr>
          <w:rFonts w:ascii="標楷體" w:eastAsia="標楷體" w:hAnsi="標楷體" w:hint="eastAsia"/>
          <w:b/>
          <w:bCs/>
          <w:color w:val="1F497D" w:themeColor="text2"/>
          <w:szCs w:val="24"/>
          <w:u w:val="single"/>
        </w:rPr>
        <w:t>立即生效</w:t>
      </w:r>
      <w:r w:rsidR="00491DDF" w:rsidRPr="002F006C">
        <w:rPr>
          <w:rFonts w:ascii="標楷體" w:eastAsia="標楷體" w:hAnsi="標楷體" w:hint="eastAsia"/>
          <w:color w:val="000000"/>
          <w:szCs w:val="24"/>
        </w:rPr>
        <w:t>，反之，若是將保費給予保險經紀人，須等到保險經紀人與保險公司簽訂契約時才算成立。</w:t>
      </w:r>
    </w:p>
    <w:p w14:paraId="4BD4B772" w14:textId="2786C830" w:rsidR="00491DDF" w:rsidRPr="002F006C" w:rsidRDefault="00491DDF" w:rsidP="009A2EE4">
      <w:pPr>
        <w:ind w:firstLine="360"/>
        <w:rPr>
          <w:rFonts w:ascii="標楷體" w:eastAsia="標楷體" w:hAnsi="標楷體"/>
          <w:color w:val="000000"/>
          <w:szCs w:val="24"/>
        </w:rPr>
      </w:pPr>
      <w:r w:rsidRPr="002F006C">
        <w:rPr>
          <w:rFonts w:ascii="標楷體" w:eastAsia="標楷體" w:hAnsi="標楷體" w:hint="eastAsia"/>
          <w:color w:val="000000"/>
          <w:szCs w:val="24"/>
        </w:rPr>
        <w:t>簡而言之，一般來說，保險經紀人做為消費者的代表甚至是代理人(若被保險人有授予代理訂立契約之權給保險經紀人的話，通常都會授與)，可以與多家保險公司做訂約，</w:t>
      </w:r>
      <w:r w:rsidR="00EC509D" w:rsidRPr="002F006C">
        <w:rPr>
          <w:rFonts w:ascii="標楷體" w:eastAsia="標楷體" w:hAnsi="標楷體" w:hint="eastAsia"/>
          <w:color w:val="000000"/>
          <w:szCs w:val="24"/>
        </w:rPr>
        <w:t>保費繳交當下契約須等保險公司承保時才成立，</w:t>
      </w:r>
      <w:r w:rsidRPr="002F006C">
        <w:rPr>
          <w:rFonts w:ascii="標楷體" w:eastAsia="標楷體" w:hAnsi="標楷體" w:hint="eastAsia"/>
          <w:color w:val="000000"/>
          <w:szCs w:val="24"/>
        </w:rPr>
        <w:t>保險代理人性質上為保險公司代表</w:t>
      </w:r>
      <w:r w:rsidR="00EC509D" w:rsidRPr="002F006C">
        <w:rPr>
          <w:rFonts w:ascii="標楷體" w:eastAsia="標楷體" w:hAnsi="標楷體" w:hint="eastAsia"/>
          <w:color w:val="000000"/>
          <w:szCs w:val="24"/>
        </w:rPr>
        <w:t>，通常會與一家或多家保險公司簽訂代理契約，若保險代理人有獲得保險公司授予核保與承保權限(通常都會授與)，被保人在交付保費給保險代理人並簽訂合約當下，保險契約即成立，以公司來譬喻的話，保險公司比較像是製造商，負責製造產品，而保險代理人為通路商，負責尋找這些產品的買家，若保險代理人只與一家保險公司簽訂代理契約，其功能與保險業務員雷同，不過仍有所區別，</w:t>
      </w:r>
      <w:r w:rsidR="00DF5F5C" w:rsidRPr="002F006C">
        <w:rPr>
          <w:rFonts w:ascii="標楷體" w:eastAsia="標楷體" w:hAnsi="標楷體" w:hint="eastAsia"/>
          <w:color w:val="000000"/>
          <w:szCs w:val="24"/>
        </w:rPr>
        <w:t>保險業務員按保險法第八條之一之規定，為「為保險業、保險經紀人公司、保險</w:t>
      </w:r>
      <w:r w:rsidR="00DF5F5C" w:rsidRPr="002F006C">
        <w:rPr>
          <w:rFonts w:ascii="標楷體" w:eastAsia="標楷體" w:hAnsi="標楷體" w:hint="eastAsia"/>
          <w:color w:val="000000"/>
          <w:szCs w:val="24"/>
        </w:rPr>
        <w:lastRenderedPageBreak/>
        <w:t>代理人公司，從事保險招攬之人。」，因此其</w:t>
      </w:r>
      <w:r w:rsidR="00EC509D" w:rsidRPr="002F006C">
        <w:rPr>
          <w:rFonts w:ascii="標楷體" w:eastAsia="標楷體" w:hAnsi="標楷體" w:hint="eastAsia"/>
          <w:color w:val="000000"/>
          <w:szCs w:val="24"/>
        </w:rPr>
        <w:t>權限僅為招攬保險，保險公司會給予保險業務員招攬權限，但「核、承保」及「理賠」，則不在業務員之授權範圍內，這與保險代理人可與保險公司簽訂授予核保與承保權限並不相同，且按保險業務員管理規則第十五條第一項規定：「業務員經授權從事保險招攬之行為，視為該所屬公司授權範圍內之行為，所屬公司對其登錄之業務員應嚴加管理並就其業務員招攬行為所生之損害依法負連帶之責任。」，要保人可向業務員跟保險公司索取連帶賠償責任，這點也與保險代理人</w:t>
      </w:r>
      <w:r w:rsidR="00DF5F5C" w:rsidRPr="002F006C">
        <w:rPr>
          <w:rFonts w:ascii="標楷體" w:eastAsia="標楷體" w:hAnsi="標楷體" w:hint="eastAsia"/>
          <w:color w:val="000000"/>
          <w:szCs w:val="24"/>
        </w:rPr>
        <w:t>若在行使授權範圍內的行為不用負責有很大</w:t>
      </w:r>
      <w:r w:rsidR="00EC509D" w:rsidRPr="002F006C">
        <w:rPr>
          <w:rFonts w:ascii="標楷體" w:eastAsia="標楷體" w:hAnsi="標楷體" w:hint="eastAsia"/>
          <w:color w:val="000000"/>
          <w:szCs w:val="24"/>
        </w:rPr>
        <w:t>不同</w:t>
      </w:r>
      <w:r w:rsidR="00DF5F5C" w:rsidRPr="002F006C">
        <w:rPr>
          <w:rFonts w:ascii="標楷體" w:eastAsia="標楷體" w:hAnsi="標楷體" w:hint="eastAsia"/>
          <w:color w:val="000000"/>
          <w:szCs w:val="24"/>
        </w:rPr>
        <w:t>。</w:t>
      </w:r>
    </w:p>
    <w:p w14:paraId="718F9B63" w14:textId="1EBA2442" w:rsidR="00DF5F5C" w:rsidRPr="002F006C" w:rsidRDefault="00DF5F5C" w:rsidP="009A2EE4">
      <w:pPr>
        <w:ind w:firstLine="360"/>
        <w:rPr>
          <w:rFonts w:ascii="標楷體" w:eastAsia="標楷體" w:hAnsi="標楷體"/>
          <w:color w:val="000000"/>
          <w:szCs w:val="24"/>
        </w:rPr>
      </w:pPr>
      <w:r w:rsidRPr="002F006C">
        <w:rPr>
          <w:rFonts w:ascii="標楷體" w:eastAsia="標楷體" w:hAnsi="標楷體" w:hint="eastAsia"/>
          <w:color w:val="000000"/>
          <w:szCs w:val="24"/>
        </w:rPr>
        <w:t>目前保險代理人跟保險經紀人在台灣的界線除了法規上其實已經相當模糊，這邊分別舉保險代理人公司跟保險經紀人公司在台灣的例子，保險代理人公司我選擇的是和安保險代理人公司，保險經紀人我選擇和泰保險經紀人公司。</w:t>
      </w:r>
    </w:p>
    <w:p w14:paraId="31478308" w14:textId="77777777" w:rsidR="00707CFE" w:rsidRPr="002F006C" w:rsidRDefault="00707CFE" w:rsidP="00707CFE">
      <w:pPr>
        <w:rPr>
          <w:rFonts w:ascii="標楷體" w:eastAsia="標楷體" w:hAnsi="標楷體"/>
          <w:color w:val="000000"/>
          <w:szCs w:val="24"/>
        </w:rPr>
      </w:pPr>
    </w:p>
    <w:p w14:paraId="2901A87D" w14:textId="77777777" w:rsidR="00050B5D" w:rsidRPr="002F006C" w:rsidRDefault="00050B5D" w:rsidP="00BD18C7">
      <w:pPr>
        <w:numPr>
          <w:ilvl w:val="0"/>
          <w:numId w:val="1"/>
        </w:numPr>
        <w:rPr>
          <w:rFonts w:ascii="標楷體" w:eastAsia="標楷體" w:hAnsi="標楷體"/>
          <w:color w:val="000000"/>
          <w:szCs w:val="24"/>
        </w:rPr>
      </w:pPr>
      <w:r w:rsidRPr="002F006C">
        <w:rPr>
          <w:rFonts w:ascii="標楷體" w:eastAsia="標楷體" w:hAnsi="標楷體" w:hint="eastAsia"/>
          <w:color w:val="000000"/>
          <w:szCs w:val="24"/>
        </w:rPr>
        <w:t>請比較股份型的保險公司與合作社形式的保險公司的代理問題有何異同。</w:t>
      </w:r>
      <w:r w:rsidR="00414EA3" w:rsidRPr="002F006C">
        <w:rPr>
          <w:rFonts w:ascii="標楷體" w:eastAsia="標楷體" w:hAnsi="標楷體" w:hint="eastAsia"/>
          <w:color w:val="000000"/>
          <w:szCs w:val="24"/>
        </w:rPr>
        <w:t>(</w:t>
      </w:r>
      <w:r w:rsidR="00414EA3" w:rsidRPr="002F006C">
        <w:rPr>
          <w:rFonts w:ascii="標楷體" w:eastAsia="標楷體" w:hAnsi="標楷體"/>
          <w:color w:val="000000"/>
          <w:szCs w:val="24"/>
        </w:rPr>
        <w:t>15%</w:t>
      </w:r>
      <w:r w:rsidR="00414EA3" w:rsidRPr="002F006C">
        <w:rPr>
          <w:rFonts w:ascii="標楷體" w:eastAsia="標楷體" w:hAnsi="標楷體" w:hint="eastAsia"/>
          <w:color w:val="000000"/>
          <w:szCs w:val="24"/>
        </w:rPr>
        <w:t>)</w:t>
      </w:r>
    </w:p>
    <w:p w14:paraId="3FA9874C" w14:textId="4445EAF6" w:rsidR="00940BCC" w:rsidRPr="002F006C" w:rsidRDefault="003C7559" w:rsidP="003C7559">
      <w:pPr>
        <w:ind w:firstLine="360"/>
        <w:rPr>
          <w:rFonts w:ascii="標楷體" w:eastAsia="標楷體" w:hAnsi="標楷體"/>
          <w:color w:val="000000"/>
          <w:szCs w:val="24"/>
        </w:rPr>
      </w:pPr>
      <w:r w:rsidRPr="002F006C">
        <w:rPr>
          <w:rFonts w:ascii="標楷體" w:eastAsia="標楷體" w:hAnsi="標楷體" w:hint="eastAsia"/>
          <w:color w:val="000000"/>
          <w:szCs w:val="24"/>
        </w:rPr>
        <w:t>先說明</w:t>
      </w:r>
      <w:r w:rsidRPr="00635DB9">
        <w:rPr>
          <w:rFonts w:ascii="標楷體" w:eastAsia="標楷體" w:hAnsi="標楷體" w:hint="eastAsia"/>
          <w:b/>
          <w:bCs/>
          <w:color w:val="1F497D" w:themeColor="text2"/>
          <w:szCs w:val="24"/>
          <w:u w:val="single"/>
        </w:rPr>
        <w:t>代理問題</w:t>
      </w:r>
      <w:r w:rsidRPr="002F006C">
        <w:rPr>
          <w:rFonts w:ascii="標楷體" w:eastAsia="標楷體" w:hAnsi="標楷體" w:hint="eastAsia"/>
          <w:color w:val="000000"/>
          <w:szCs w:val="24"/>
        </w:rPr>
        <w:t>定義，代理問題泛指因</w:t>
      </w:r>
      <w:r w:rsidRPr="00635DB9">
        <w:rPr>
          <w:rFonts w:ascii="標楷體" w:eastAsia="標楷體" w:hAnsi="標楷體" w:hint="eastAsia"/>
          <w:b/>
          <w:bCs/>
          <w:color w:val="1F497D" w:themeColor="text2"/>
          <w:szCs w:val="24"/>
          <w:u w:val="single"/>
        </w:rPr>
        <w:t>資訊不對稱與誘因不一致</w:t>
      </w:r>
      <w:r w:rsidRPr="002F006C">
        <w:rPr>
          <w:rFonts w:ascii="標楷體" w:eastAsia="標楷體" w:hAnsi="標楷體" w:hint="eastAsia"/>
          <w:color w:val="000000"/>
          <w:szCs w:val="24"/>
        </w:rPr>
        <w:t>所產生，標準代理問題為假設代理與委託者效用函數相互獨立，當代理者與委託者處於資訊不對稱位置，且代理者與委託者皆想各自</w:t>
      </w:r>
      <w:r w:rsidRPr="00635DB9">
        <w:rPr>
          <w:rFonts w:ascii="標楷體" w:eastAsia="標楷體" w:hAnsi="標楷體" w:hint="eastAsia"/>
          <w:b/>
          <w:bCs/>
          <w:color w:val="1F497D" w:themeColor="text2"/>
          <w:szCs w:val="24"/>
          <w:u w:val="single"/>
        </w:rPr>
        <w:t>最大化自身效用函數</w:t>
      </w:r>
      <w:r w:rsidRPr="002F006C">
        <w:rPr>
          <w:rFonts w:ascii="標楷體" w:eastAsia="標楷體" w:hAnsi="標楷體" w:hint="eastAsia"/>
          <w:color w:val="000000"/>
          <w:szCs w:val="24"/>
        </w:rPr>
        <w:t>所產生的問題，公司治理代理問題由Coase(1937)、Jenson等人(1976)及</w:t>
      </w:r>
      <w:proofErr w:type="spellStart"/>
      <w:r w:rsidRPr="002F006C">
        <w:rPr>
          <w:rFonts w:ascii="標楷體" w:eastAsia="標楷體" w:hAnsi="標楷體" w:hint="eastAsia"/>
          <w:color w:val="000000"/>
          <w:szCs w:val="24"/>
        </w:rPr>
        <w:t>Fama</w:t>
      </w:r>
      <w:proofErr w:type="spellEnd"/>
      <w:r w:rsidRPr="002F006C">
        <w:rPr>
          <w:rFonts w:ascii="標楷體" w:eastAsia="標楷體" w:hAnsi="標楷體" w:hint="eastAsia"/>
          <w:color w:val="000000"/>
          <w:szCs w:val="24"/>
        </w:rPr>
        <w:t>(1983)提出，以契約觀點出發衍生理論，將代理問題分為三類，依所有權、經營權分離導致股東與經理人衝突，依權利義務負擔不同導致公司債權人與經理人的利益衝突，依股東掌握之控制權大於現金流請求權所導致經理人與少數股東利益衝突。</w:t>
      </w:r>
    </w:p>
    <w:p w14:paraId="472CC72F" w14:textId="2809DA62" w:rsidR="003C7559" w:rsidRPr="002F006C" w:rsidRDefault="003C7559" w:rsidP="003C7559">
      <w:pPr>
        <w:rPr>
          <w:rFonts w:ascii="標楷體" w:eastAsia="標楷體" w:hAnsi="標楷體"/>
          <w:color w:val="000000"/>
          <w:szCs w:val="24"/>
        </w:rPr>
      </w:pPr>
      <w:r w:rsidRPr="002F006C">
        <w:rPr>
          <w:rFonts w:ascii="標楷體" w:eastAsia="標楷體" w:hAnsi="標楷體"/>
          <w:color w:val="000000"/>
          <w:szCs w:val="24"/>
        </w:rPr>
        <w:tab/>
      </w:r>
      <w:r w:rsidRPr="002F006C">
        <w:rPr>
          <w:rFonts w:ascii="標楷體" w:eastAsia="標楷體" w:hAnsi="標楷體" w:hint="eastAsia"/>
          <w:color w:val="000000"/>
          <w:szCs w:val="24"/>
        </w:rPr>
        <w:t>接下來要說明合作社形式保險公司與股份型保險公司差異，合作社形式保險公司按1995年9月國際合作聯盟第三十一屆會員大會所通過之合作七大原則定</w:t>
      </w:r>
      <w:r w:rsidR="00300457" w:rsidRPr="002F006C">
        <w:rPr>
          <w:rFonts w:ascii="標楷體" w:eastAsia="標楷體" w:hAnsi="標楷體" w:hint="eastAsia"/>
          <w:color w:val="000000"/>
          <w:szCs w:val="24"/>
        </w:rPr>
        <w:t>義，分別是其為自願加入並公開透明的社員制</w:t>
      </w:r>
      <w:r w:rsidR="00B50D13" w:rsidRPr="002F006C">
        <w:rPr>
          <w:rFonts w:ascii="標楷體" w:eastAsia="標楷體" w:hAnsi="標楷體" w:hint="eastAsia"/>
          <w:color w:val="000000"/>
          <w:szCs w:val="24"/>
        </w:rPr>
        <w:t>(凡能利用合作社服務並願意承擔社員責任皆可入社，加入不受社會、人種、性別等各方面差異限制)、享有平等投票權(一人一票制)、自治與自立、教育訓練與宣導、社間合作以及關懷地區社會，因此，作為合作社性質的保險公司，其主旨理應於服務社員而非公司本身牟利，通常在選理事長、理事、執行監事、監事資格上，皆由社員互相投票得出，非成員無法擔任這些職位，因此合作社形式</w:t>
      </w:r>
      <w:r w:rsidR="004364BD" w:rsidRPr="002F006C">
        <w:rPr>
          <w:rFonts w:ascii="標楷體" w:eastAsia="標楷體" w:hAnsi="標楷體" w:hint="eastAsia"/>
          <w:color w:val="000000"/>
          <w:szCs w:val="24"/>
        </w:rPr>
        <w:t>幾乎無</w:t>
      </w:r>
      <w:r w:rsidR="00B50D13" w:rsidRPr="002F006C">
        <w:rPr>
          <w:rFonts w:ascii="標楷體" w:eastAsia="標楷體" w:hAnsi="標楷體" w:hint="eastAsia"/>
          <w:color w:val="000000"/>
          <w:szCs w:val="24"/>
        </w:rPr>
        <w:t>代理問題</w:t>
      </w:r>
      <w:r w:rsidR="004364BD" w:rsidRPr="002F006C">
        <w:rPr>
          <w:rFonts w:ascii="標楷體" w:eastAsia="標楷體" w:hAnsi="標楷體" w:hint="eastAsia"/>
          <w:color w:val="000000"/>
          <w:szCs w:val="24"/>
        </w:rPr>
        <w:t>，因為其所有人跟債權人皆為會員，兩者為同一群人，所追求的目標跟利益一致，</w:t>
      </w:r>
      <w:r w:rsidR="00FC5630" w:rsidRPr="002F006C">
        <w:rPr>
          <w:rFonts w:ascii="標楷體" w:eastAsia="標楷體" w:hAnsi="標楷體" w:hint="eastAsia"/>
          <w:color w:val="000000"/>
          <w:szCs w:val="24"/>
        </w:rPr>
        <w:t>然而經理人和公司內部監理職位為內部選舉而得，監理方面能力較股份型保險公司弱，尤其當其為多重群體形式時，因彼此共同關係差，更難監督。</w:t>
      </w:r>
    </w:p>
    <w:p w14:paraId="39E91481" w14:textId="6D6E0C91" w:rsidR="00303E3C" w:rsidRPr="002F006C" w:rsidRDefault="00FC5630" w:rsidP="003C7559">
      <w:pPr>
        <w:rPr>
          <w:rFonts w:ascii="標楷體" w:eastAsia="標楷體" w:hAnsi="標楷體"/>
          <w:color w:val="000000"/>
          <w:szCs w:val="24"/>
        </w:rPr>
      </w:pPr>
      <w:r w:rsidRPr="002F006C">
        <w:rPr>
          <w:rFonts w:ascii="標楷體" w:eastAsia="標楷體" w:hAnsi="標楷體"/>
          <w:color w:val="000000"/>
          <w:szCs w:val="24"/>
        </w:rPr>
        <w:tab/>
      </w:r>
      <w:r w:rsidRPr="002F006C">
        <w:rPr>
          <w:rFonts w:ascii="標楷體" w:eastAsia="標楷體" w:hAnsi="標楷體" w:hint="eastAsia"/>
          <w:color w:val="000000"/>
          <w:szCs w:val="24"/>
        </w:rPr>
        <w:t>股份型保險公司與合作社形式保險公司最大的差異在於其債權人(主要為銀行)跟所有人(股東)是兩個不同的群體，因此雙方會有追求目標和利益不一致的問題，股份型股東不一定要買保單，但合作社所有者通常都會買保單，以此加入會員獲取所有權，另外，股份型職位並非一人一票致，而是採取認股不認人，擁有股份越多，在公司話語權越大，能夠左右主導公司整體營運走勢，在職位選擇上，可以聘請外部獨立董事，在台灣法規上監管規範也比較嚴格，對經理人監督能力強，</w:t>
      </w:r>
      <w:r w:rsidR="00303E3C" w:rsidRPr="002F006C">
        <w:rPr>
          <w:rFonts w:ascii="標楷體" w:eastAsia="標楷體" w:hAnsi="標楷體" w:hint="eastAsia"/>
          <w:color w:val="000000"/>
          <w:szCs w:val="24"/>
        </w:rPr>
        <w:t>另外在代理問題方面，與合作社不同，根據台灣壽險業之公司治理、風險承擔與經營績效關係之研究指出，經理人持股比例多寡與風險承擔呈現負相關，代表其支持Gorton and Rosen（1995）所提出「公司控制假說」，另外在法人持股比例這項相異於合作社形式保險公司的所有人，其得出結論為與風險呈現顯著正相關，符合 Pound（1988）「利益衝突假說（Conflict of Interest Hypothesis）」。</w:t>
      </w:r>
    </w:p>
    <w:p w14:paraId="31E50F63" w14:textId="4F4119E7" w:rsidR="00303E3C" w:rsidRPr="002F006C" w:rsidRDefault="00303E3C" w:rsidP="003C7559">
      <w:pPr>
        <w:rPr>
          <w:rFonts w:ascii="標楷體" w:eastAsia="標楷體" w:hAnsi="標楷體"/>
          <w:color w:val="000000"/>
          <w:szCs w:val="24"/>
        </w:rPr>
      </w:pPr>
      <w:r w:rsidRPr="002F006C">
        <w:rPr>
          <w:rFonts w:ascii="標楷體" w:eastAsia="標楷體" w:hAnsi="標楷體"/>
          <w:color w:val="000000"/>
          <w:szCs w:val="24"/>
        </w:rPr>
        <w:lastRenderedPageBreak/>
        <w:tab/>
      </w:r>
      <w:r w:rsidRPr="002F006C">
        <w:rPr>
          <w:rFonts w:ascii="標楷體" w:eastAsia="標楷體" w:hAnsi="標楷體" w:hint="eastAsia"/>
          <w:color w:val="000000"/>
          <w:szCs w:val="24"/>
        </w:rPr>
        <w:t>簡而言之，由於股份有限公司所有人不一定要是保單持有者，所有人與債權人為不同人，已擁有股份來決定在公司的決策權，造成法人持股比例越高，風險承擔越大，經理人持股越大，公司經營好壞受經理人效用影響，而與合作形式保險公司有所差異。</w:t>
      </w:r>
    </w:p>
    <w:p w14:paraId="51D03919" w14:textId="77777777" w:rsidR="003C7559" w:rsidRPr="002F006C" w:rsidRDefault="003C7559" w:rsidP="003C7559">
      <w:pPr>
        <w:rPr>
          <w:rFonts w:ascii="標楷體" w:eastAsia="標楷體" w:hAnsi="標楷體"/>
          <w:color w:val="000000"/>
          <w:szCs w:val="24"/>
        </w:rPr>
      </w:pPr>
    </w:p>
    <w:p w14:paraId="65B837D0" w14:textId="77777777" w:rsidR="00050B5D" w:rsidRPr="002F006C" w:rsidRDefault="00940BCC" w:rsidP="00BD18C7">
      <w:pPr>
        <w:numPr>
          <w:ilvl w:val="0"/>
          <w:numId w:val="1"/>
        </w:numPr>
        <w:rPr>
          <w:rFonts w:ascii="標楷體" w:eastAsia="標楷體" w:hAnsi="標楷體"/>
          <w:color w:val="000000"/>
          <w:szCs w:val="24"/>
        </w:rPr>
      </w:pPr>
      <w:r w:rsidRPr="002F006C">
        <w:rPr>
          <w:rFonts w:ascii="標楷體" w:eastAsia="標楷體" w:hAnsi="標楷體" w:hint="eastAsia"/>
          <w:color w:val="000000"/>
          <w:szCs w:val="24"/>
        </w:rPr>
        <w:t>請利用金管會的保險業公開資訊觀測站提供的資訊，</w:t>
      </w:r>
      <w:r w:rsidR="00050B5D" w:rsidRPr="002F006C">
        <w:rPr>
          <w:rFonts w:ascii="標楷體" w:eastAsia="標楷體" w:hAnsi="標楷體" w:hint="eastAsia"/>
          <w:color w:val="000000"/>
          <w:szCs w:val="24"/>
        </w:rPr>
        <w:t>比較三家壽險公司近</w:t>
      </w:r>
      <w:r w:rsidRPr="002F006C">
        <w:rPr>
          <w:rFonts w:ascii="標楷體" w:eastAsia="標楷體" w:hAnsi="標楷體" w:hint="eastAsia"/>
          <w:color w:val="000000"/>
          <w:szCs w:val="24"/>
        </w:rPr>
        <w:t>三</w:t>
      </w:r>
      <w:r w:rsidR="00050B5D" w:rsidRPr="002F006C">
        <w:rPr>
          <w:rFonts w:ascii="標楷體" w:eastAsia="標楷體" w:hAnsi="標楷體" w:hint="eastAsia"/>
          <w:color w:val="000000"/>
          <w:szCs w:val="24"/>
        </w:rPr>
        <w:t>年來的</w:t>
      </w:r>
      <w:r w:rsidRPr="002F006C">
        <w:rPr>
          <w:rFonts w:ascii="標楷體" w:eastAsia="標楷體" w:hAnsi="標楷體" w:hint="eastAsia"/>
          <w:color w:val="000000"/>
          <w:szCs w:val="24"/>
        </w:rPr>
        <w:t>投資報酬率。</w:t>
      </w:r>
      <w:r w:rsidR="00414EA3" w:rsidRPr="002F006C">
        <w:rPr>
          <w:rFonts w:ascii="標楷體" w:eastAsia="標楷體" w:hAnsi="標楷體" w:hint="eastAsia"/>
          <w:color w:val="000000"/>
          <w:szCs w:val="24"/>
        </w:rPr>
        <w:t>(</w:t>
      </w:r>
      <w:r w:rsidR="00414EA3" w:rsidRPr="002F006C">
        <w:rPr>
          <w:rFonts w:ascii="標楷體" w:eastAsia="標楷體" w:hAnsi="標楷體"/>
          <w:color w:val="000000"/>
          <w:szCs w:val="24"/>
        </w:rPr>
        <w:t>15%</w:t>
      </w:r>
      <w:r w:rsidR="00414EA3" w:rsidRPr="002F006C">
        <w:rPr>
          <w:rFonts w:ascii="標楷體" w:eastAsia="標楷體" w:hAnsi="標楷體" w:hint="eastAsia"/>
          <w:color w:val="000000"/>
          <w:szCs w:val="24"/>
        </w:rPr>
        <w:t>)</w:t>
      </w:r>
    </w:p>
    <w:p w14:paraId="4C5EB15A" w14:textId="44365A38" w:rsidR="00A424B3" w:rsidRPr="002F006C" w:rsidRDefault="0008133C" w:rsidP="0008133C">
      <w:pPr>
        <w:ind w:firstLine="360"/>
        <w:rPr>
          <w:rFonts w:ascii="標楷體" w:eastAsia="標楷體" w:hAnsi="標楷體"/>
          <w:color w:val="000000"/>
          <w:szCs w:val="24"/>
        </w:rPr>
      </w:pPr>
      <w:r w:rsidRPr="002F006C">
        <w:rPr>
          <w:rFonts w:ascii="標楷體" w:eastAsia="標楷體" w:hAnsi="標楷體" w:hint="eastAsia"/>
          <w:color w:val="000000"/>
          <w:szCs w:val="24"/>
        </w:rPr>
        <w:t>根據金管會保險業公開資訊觀測站所提供資訊顯示，壽險公司投報率僅會在每年第四個季度揭露，這裡我選取台銀人壽、台灣人壽和保誠人壽這三家保險公司來做分析，整理資料如表</w:t>
      </w:r>
      <w:r w:rsidR="002575D4" w:rsidRPr="002F006C">
        <w:rPr>
          <w:rFonts w:ascii="標楷體" w:eastAsia="標楷體" w:hAnsi="標楷體" w:hint="eastAsia"/>
          <w:color w:val="000000"/>
          <w:szCs w:val="24"/>
        </w:rPr>
        <w:t>二所示</w:t>
      </w:r>
      <w:r w:rsidR="00756FB7" w:rsidRPr="002F006C">
        <w:rPr>
          <w:rFonts w:ascii="標楷體" w:eastAsia="標楷體" w:hAnsi="標楷體" w:hint="eastAsia"/>
          <w:color w:val="000000"/>
          <w:szCs w:val="24"/>
        </w:rPr>
        <w:t>，視覺化圖表如圖十六、圖十七所示，</w:t>
      </w:r>
      <w:r w:rsidR="00A8286A" w:rsidRPr="002F006C">
        <w:rPr>
          <w:rFonts w:ascii="標楷體" w:eastAsia="標楷體" w:hAnsi="標楷體" w:hint="eastAsia"/>
          <w:color w:val="000000"/>
          <w:szCs w:val="24"/>
        </w:rPr>
        <w:t>可以發現扣除2018年投資報酬率，保誠人壽投報率遠大於其他兩家，台灣人壽與台銀人壽兩者投報率差不多，不過台灣人壽近三年持續穩定略優於台銀人壽投報率</w:t>
      </w:r>
      <w:r w:rsidR="00587456" w:rsidRPr="002F006C">
        <w:rPr>
          <w:rFonts w:ascii="標楷體" w:eastAsia="標楷體" w:hAnsi="標楷體" w:hint="eastAsia"/>
          <w:color w:val="000000"/>
          <w:szCs w:val="24"/>
        </w:rPr>
        <w:t xml:space="preserve">。 </w:t>
      </w:r>
    </w:p>
    <w:tbl>
      <w:tblPr>
        <w:tblW w:w="5580" w:type="dxa"/>
        <w:tblCellMar>
          <w:left w:w="28" w:type="dxa"/>
          <w:right w:w="28" w:type="dxa"/>
        </w:tblCellMar>
        <w:tblLook w:val="04A0" w:firstRow="1" w:lastRow="0" w:firstColumn="1" w:lastColumn="0" w:noHBand="0" w:noVBand="1"/>
      </w:tblPr>
      <w:tblGrid>
        <w:gridCol w:w="2940"/>
        <w:gridCol w:w="880"/>
        <w:gridCol w:w="880"/>
        <w:gridCol w:w="880"/>
      </w:tblGrid>
      <w:tr w:rsidR="002575D4" w:rsidRPr="002F006C" w14:paraId="269118D0" w14:textId="77777777" w:rsidTr="002575D4">
        <w:trPr>
          <w:trHeight w:val="29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A3398" w14:textId="77777777" w:rsidR="002575D4" w:rsidRPr="002F006C" w:rsidRDefault="002575D4" w:rsidP="002575D4">
            <w:pPr>
              <w:widowControl/>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 xml:space="preserve">　</w:t>
            </w:r>
          </w:p>
        </w:tc>
        <w:tc>
          <w:tcPr>
            <w:tcW w:w="264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E5A3ADD" w14:textId="77777777" w:rsidR="002575D4" w:rsidRPr="002F006C" w:rsidRDefault="002575D4" w:rsidP="002575D4">
            <w:pPr>
              <w:widowControl/>
              <w:jc w:val="center"/>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投資報酬率</w:t>
            </w:r>
          </w:p>
        </w:tc>
      </w:tr>
      <w:tr w:rsidR="002575D4" w:rsidRPr="002F006C" w14:paraId="051D0E4C" w14:textId="77777777" w:rsidTr="002575D4">
        <w:trPr>
          <w:trHeight w:val="29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771A5F3" w14:textId="77777777" w:rsidR="002575D4" w:rsidRPr="002F006C" w:rsidRDefault="002575D4" w:rsidP="002575D4">
            <w:pPr>
              <w:widowControl/>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保險公司</w:t>
            </w:r>
          </w:p>
        </w:tc>
        <w:tc>
          <w:tcPr>
            <w:tcW w:w="880" w:type="dxa"/>
            <w:tcBorders>
              <w:top w:val="nil"/>
              <w:left w:val="nil"/>
              <w:bottom w:val="single" w:sz="4" w:space="0" w:color="auto"/>
              <w:right w:val="single" w:sz="4" w:space="0" w:color="auto"/>
            </w:tcBorders>
            <w:shd w:val="clear" w:color="auto" w:fill="auto"/>
            <w:noWrap/>
            <w:vAlign w:val="bottom"/>
            <w:hideMark/>
          </w:tcPr>
          <w:p w14:paraId="4DF83291" w14:textId="77777777" w:rsidR="002575D4" w:rsidRPr="002F006C" w:rsidRDefault="002575D4" w:rsidP="002575D4">
            <w:pPr>
              <w:widowControl/>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107 Q4</w:t>
            </w:r>
          </w:p>
        </w:tc>
        <w:tc>
          <w:tcPr>
            <w:tcW w:w="880" w:type="dxa"/>
            <w:tcBorders>
              <w:top w:val="nil"/>
              <w:left w:val="nil"/>
              <w:bottom w:val="single" w:sz="4" w:space="0" w:color="auto"/>
              <w:right w:val="single" w:sz="4" w:space="0" w:color="auto"/>
            </w:tcBorders>
            <w:shd w:val="clear" w:color="auto" w:fill="auto"/>
            <w:noWrap/>
            <w:vAlign w:val="bottom"/>
            <w:hideMark/>
          </w:tcPr>
          <w:p w14:paraId="45B8D5F8" w14:textId="77777777" w:rsidR="002575D4" w:rsidRPr="002F006C" w:rsidRDefault="002575D4" w:rsidP="002575D4">
            <w:pPr>
              <w:widowControl/>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108 Q4</w:t>
            </w:r>
          </w:p>
        </w:tc>
        <w:tc>
          <w:tcPr>
            <w:tcW w:w="880" w:type="dxa"/>
            <w:tcBorders>
              <w:top w:val="nil"/>
              <w:left w:val="nil"/>
              <w:bottom w:val="single" w:sz="4" w:space="0" w:color="auto"/>
              <w:right w:val="single" w:sz="4" w:space="0" w:color="auto"/>
            </w:tcBorders>
            <w:shd w:val="clear" w:color="auto" w:fill="auto"/>
            <w:noWrap/>
            <w:vAlign w:val="bottom"/>
            <w:hideMark/>
          </w:tcPr>
          <w:p w14:paraId="5EF55725" w14:textId="77777777" w:rsidR="002575D4" w:rsidRPr="002F006C" w:rsidRDefault="002575D4" w:rsidP="002575D4">
            <w:pPr>
              <w:widowControl/>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109 Q4</w:t>
            </w:r>
          </w:p>
        </w:tc>
      </w:tr>
      <w:tr w:rsidR="002575D4" w:rsidRPr="002F006C" w14:paraId="410FD709" w14:textId="77777777" w:rsidTr="002575D4">
        <w:trPr>
          <w:trHeight w:val="29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46BA23A5" w14:textId="77777777" w:rsidR="002575D4" w:rsidRPr="002F006C" w:rsidRDefault="002575D4" w:rsidP="002575D4">
            <w:pPr>
              <w:widowControl/>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臺銀人壽保險股份有限公司</w:t>
            </w:r>
          </w:p>
        </w:tc>
        <w:tc>
          <w:tcPr>
            <w:tcW w:w="880" w:type="dxa"/>
            <w:tcBorders>
              <w:top w:val="nil"/>
              <w:left w:val="nil"/>
              <w:bottom w:val="single" w:sz="4" w:space="0" w:color="auto"/>
              <w:right w:val="single" w:sz="4" w:space="0" w:color="auto"/>
            </w:tcBorders>
            <w:shd w:val="clear" w:color="auto" w:fill="auto"/>
            <w:noWrap/>
            <w:vAlign w:val="center"/>
            <w:hideMark/>
          </w:tcPr>
          <w:p w14:paraId="6DF646F5" w14:textId="77777777" w:rsidR="002575D4" w:rsidRPr="002F006C" w:rsidRDefault="002575D4" w:rsidP="002575D4">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2.81%</w:t>
            </w:r>
          </w:p>
        </w:tc>
        <w:tc>
          <w:tcPr>
            <w:tcW w:w="880" w:type="dxa"/>
            <w:tcBorders>
              <w:top w:val="nil"/>
              <w:left w:val="nil"/>
              <w:bottom w:val="single" w:sz="4" w:space="0" w:color="auto"/>
              <w:right w:val="single" w:sz="4" w:space="0" w:color="auto"/>
            </w:tcBorders>
            <w:shd w:val="clear" w:color="auto" w:fill="auto"/>
            <w:noWrap/>
            <w:vAlign w:val="center"/>
            <w:hideMark/>
          </w:tcPr>
          <w:p w14:paraId="1C0D12ED" w14:textId="77777777" w:rsidR="002575D4" w:rsidRPr="002F006C" w:rsidRDefault="002575D4" w:rsidP="002575D4">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2.47%</w:t>
            </w:r>
          </w:p>
        </w:tc>
        <w:tc>
          <w:tcPr>
            <w:tcW w:w="880" w:type="dxa"/>
            <w:tcBorders>
              <w:top w:val="nil"/>
              <w:left w:val="nil"/>
              <w:bottom w:val="single" w:sz="4" w:space="0" w:color="auto"/>
              <w:right w:val="single" w:sz="4" w:space="0" w:color="auto"/>
            </w:tcBorders>
            <w:shd w:val="clear" w:color="auto" w:fill="auto"/>
            <w:noWrap/>
            <w:vAlign w:val="center"/>
            <w:hideMark/>
          </w:tcPr>
          <w:p w14:paraId="3C9BD38F" w14:textId="77777777" w:rsidR="002575D4" w:rsidRPr="002F006C" w:rsidRDefault="002575D4" w:rsidP="002575D4">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2.36%</w:t>
            </w:r>
          </w:p>
        </w:tc>
      </w:tr>
      <w:tr w:rsidR="002575D4" w:rsidRPr="002F006C" w14:paraId="3D2384AC" w14:textId="77777777" w:rsidTr="002575D4">
        <w:trPr>
          <w:trHeight w:val="29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7B9560E" w14:textId="77777777" w:rsidR="002575D4" w:rsidRPr="002F006C" w:rsidRDefault="002575D4" w:rsidP="002575D4">
            <w:pPr>
              <w:widowControl/>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台灣人壽保險股份有限公司</w:t>
            </w:r>
          </w:p>
        </w:tc>
        <w:tc>
          <w:tcPr>
            <w:tcW w:w="880" w:type="dxa"/>
            <w:tcBorders>
              <w:top w:val="nil"/>
              <w:left w:val="nil"/>
              <w:bottom w:val="single" w:sz="4" w:space="0" w:color="auto"/>
              <w:right w:val="single" w:sz="4" w:space="0" w:color="auto"/>
            </w:tcBorders>
            <w:shd w:val="clear" w:color="auto" w:fill="auto"/>
            <w:noWrap/>
            <w:vAlign w:val="center"/>
            <w:hideMark/>
          </w:tcPr>
          <w:p w14:paraId="3C270C23" w14:textId="77777777" w:rsidR="002575D4" w:rsidRPr="002F006C" w:rsidRDefault="002575D4" w:rsidP="002575D4">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3.42%</w:t>
            </w:r>
          </w:p>
        </w:tc>
        <w:tc>
          <w:tcPr>
            <w:tcW w:w="880" w:type="dxa"/>
            <w:tcBorders>
              <w:top w:val="nil"/>
              <w:left w:val="nil"/>
              <w:bottom w:val="single" w:sz="4" w:space="0" w:color="auto"/>
              <w:right w:val="single" w:sz="4" w:space="0" w:color="auto"/>
            </w:tcBorders>
            <w:shd w:val="clear" w:color="auto" w:fill="auto"/>
            <w:noWrap/>
            <w:vAlign w:val="center"/>
            <w:hideMark/>
          </w:tcPr>
          <w:p w14:paraId="41096545" w14:textId="77777777" w:rsidR="002575D4" w:rsidRPr="002F006C" w:rsidRDefault="002575D4" w:rsidP="002575D4">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3.67%</w:t>
            </w:r>
          </w:p>
        </w:tc>
        <w:tc>
          <w:tcPr>
            <w:tcW w:w="880" w:type="dxa"/>
            <w:tcBorders>
              <w:top w:val="nil"/>
              <w:left w:val="nil"/>
              <w:bottom w:val="single" w:sz="4" w:space="0" w:color="auto"/>
              <w:right w:val="single" w:sz="4" w:space="0" w:color="auto"/>
            </w:tcBorders>
            <w:shd w:val="clear" w:color="auto" w:fill="auto"/>
            <w:noWrap/>
            <w:vAlign w:val="center"/>
            <w:hideMark/>
          </w:tcPr>
          <w:p w14:paraId="207ED7A4" w14:textId="77777777" w:rsidR="002575D4" w:rsidRPr="002F006C" w:rsidRDefault="002575D4" w:rsidP="002575D4">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3.58%</w:t>
            </w:r>
          </w:p>
        </w:tc>
      </w:tr>
      <w:tr w:rsidR="002575D4" w:rsidRPr="002F006C" w14:paraId="4F30C2BE" w14:textId="77777777" w:rsidTr="002575D4">
        <w:trPr>
          <w:trHeight w:val="29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6A58903" w14:textId="77777777" w:rsidR="002575D4" w:rsidRPr="002F006C" w:rsidRDefault="002575D4" w:rsidP="002575D4">
            <w:pPr>
              <w:widowControl/>
              <w:rPr>
                <w:rFonts w:ascii="標楷體" w:eastAsia="標楷體" w:hAnsi="標楷體" w:cs="新細明體"/>
                <w:b/>
                <w:bCs/>
                <w:color w:val="000000"/>
                <w:kern w:val="0"/>
                <w:sz w:val="22"/>
              </w:rPr>
            </w:pPr>
            <w:r w:rsidRPr="002F006C">
              <w:rPr>
                <w:rFonts w:ascii="標楷體" w:eastAsia="標楷體" w:hAnsi="標楷體" w:cs="新細明體" w:hint="eastAsia"/>
                <w:b/>
                <w:bCs/>
                <w:color w:val="000000"/>
                <w:kern w:val="0"/>
                <w:sz w:val="22"/>
              </w:rPr>
              <w:t>保誠人壽保險股份有限公司</w:t>
            </w:r>
          </w:p>
        </w:tc>
        <w:tc>
          <w:tcPr>
            <w:tcW w:w="880" w:type="dxa"/>
            <w:tcBorders>
              <w:top w:val="nil"/>
              <w:left w:val="nil"/>
              <w:bottom w:val="single" w:sz="4" w:space="0" w:color="auto"/>
              <w:right w:val="single" w:sz="4" w:space="0" w:color="auto"/>
            </w:tcBorders>
            <w:shd w:val="clear" w:color="auto" w:fill="auto"/>
            <w:noWrap/>
            <w:vAlign w:val="center"/>
            <w:hideMark/>
          </w:tcPr>
          <w:p w14:paraId="6785F95A" w14:textId="77777777" w:rsidR="002575D4" w:rsidRPr="002F006C" w:rsidRDefault="002575D4" w:rsidP="002575D4">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highlight w:val="yellow"/>
              </w:rPr>
              <w:t>-0.31%</w:t>
            </w:r>
          </w:p>
        </w:tc>
        <w:tc>
          <w:tcPr>
            <w:tcW w:w="880" w:type="dxa"/>
            <w:tcBorders>
              <w:top w:val="nil"/>
              <w:left w:val="nil"/>
              <w:bottom w:val="single" w:sz="4" w:space="0" w:color="auto"/>
              <w:right w:val="single" w:sz="4" w:space="0" w:color="auto"/>
            </w:tcBorders>
            <w:shd w:val="clear" w:color="auto" w:fill="auto"/>
            <w:noWrap/>
            <w:vAlign w:val="center"/>
            <w:hideMark/>
          </w:tcPr>
          <w:p w14:paraId="19BBD38E" w14:textId="77777777" w:rsidR="002575D4" w:rsidRPr="002F006C" w:rsidRDefault="002575D4" w:rsidP="002575D4">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9.33%</w:t>
            </w:r>
          </w:p>
        </w:tc>
        <w:tc>
          <w:tcPr>
            <w:tcW w:w="880" w:type="dxa"/>
            <w:tcBorders>
              <w:top w:val="nil"/>
              <w:left w:val="nil"/>
              <w:bottom w:val="single" w:sz="4" w:space="0" w:color="auto"/>
              <w:right w:val="single" w:sz="4" w:space="0" w:color="auto"/>
            </w:tcBorders>
            <w:shd w:val="clear" w:color="auto" w:fill="auto"/>
            <w:noWrap/>
            <w:vAlign w:val="center"/>
            <w:hideMark/>
          </w:tcPr>
          <w:p w14:paraId="55AFAA9A" w14:textId="77777777" w:rsidR="002575D4" w:rsidRPr="002F006C" w:rsidRDefault="002575D4" w:rsidP="002575D4">
            <w:pPr>
              <w:widowControl/>
              <w:jc w:val="right"/>
              <w:rPr>
                <w:rFonts w:ascii="標楷體" w:eastAsia="標楷體" w:hAnsi="標楷體" w:cs="新細明體"/>
                <w:color w:val="000000"/>
                <w:kern w:val="0"/>
                <w:sz w:val="22"/>
              </w:rPr>
            </w:pPr>
            <w:r w:rsidRPr="002F006C">
              <w:rPr>
                <w:rFonts w:ascii="標楷體" w:eastAsia="標楷體" w:hAnsi="標楷體" w:cs="新細明體" w:hint="eastAsia"/>
                <w:color w:val="000000"/>
                <w:kern w:val="0"/>
                <w:sz w:val="22"/>
              </w:rPr>
              <w:t>7.33%</w:t>
            </w:r>
          </w:p>
        </w:tc>
      </w:tr>
    </w:tbl>
    <w:p w14:paraId="52AF0E37" w14:textId="0ED97D0C" w:rsidR="002575D4" w:rsidRPr="002F006C" w:rsidRDefault="00756FB7" w:rsidP="0008133C">
      <w:pPr>
        <w:ind w:firstLine="360"/>
        <w:rPr>
          <w:rFonts w:ascii="標楷體" w:eastAsia="標楷體" w:hAnsi="標楷體"/>
          <w:color w:val="000000"/>
          <w:szCs w:val="24"/>
        </w:rPr>
      </w:pPr>
      <w:r w:rsidRPr="002F006C">
        <w:rPr>
          <w:rFonts w:ascii="標楷體" w:eastAsia="標楷體" w:hAnsi="標楷體" w:hint="eastAsia"/>
          <w:color w:val="000000"/>
          <w:szCs w:val="24"/>
        </w:rPr>
        <w:t>(表二)</w:t>
      </w:r>
    </w:p>
    <w:p w14:paraId="43249D1F" w14:textId="65366CAB" w:rsidR="0008133C" w:rsidRPr="002F006C" w:rsidRDefault="00756FB7" w:rsidP="0008133C">
      <w:pPr>
        <w:rPr>
          <w:rFonts w:ascii="標楷體" w:eastAsia="標楷體" w:hAnsi="標楷體"/>
          <w:color w:val="000000"/>
          <w:szCs w:val="24"/>
        </w:rPr>
      </w:pPr>
      <w:r w:rsidRPr="002F006C">
        <w:rPr>
          <w:rFonts w:ascii="標楷體" w:eastAsia="標楷體" w:hAnsi="標楷體"/>
          <w:noProof/>
          <w:color w:val="000000"/>
          <w:szCs w:val="24"/>
        </w:rPr>
        <w:drawing>
          <wp:inline distT="0" distB="0" distL="0" distR="0" wp14:anchorId="51341637" wp14:editId="34F63AB1">
            <wp:extent cx="4566285" cy="2743200"/>
            <wp:effectExtent l="0" t="0" r="571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6285" cy="2743200"/>
                    </a:xfrm>
                    <a:prstGeom prst="rect">
                      <a:avLst/>
                    </a:prstGeom>
                    <a:noFill/>
                  </pic:spPr>
                </pic:pic>
              </a:graphicData>
            </a:graphic>
          </wp:inline>
        </w:drawing>
      </w:r>
      <w:r w:rsidRPr="002F006C">
        <w:rPr>
          <w:rFonts w:ascii="標楷體" w:eastAsia="標楷體" w:hAnsi="標楷體" w:hint="eastAsia"/>
          <w:color w:val="000000"/>
          <w:szCs w:val="24"/>
        </w:rPr>
        <w:t>(圖十六)</w:t>
      </w:r>
    </w:p>
    <w:p w14:paraId="0039EC90" w14:textId="260D6FBE" w:rsidR="00756FB7" w:rsidRPr="002F006C" w:rsidRDefault="00756FB7" w:rsidP="00756FB7">
      <w:pPr>
        <w:rPr>
          <w:rFonts w:ascii="標楷體" w:eastAsia="標楷體" w:hAnsi="標楷體"/>
          <w:color w:val="000000"/>
          <w:szCs w:val="24"/>
        </w:rPr>
      </w:pPr>
      <w:r w:rsidRPr="002F006C">
        <w:rPr>
          <w:rFonts w:ascii="標楷體" w:eastAsia="標楷體" w:hAnsi="標楷體"/>
          <w:noProof/>
          <w:color w:val="000000"/>
          <w:szCs w:val="24"/>
        </w:rPr>
        <w:lastRenderedPageBreak/>
        <w:drawing>
          <wp:inline distT="0" distB="0" distL="0" distR="0" wp14:anchorId="45EF914D" wp14:editId="7C5E003D">
            <wp:extent cx="4559935" cy="273113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9935" cy="2731135"/>
                    </a:xfrm>
                    <a:prstGeom prst="rect">
                      <a:avLst/>
                    </a:prstGeom>
                    <a:noFill/>
                  </pic:spPr>
                </pic:pic>
              </a:graphicData>
            </a:graphic>
          </wp:inline>
        </w:drawing>
      </w:r>
      <w:r w:rsidRPr="002F006C">
        <w:rPr>
          <w:rFonts w:ascii="標楷體" w:eastAsia="標楷體" w:hAnsi="標楷體" w:hint="eastAsia"/>
          <w:color w:val="000000"/>
          <w:szCs w:val="24"/>
        </w:rPr>
        <w:t>(圖十七)</w:t>
      </w:r>
    </w:p>
    <w:p w14:paraId="742FE0D2" w14:textId="77777777" w:rsidR="00587456" w:rsidRPr="002F006C" w:rsidRDefault="00587456" w:rsidP="00587456">
      <w:pPr>
        <w:ind w:firstLine="360"/>
        <w:rPr>
          <w:rFonts w:ascii="標楷體" w:eastAsia="標楷體" w:hAnsi="標楷體"/>
          <w:color w:val="000000"/>
          <w:szCs w:val="24"/>
        </w:rPr>
      </w:pPr>
      <w:r w:rsidRPr="002F006C">
        <w:rPr>
          <w:rFonts w:ascii="標楷體" w:eastAsia="標楷體" w:hAnsi="標楷體" w:hint="eastAsia"/>
          <w:color w:val="000000"/>
          <w:szCs w:val="24"/>
        </w:rPr>
        <w:t>在深究其原因後，我們發覺保誠人壽在2017年同樣也是投報率的領頭羊，整體投報率高達5.18%，為該年度最高，卻在2018年嚴重跌到負數，由於2018年壽險業的資金使用率高達99.76%，其中壽險業者平均有高達70%的資金投入國外投資，但這樣必須得承擔更高的匯率風險，由於保誠公司屬於母公司為英商，國外主要計價貨幣為美元，在台灣財務報表需用台幣計價，因此我找尋該年度美元兌台幣和英鎊兌台幣的歷史匯率，另外，由於台幣非屬於國際貨幣，所以在匯率報價上經常採用交叉匯率，即便國外投資不使用以上兩種貨幣，仍可因為交叉匯率尋找原因。</w:t>
      </w:r>
    </w:p>
    <w:p w14:paraId="6C8490A8" w14:textId="4BC5BB2B" w:rsidR="00587456" w:rsidRPr="002F006C" w:rsidRDefault="00587456" w:rsidP="00587456">
      <w:pPr>
        <w:rPr>
          <w:rFonts w:ascii="標楷體" w:eastAsia="標楷體" w:hAnsi="標楷體"/>
          <w:color w:val="000000"/>
          <w:szCs w:val="24"/>
        </w:rPr>
      </w:pPr>
      <w:r w:rsidRPr="002F006C">
        <w:rPr>
          <w:rFonts w:ascii="標楷體" w:eastAsia="標楷體" w:hAnsi="標楷體" w:hint="eastAsia"/>
          <w:color w:val="000000"/>
          <w:szCs w:val="24"/>
        </w:rPr>
        <w:t>該年度美元兌台幣</w:t>
      </w:r>
      <w:r w:rsidR="00AB4266" w:rsidRPr="002F006C">
        <w:rPr>
          <w:rFonts w:ascii="標楷體" w:eastAsia="標楷體" w:hAnsi="標楷體" w:hint="eastAsia"/>
          <w:color w:val="000000"/>
          <w:szCs w:val="24"/>
        </w:rPr>
        <w:t>(圖十八)</w:t>
      </w:r>
      <w:r w:rsidRPr="002F006C">
        <w:rPr>
          <w:rFonts w:ascii="標楷體" w:eastAsia="標楷體" w:hAnsi="標楷體" w:hint="eastAsia"/>
          <w:color w:val="000000"/>
          <w:szCs w:val="24"/>
        </w:rPr>
        <w:t>和英鎊兌台幣的歷史匯率圖</w:t>
      </w:r>
      <w:r w:rsidR="00AB4266" w:rsidRPr="002F006C">
        <w:rPr>
          <w:rFonts w:ascii="標楷體" w:eastAsia="標楷體" w:hAnsi="標楷體" w:hint="eastAsia"/>
          <w:color w:val="000000"/>
          <w:szCs w:val="24"/>
        </w:rPr>
        <w:t>(圖十九)</w:t>
      </w:r>
      <w:r w:rsidRPr="002F006C">
        <w:rPr>
          <w:rFonts w:ascii="標楷體" w:eastAsia="標楷體" w:hAnsi="標楷體" w:hint="eastAsia"/>
          <w:color w:val="000000"/>
          <w:szCs w:val="24"/>
        </w:rPr>
        <w:t>報表如下，可以</w:t>
      </w:r>
      <w:r w:rsidR="00AB4266" w:rsidRPr="002F006C">
        <w:rPr>
          <w:rFonts w:ascii="標楷體" w:eastAsia="標楷體" w:hAnsi="標楷體" w:hint="eastAsia"/>
          <w:color w:val="000000"/>
          <w:szCs w:val="24"/>
        </w:rPr>
        <w:t>判斷2016年至2018年2月，台幣是進行升值，但至此之後依直到約略五月的部分是呈現貶值態勢，英鎊兌台幣則是從2015年九月開始至2017年初，台幣呈現升值，之後雖略微貶值，但整體變化不大，因此推測保誠公司出現投報率負數應與英鎊無關。</w:t>
      </w:r>
    </w:p>
    <w:p w14:paraId="18A3920B" w14:textId="77777777" w:rsidR="00587456" w:rsidRPr="002F006C" w:rsidRDefault="00587456" w:rsidP="00756FB7">
      <w:pPr>
        <w:rPr>
          <w:rFonts w:ascii="標楷體" w:eastAsia="標楷體" w:hAnsi="標楷體"/>
          <w:color w:val="000000"/>
          <w:szCs w:val="24"/>
        </w:rPr>
      </w:pPr>
      <w:r w:rsidRPr="002F006C">
        <w:rPr>
          <w:rFonts w:ascii="標楷體" w:eastAsia="標楷體" w:hAnsi="標楷體"/>
          <w:noProof/>
          <w:color w:val="000000"/>
          <w:szCs w:val="24"/>
        </w:rPr>
        <w:drawing>
          <wp:inline distT="0" distB="0" distL="0" distR="0" wp14:anchorId="2256DF9D" wp14:editId="3DACEC18">
            <wp:extent cx="4348815" cy="2494344"/>
            <wp:effectExtent l="0" t="0" r="0" b="12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25"/>
                    <a:stretch>
                      <a:fillRect/>
                    </a:stretch>
                  </pic:blipFill>
                  <pic:spPr>
                    <a:xfrm>
                      <a:off x="0" y="0"/>
                      <a:ext cx="4362146" cy="2501990"/>
                    </a:xfrm>
                    <a:prstGeom prst="rect">
                      <a:avLst/>
                    </a:prstGeom>
                  </pic:spPr>
                </pic:pic>
              </a:graphicData>
            </a:graphic>
          </wp:inline>
        </w:drawing>
      </w:r>
    </w:p>
    <w:p w14:paraId="1A0507A8" w14:textId="77777777" w:rsidR="00587456" w:rsidRPr="002F006C" w:rsidRDefault="00587456" w:rsidP="00756FB7">
      <w:pPr>
        <w:rPr>
          <w:rFonts w:ascii="標楷體" w:eastAsia="標楷體" w:hAnsi="標楷體"/>
          <w:color w:val="000000"/>
          <w:szCs w:val="24"/>
        </w:rPr>
      </w:pPr>
      <w:r w:rsidRPr="002F006C">
        <w:rPr>
          <w:rFonts w:ascii="標楷體" w:eastAsia="標楷體" w:hAnsi="標楷體" w:hint="eastAsia"/>
          <w:color w:val="000000"/>
          <w:szCs w:val="24"/>
        </w:rPr>
        <w:t xml:space="preserve">資料來源: </w:t>
      </w:r>
      <w:proofErr w:type="spellStart"/>
      <w:r w:rsidRPr="002F006C">
        <w:rPr>
          <w:rFonts w:ascii="標楷體" w:eastAsia="標楷體" w:hAnsi="標楷體" w:hint="eastAsia"/>
          <w:color w:val="000000"/>
          <w:szCs w:val="24"/>
        </w:rPr>
        <w:t>Fi</w:t>
      </w:r>
      <w:r w:rsidRPr="002F006C">
        <w:rPr>
          <w:rFonts w:ascii="標楷體" w:eastAsia="標楷體" w:hAnsi="標楷體"/>
          <w:color w:val="000000"/>
          <w:szCs w:val="24"/>
        </w:rPr>
        <w:t>ndRate</w:t>
      </w:r>
      <w:proofErr w:type="spellEnd"/>
      <w:r w:rsidRPr="002F006C">
        <w:rPr>
          <w:rFonts w:ascii="標楷體" w:eastAsia="標楷體" w:hAnsi="標楷體"/>
          <w:color w:val="000000"/>
          <w:szCs w:val="24"/>
        </w:rPr>
        <w:t xml:space="preserve"> </w:t>
      </w:r>
      <w:r w:rsidRPr="002F006C">
        <w:rPr>
          <w:rFonts w:ascii="標楷體" w:eastAsia="標楷體" w:hAnsi="標楷體" w:hint="eastAsia"/>
          <w:color w:val="000000"/>
          <w:szCs w:val="24"/>
        </w:rPr>
        <w:t>(圖十八)</w:t>
      </w:r>
    </w:p>
    <w:p w14:paraId="2660EB06" w14:textId="77777777" w:rsidR="00587456" w:rsidRPr="002F006C" w:rsidRDefault="00587456" w:rsidP="00756FB7">
      <w:pPr>
        <w:rPr>
          <w:rFonts w:ascii="標楷體" w:eastAsia="標楷體" w:hAnsi="標楷體"/>
          <w:color w:val="000000"/>
          <w:szCs w:val="24"/>
        </w:rPr>
      </w:pPr>
      <w:r w:rsidRPr="002F006C">
        <w:rPr>
          <w:rFonts w:ascii="標楷體" w:eastAsia="標楷體" w:hAnsi="標楷體"/>
          <w:noProof/>
          <w:color w:val="000000"/>
          <w:szCs w:val="24"/>
        </w:rPr>
        <w:lastRenderedPageBreak/>
        <w:drawing>
          <wp:inline distT="0" distB="0" distL="0" distR="0" wp14:anchorId="79DB3D2A" wp14:editId="235953E0">
            <wp:extent cx="4324298" cy="2401747"/>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26"/>
                    <a:stretch>
                      <a:fillRect/>
                    </a:stretch>
                  </pic:blipFill>
                  <pic:spPr>
                    <a:xfrm>
                      <a:off x="0" y="0"/>
                      <a:ext cx="4327992" cy="2403799"/>
                    </a:xfrm>
                    <a:prstGeom prst="rect">
                      <a:avLst/>
                    </a:prstGeom>
                  </pic:spPr>
                </pic:pic>
              </a:graphicData>
            </a:graphic>
          </wp:inline>
        </w:drawing>
      </w:r>
      <w:r w:rsidRPr="002F006C">
        <w:rPr>
          <w:rFonts w:ascii="標楷體" w:eastAsia="標楷體" w:hAnsi="標楷體" w:hint="eastAsia"/>
          <w:color w:val="000000"/>
          <w:szCs w:val="24"/>
        </w:rPr>
        <w:t xml:space="preserve"> </w:t>
      </w:r>
    </w:p>
    <w:p w14:paraId="32982B76" w14:textId="6F25125A" w:rsidR="00587456" w:rsidRPr="002F006C" w:rsidRDefault="00587456" w:rsidP="00756FB7">
      <w:pPr>
        <w:rPr>
          <w:rFonts w:ascii="標楷體" w:eastAsia="標楷體" w:hAnsi="標楷體"/>
          <w:color w:val="000000"/>
          <w:szCs w:val="24"/>
        </w:rPr>
      </w:pPr>
      <w:r w:rsidRPr="002F006C">
        <w:rPr>
          <w:rFonts w:ascii="標楷體" w:eastAsia="標楷體" w:hAnsi="標楷體" w:hint="eastAsia"/>
          <w:color w:val="000000"/>
          <w:szCs w:val="24"/>
        </w:rPr>
        <w:t xml:space="preserve">資料來源: </w:t>
      </w:r>
      <w:proofErr w:type="spellStart"/>
      <w:r w:rsidRPr="002F006C">
        <w:rPr>
          <w:rFonts w:ascii="標楷體" w:eastAsia="標楷體" w:hAnsi="標楷體" w:hint="eastAsia"/>
          <w:color w:val="000000"/>
          <w:szCs w:val="24"/>
        </w:rPr>
        <w:t>Fi</w:t>
      </w:r>
      <w:r w:rsidRPr="002F006C">
        <w:rPr>
          <w:rFonts w:ascii="標楷體" w:eastAsia="標楷體" w:hAnsi="標楷體"/>
          <w:color w:val="000000"/>
          <w:szCs w:val="24"/>
        </w:rPr>
        <w:t>ndRate</w:t>
      </w:r>
      <w:proofErr w:type="spellEnd"/>
      <w:r w:rsidRPr="002F006C">
        <w:rPr>
          <w:rFonts w:ascii="標楷體" w:eastAsia="標楷體" w:hAnsi="標楷體"/>
          <w:color w:val="000000"/>
          <w:szCs w:val="24"/>
        </w:rPr>
        <w:t xml:space="preserve"> </w:t>
      </w:r>
      <w:r w:rsidRPr="002F006C">
        <w:rPr>
          <w:rFonts w:ascii="標楷體" w:eastAsia="標楷體" w:hAnsi="標楷體" w:hint="eastAsia"/>
          <w:color w:val="000000"/>
          <w:szCs w:val="24"/>
        </w:rPr>
        <w:t>(圖十九)</w:t>
      </w:r>
    </w:p>
    <w:p w14:paraId="753E4E81" w14:textId="61151A25" w:rsidR="00756FB7" w:rsidRPr="002F006C" w:rsidRDefault="00587456" w:rsidP="0008133C">
      <w:pPr>
        <w:rPr>
          <w:rFonts w:ascii="標楷體" w:eastAsia="標楷體" w:hAnsi="標楷體"/>
          <w:color w:val="000000"/>
          <w:szCs w:val="24"/>
        </w:rPr>
      </w:pPr>
      <w:r w:rsidRPr="002F006C">
        <w:rPr>
          <w:rFonts w:ascii="標楷體" w:eastAsia="標楷體" w:hAnsi="標楷體"/>
          <w:color w:val="000000"/>
          <w:szCs w:val="24"/>
        </w:rPr>
        <w:tab/>
      </w:r>
      <w:r w:rsidR="00AB4266" w:rsidRPr="002F006C">
        <w:rPr>
          <w:rFonts w:ascii="標楷體" w:eastAsia="標楷體" w:hAnsi="標楷體" w:hint="eastAsia"/>
          <w:color w:val="000000"/>
          <w:szCs w:val="24"/>
        </w:rPr>
        <w:t>進一步分析來看，</w:t>
      </w:r>
      <w:r w:rsidRPr="002F006C">
        <w:rPr>
          <w:rFonts w:ascii="標楷體" w:eastAsia="標楷體" w:hAnsi="標楷體" w:hint="eastAsia"/>
          <w:color w:val="000000"/>
          <w:szCs w:val="24"/>
        </w:rPr>
        <w:t>由於</w:t>
      </w:r>
      <w:r w:rsidR="00AB4266" w:rsidRPr="002F006C">
        <w:rPr>
          <w:rFonts w:ascii="標楷體" w:eastAsia="標楷體" w:hAnsi="標楷體" w:hint="eastAsia"/>
          <w:color w:val="000000"/>
          <w:szCs w:val="24"/>
        </w:rPr>
        <w:t>網路上資料</w:t>
      </w:r>
      <w:r w:rsidRPr="002F006C">
        <w:rPr>
          <w:rFonts w:ascii="標楷體" w:eastAsia="標楷體" w:hAnsi="標楷體" w:hint="eastAsia"/>
          <w:color w:val="000000"/>
          <w:szCs w:val="24"/>
        </w:rPr>
        <w:t>時間區間實在太大，</w:t>
      </w:r>
      <w:r w:rsidR="00AB4266" w:rsidRPr="002F006C">
        <w:rPr>
          <w:rFonts w:ascii="標楷體" w:eastAsia="標楷體" w:hAnsi="標楷體" w:hint="eastAsia"/>
          <w:color w:val="000000"/>
          <w:szCs w:val="24"/>
        </w:rPr>
        <w:t>台幣又非國際貨幣，無法從</w:t>
      </w:r>
      <w:r w:rsidR="009C7B20">
        <w:rPr>
          <w:rFonts w:ascii="標楷體" w:eastAsia="標楷體" w:hAnsi="標楷體" w:hint="eastAsia"/>
          <w:color w:val="000000"/>
          <w:szCs w:val="24"/>
        </w:rPr>
        <w:t>線上</w:t>
      </w:r>
      <w:r w:rsidR="00AB4266" w:rsidRPr="002F006C">
        <w:rPr>
          <w:rFonts w:ascii="標楷體" w:eastAsia="標楷體" w:hAnsi="標楷體" w:hint="eastAsia"/>
          <w:color w:val="000000"/>
          <w:szCs w:val="24"/>
        </w:rPr>
        <w:t>資料庫</w:t>
      </w:r>
      <w:r w:rsidR="009C7B20">
        <w:rPr>
          <w:rFonts w:ascii="標楷體" w:eastAsia="標楷體" w:hAnsi="標楷體" w:hint="eastAsia"/>
          <w:color w:val="000000"/>
          <w:szCs w:val="24"/>
        </w:rPr>
        <w:t>API</w:t>
      </w:r>
      <w:r w:rsidR="00AB4266" w:rsidRPr="002F006C">
        <w:rPr>
          <w:rFonts w:ascii="標楷體" w:eastAsia="標楷體" w:hAnsi="標楷體" w:hint="eastAsia"/>
          <w:color w:val="000000"/>
          <w:szCs w:val="24"/>
        </w:rPr>
        <w:t>直接獲取資料，</w:t>
      </w:r>
      <w:r w:rsidRPr="002F006C">
        <w:rPr>
          <w:rFonts w:ascii="標楷體" w:eastAsia="標楷體" w:hAnsi="標楷體" w:hint="eastAsia"/>
          <w:color w:val="000000"/>
          <w:szCs w:val="24"/>
        </w:rPr>
        <w:t>因此我從期交所依每日外幣參考匯率查詢，蒐集</w:t>
      </w:r>
      <w:r w:rsidR="00AB4266" w:rsidRPr="002F006C">
        <w:rPr>
          <w:rFonts w:ascii="標楷體" w:eastAsia="標楷體" w:hAnsi="標楷體" w:hint="eastAsia"/>
          <w:color w:val="000000"/>
          <w:szCs w:val="24"/>
        </w:rPr>
        <w:t>2017年到2019年間美元轉台幣資料，製作圖表如下圖顯示，可以發現台幣從2017年1 月開始，幾乎一路升值到2018年，這很有可能是保誠公司持續維持高報酬率的主因，但從2018年一月開始，新台幣就呈現貶值態勢，綜觀保誠投報率變化，在台幣升值時往往有較大的投報率得知，</w:t>
      </w:r>
      <w:r w:rsidR="00AB4266" w:rsidRPr="00ED0A35">
        <w:rPr>
          <w:rFonts w:ascii="標楷體" w:eastAsia="標楷體" w:hAnsi="標楷體" w:hint="eastAsia"/>
          <w:strike/>
          <w:color w:val="000000"/>
          <w:szCs w:val="24"/>
        </w:rPr>
        <w:t>保誠有很大量的資金部位</w:t>
      </w:r>
      <w:r w:rsidR="0031156A" w:rsidRPr="00ED0A35">
        <w:rPr>
          <w:rFonts w:ascii="標楷體" w:eastAsia="標楷體" w:hAnsi="標楷體" w:hint="eastAsia"/>
          <w:strike/>
          <w:color w:val="000000"/>
          <w:szCs w:val="24"/>
        </w:rPr>
        <w:t>在國外是做短部位放空，也就是賣外幣計價買權或者放空其他外幣計價遠期契約，且其計價有很大機率為美金定價，從而導致2018年初一波台幣升值造成其國外放空部位的損失，造成其投報率跌落至負數</w:t>
      </w:r>
      <w:r w:rsidR="00ED0A35" w:rsidRPr="00ED0A35">
        <w:rPr>
          <w:rFonts w:ascii="標楷體" w:eastAsia="標楷體" w:hAnsi="標楷體" w:hint="eastAsia"/>
          <w:color w:val="000000"/>
          <w:szCs w:val="24"/>
        </w:rPr>
        <w:t>[</w:t>
      </w:r>
      <w:r w:rsidR="00ED0A35">
        <w:rPr>
          <w:rFonts w:ascii="標楷體" w:eastAsia="標楷體" w:hAnsi="標楷體" w:hint="eastAsia"/>
          <w:color w:val="000000"/>
          <w:szCs w:val="24"/>
        </w:rPr>
        <w:t xml:space="preserve"> </w:t>
      </w:r>
      <w:r w:rsidR="00ED0A35" w:rsidRPr="00ED0A35">
        <w:rPr>
          <w:rFonts w:ascii="標楷體" w:eastAsia="標楷體" w:hAnsi="標楷體" w:hint="eastAsia"/>
          <w:color w:val="000000"/>
          <w:szCs w:val="24"/>
        </w:rPr>
        <w:t>更正</w:t>
      </w:r>
      <w:r w:rsidR="00ED0A35">
        <w:rPr>
          <w:rFonts w:ascii="標楷體" w:eastAsia="標楷體" w:hAnsi="標楷體" w:hint="eastAsia"/>
          <w:color w:val="000000"/>
          <w:szCs w:val="24"/>
        </w:rPr>
        <w:t>:壽險業者無法放空，</w:t>
      </w:r>
      <w:r w:rsidR="00F46E53">
        <w:rPr>
          <w:rFonts w:ascii="標楷體" w:eastAsia="標楷體" w:hAnsi="標楷體" w:hint="eastAsia"/>
          <w:color w:val="000000"/>
          <w:szCs w:val="24"/>
        </w:rPr>
        <w:t>只能做Lo</w:t>
      </w:r>
      <w:r w:rsidR="00F46E53">
        <w:rPr>
          <w:rFonts w:ascii="標楷體" w:eastAsia="標楷體" w:hAnsi="標楷體"/>
          <w:color w:val="000000"/>
          <w:szCs w:val="24"/>
        </w:rPr>
        <w:t>ng position</w:t>
      </w:r>
      <w:r w:rsidR="00F46E53">
        <w:rPr>
          <w:rFonts w:ascii="標楷體" w:eastAsia="標楷體" w:hAnsi="標楷體" w:hint="eastAsia"/>
          <w:color w:val="000000"/>
          <w:szCs w:val="24"/>
        </w:rPr>
        <w:t>像是b</w:t>
      </w:r>
      <w:r w:rsidR="00F46E53">
        <w:rPr>
          <w:rFonts w:ascii="標楷體" w:eastAsia="標楷體" w:hAnsi="標楷體"/>
          <w:color w:val="000000"/>
          <w:szCs w:val="24"/>
        </w:rPr>
        <w:t>uy call or put</w:t>
      </w:r>
      <w:r w:rsidR="00F46E53">
        <w:rPr>
          <w:rFonts w:ascii="標楷體" w:eastAsia="標楷體" w:hAnsi="標楷體" w:hint="eastAsia"/>
          <w:color w:val="000000"/>
          <w:szCs w:val="24"/>
        </w:rPr>
        <w:t>，</w:t>
      </w:r>
      <w:r w:rsidR="00ED0A35">
        <w:rPr>
          <w:rFonts w:ascii="標楷體" w:eastAsia="標楷體" w:hAnsi="標楷體" w:hint="eastAsia"/>
          <w:color w:val="000000"/>
          <w:szCs w:val="24"/>
        </w:rPr>
        <w:t>可能是其買了當地貨幣計價的商品</w:t>
      </w:r>
      <w:r w:rsidR="00EA0FDD">
        <w:rPr>
          <w:rFonts w:ascii="標楷體" w:eastAsia="標楷體" w:hAnsi="標楷體" w:hint="eastAsia"/>
          <w:color w:val="000000"/>
          <w:szCs w:val="24"/>
        </w:rPr>
        <w:t>所導致的損失</w:t>
      </w:r>
      <w:r w:rsidR="00ED0A35">
        <w:rPr>
          <w:rFonts w:ascii="標楷體" w:eastAsia="標楷體" w:hAnsi="標楷體" w:hint="eastAsia"/>
          <w:color w:val="000000"/>
          <w:szCs w:val="24"/>
        </w:rPr>
        <w:t xml:space="preserve"> </w:t>
      </w:r>
      <w:r w:rsidR="00ED0A35" w:rsidRPr="00ED0A35">
        <w:rPr>
          <w:rFonts w:ascii="標楷體" w:eastAsia="標楷體" w:hAnsi="標楷體" w:hint="eastAsia"/>
          <w:color w:val="000000"/>
          <w:szCs w:val="24"/>
        </w:rPr>
        <w:t>]</w:t>
      </w:r>
      <w:r w:rsidR="0031156A" w:rsidRPr="002F006C">
        <w:rPr>
          <w:rFonts w:ascii="標楷體" w:eastAsia="標楷體" w:hAnsi="標楷體" w:hint="eastAsia"/>
          <w:color w:val="000000"/>
          <w:szCs w:val="24"/>
        </w:rPr>
        <w:t>。</w:t>
      </w:r>
      <w:r w:rsidR="00AB4266" w:rsidRPr="002F006C">
        <w:rPr>
          <w:rFonts w:ascii="標楷體" w:eastAsia="標楷體" w:hAnsi="標楷體" w:hint="eastAsia"/>
          <w:noProof/>
          <w:color w:val="000000"/>
          <w:szCs w:val="24"/>
        </w:rPr>
        <w:drawing>
          <wp:inline distT="0" distB="0" distL="0" distR="0" wp14:anchorId="389451E5" wp14:editId="2F633E44">
            <wp:extent cx="6188710" cy="299148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27"/>
                    <a:stretch>
                      <a:fillRect/>
                    </a:stretch>
                  </pic:blipFill>
                  <pic:spPr>
                    <a:xfrm>
                      <a:off x="0" y="0"/>
                      <a:ext cx="6188710" cy="2991485"/>
                    </a:xfrm>
                    <a:prstGeom prst="rect">
                      <a:avLst/>
                    </a:prstGeom>
                  </pic:spPr>
                </pic:pic>
              </a:graphicData>
            </a:graphic>
          </wp:inline>
        </w:drawing>
      </w:r>
    </w:p>
    <w:p w14:paraId="541ED0A7" w14:textId="2F820D90" w:rsidR="00AB4266" w:rsidRPr="002F006C" w:rsidRDefault="00AB4266" w:rsidP="0008133C">
      <w:pPr>
        <w:rPr>
          <w:rFonts w:ascii="標楷體" w:eastAsia="標楷體" w:hAnsi="標楷體"/>
          <w:color w:val="000000"/>
          <w:szCs w:val="24"/>
        </w:rPr>
      </w:pPr>
      <w:r w:rsidRPr="002F006C">
        <w:rPr>
          <w:rFonts w:ascii="標楷體" w:eastAsia="標楷體" w:hAnsi="標楷體" w:hint="eastAsia"/>
          <w:color w:val="000000"/>
          <w:szCs w:val="24"/>
        </w:rPr>
        <w:t>(圖二十)</w:t>
      </w:r>
    </w:p>
    <w:p w14:paraId="72F718A5" w14:textId="77777777" w:rsidR="00587456" w:rsidRPr="002F006C" w:rsidRDefault="00587456" w:rsidP="0008133C">
      <w:pPr>
        <w:rPr>
          <w:rFonts w:ascii="標楷體" w:eastAsia="標楷體" w:hAnsi="標楷體"/>
          <w:color w:val="000000"/>
          <w:szCs w:val="24"/>
        </w:rPr>
      </w:pPr>
    </w:p>
    <w:p w14:paraId="6CBF8270" w14:textId="77777777" w:rsidR="00400B3D" w:rsidRPr="002F006C" w:rsidRDefault="00940BCC" w:rsidP="00BD18C7">
      <w:pPr>
        <w:numPr>
          <w:ilvl w:val="0"/>
          <w:numId w:val="1"/>
        </w:numPr>
        <w:rPr>
          <w:rFonts w:ascii="標楷體" w:eastAsia="標楷體" w:hAnsi="標楷體"/>
          <w:color w:val="000000"/>
          <w:szCs w:val="24"/>
        </w:rPr>
      </w:pPr>
      <w:r w:rsidRPr="002F006C">
        <w:rPr>
          <w:rFonts w:ascii="標楷體" w:eastAsia="標楷體" w:hAnsi="標楷體" w:hint="eastAsia"/>
          <w:color w:val="000000"/>
          <w:szCs w:val="24"/>
        </w:rPr>
        <w:t>保險公司應每半年公告一次RBC，請問109年度上半年，台灣</w:t>
      </w:r>
      <w:r w:rsidR="00400B3D" w:rsidRPr="002F006C">
        <w:rPr>
          <w:rFonts w:ascii="標楷體" w:eastAsia="標楷體" w:hAnsi="標楷體" w:hint="eastAsia"/>
          <w:color w:val="000000"/>
          <w:szCs w:val="24"/>
        </w:rPr>
        <w:t>哪三家壽險公司的RBC最</w:t>
      </w:r>
      <w:r w:rsidR="00400B3D" w:rsidRPr="002F006C">
        <w:rPr>
          <w:rFonts w:ascii="標楷體" w:eastAsia="標楷體" w:hAnsi="標楷體" w:hint="eastAsia"/>
          <w:color w:val="000000"/>
          <w:szCs w:val="24"/>
        </w:rPr>
        <w:lastRenderedPageBreak/>
        <w:t xml:space="preserve">低? </w:t>
      </w:r>
      <w:r w:rsidR="00F64E95" w:rsidRPr="002F006C">
        <w:rPr>
          <w:rFonts w:ascii="標楷體" w:eastAsia="標楷體" w:hAnsi="標楷體" w:hint="eastAsia"/>
          <w:color w:val="000000"/>
          <w:szCs w:val="24"/>
        </w:rPr>
        <w:t xml:space="preserve">最高的又是哪三家? </w:t>
      </w:r>
      <w:r w:rsidR="00400B3D" w:rsidRPr="002F006C">
        <w:rPr>
          <w:rFonts w:ascii="標楷體" w:eastAsia="標楷體" w:hAnsi="標楷體" w:hint="eastAsia"/>
          <w:color w:val="000000"/>
          <w:szCs w:val="24"/>
        </w:rPr>
        <w:t>其比例是多少?</w:t>
      </w:r>
      <w:r w:rsidR="00414EA3" w:rsidRPr="002F006C">
        <w:rPr>
          <w:rFonts w:ascii="標楷體" w:eastAsia="標楷體" w:hAnsi="標楷體"/>
          <w:color w:val="000000"/>
          <w:szCs w:val="24"/>
        </w:rPr>
        <w:t xml:space="preserve"> </w:t>
      </w:r>
      <w:r w:rsidR="00414EA3" w:rsidRPr="002F006C">
        <w:rPr>
          <w:rFonts w:ascii="標楷體" w:eastAsia="標楷體" w:hAnsi="標楷體" w:hint="eastAsia"/>
          <w:color w:val="000000"/>
          <w:szCs w:val="24"/>
        </w:rPr>
        <w:t>(</w:t>
      </w:r>
      <w:r w:rsidR="00414EA3" w:rsidRPr="002F006C">
        <w:rPr>
          <w:rFonts w:ascii="標楷體" w:eastAsia="標楷體" w:hAnsi="標楷體"/>
          <w:color w:val="000000"/>
          <w:szCs w:val="24"/>
        </w:rPr>
        <w:t>15%</w:t>
      </w:r>
      <w:r w:rsidR="00414EA3" w:rsidRPr="002F006C">
        <w:rPr>
          <w:rFonts w:ascii="標楷體" w:eastAsia="標楷體" w:hAnsi="標楷體" w:hint="eastAsia"/>
          <w:color w:val="000000"/>
          <w:szCs w:val="24"/>
        </w:rPr>
        <w:t>)</w:t>
      </w:r>
    </w:p>
    <w:p w14:paraId="613862A1" w14:textId="77777777" w:rsidR="00A5354B" w:rsidRPr="002F006C" w:rsidRDefault="00D159D7" w:rsidP="004913A3">
      <w:pPr>
        <w:ind w:firstLine="360"/>
        <w:rPr>
          <w:rFonts w:ascii="標楷體" w:eastAsia="標楷體" w:hAnsi="標楷體"/>
          <w:color w:val="000000"/>
          <w:szCs w:val="24"/>
        </w:rPr>
      </w:pPr>
      <w:r w:rsidRPr="002F006C">
        <w:rPr>
          <w:rFonts w:ascii="標楷體" w:eastAsia="標楷體" w:hAnsi="標楷體" w:hint="eastAsia"/>
          <w:color w:val="000000"/>
          <w:szCs w:val="24"/>
        </w:rPr>
        <w:t>RBC又稱資本適足率 (capital adequacy ratio)，其定義為資本適足率＝ Capital / Risk-adjusted Assets</w:t>
      </w:r>
      <w:r w:rsidR="00FD6488" w:rsidRPr="002F006C">
        <w:rPr>
          <w:rFonts w:ascii="標楷體" w:eastAsia="標楷體" w:hAnsi="標楷體" w:hint="eastAsia"/>
          <w:color w:val="000000"/>
          <w:szCs w:val="24"/>
        </w:rPr>
        <w:t>，本次研究按保險公開資訊觀測站所公布的30家保險公司公開資料彙整而成</w:t>
      </w:r>
      <w:r w:rsidR="00A5354B" w:rsidRPr="002F006C">
        <w:rPr>
          <w:rFonts w:ascii="標楷體" w:eastAsia="標楷體" w:hAnsi="標楷體" w:hint="eastAsia"/>
          <w:color w:val="000000"/>
          <w:szCs w:val="24"/>
        </w:rPr>
        <w:t>。</w:t>
      </w:r>
    </w:p>
    <w:p w14:paraId="1F390788" w14:textId="48725CBF" w:rsidR="00A5354B" w:rsidRPr="002F006C" w:rsidRDefault="00FD6488" w:rsidP="004913A3">
      <w:pPr>
        <w:ind w:firstLine="480"/>
        <w:rPr>
          <w:rFonts w:ascii="標楷體" w:eastAsia="標楷體" w:hAnsi="標楷體"/>
          <w:color w:val="000000"/>
          <w:szCs w:val="24"/>
        </w:rPr>
      </w:pPr>
      <w:r w:rsidRPr="002F006C">
        <w:rPr>
          <w:rFonts w:ascii="標楷體" w:eastAsia="標楷體" w:hAnsi="標楷體" w:hint="eastAsia"/>
          <w:color w:val="000000"/>
          <w:szCs w:val="24"/>
        </w:rPr>
        <w:t>其中國華人壽</w:t>
      </w:r>
      <w:r w:rsidR="004913A3" w:rsidRPr="002F006C">
        <w:rPr>
          <w:rFonts w:ascii="標楷體" w:eastAsia="標楷體" w:hAnsi="標楷體" w:hint="eastAsia"/>
          <w:color w:val="000000"/>
          <w:szCs w:val="24"/>
        </w:rPr>
        <w:t>、</w:t>
      </w:r>
      <w:r w:rsidR="00A5354B" w:rsidRPr="002F006C">
        <w:rPr>
          <w:rFonts w:ascii="標楷體" w:eastAsia="標楷體" w:hAnsi="標楷體" w:hint="eastAsia"/>
          <w:color w:val="000000"/>
          <w:szCs w:val="24"/>
        </w:rPr>
        <w:t>國寶人壽</w:t>
      </w:r>
      <w:r w:rsidR="004913A3" w:rsidRPr="002F006C">
        <w:rPr>
          <w:rFonts w:ascii="標楷體" w:eastAsia="標楷體" w:hAnsi="標楷體" w:hint="eastAsia"/>
          <w:color w:val="000000"/>
          <w:szCs w:val="24"/>
        </w:rPr>
        <w:t>、</w:t>
      </w:r>
      <w:r w:rsidR="00A5354B" w:rsidRPr="002F006C">
        <w:rPr>
          <w:rFonts w:ascii="標楷體" w:eastAsia="標楷體" w:hAnsi="標楷體" w:hint="eastAsia"/>
          <w:color w:val="000000"/>
          <w:szCs w:val="24"/>
        </w:rPr>
        <w:t>朝陽人壽</w:t>
      </w:r>
      <w:r w:rsidR="004913A3" w:rsidRPr="002F006C">
        <w:rPr>
          <w:rFonts w:ascii="標楷體" w:eastAsia="標楷體" w:hAnsi="標楷體" w:hint="eastAsia"/>
          <w:color w:val="000000"/>
          <w:szCs w:val="24"/>
        </w:rPr>
        <w:t>、</w:t>
      </w:r>
      <w:r w:rsidR="00A5354B" w:rsidRPr="002F006C">
        <w:rPr>
          <w:rFonts w:ascii="標楷體" w:eastAsia="標楷體" w:hAnsi="標楷體" w:hint="eastAsia"/>
          <w:color w:val="000000"/>
          <w:szCs w:val="24"/>
        </w:rPr>
        <w:t>幸福人壽</w:t>
      </w:r>
      <w:r w:rsidR="004913A3" w:rsidRPr="002F006C">
        <w:rPr>
          <w:rFonts w:ascii="標楷體" w:eastAsia="標楷體" w:hAnsi="標楷體" w:hint="eastAsia"/>
          <w:color w:val="000000"/>
          <w:szCs w:val="24"/>
        </w:rPr>
        <w:t>、</w:t>
      </w:r>
      <w:r w:rsidR="00A5354B" w:rsidRPr="002F006C">
        <w:rPr>
          <w:rFonts w:ascii="標楷體" w:eastAsia="標楷體" w:hAnsi="標楷體" w:hint="eastAsia"/>
          <w:color w:val="000000"/>
          <w:szCs w:val="24"/>
        </w:rPr>
        <w:t>中國信託人壽</w:t>
      </w:r>
      <w:r w:rsidR="004913A3" w:rsidRPr="002F006C">
        <w:rPr>
          <w:rFonts w:ascii="標楷體" w:eastAsia="標楷體" w:hAnsi="標楷體" w:hint="eastAsia"/>
          <w:color w:val="000000"/>
          <w:szCs w:val="24"/>
        </w:rPr>
        <w:t>、</w:t>
      </w:r>
      <w:r w:rsidR="00A5354B" w:rsidRPr="002F006C">
        <w:rPr>
          <w:rFonts w:ascii="標楷體" w:eastAsia="標楷體" w:hAnsi="標楷體" w:hint="eastAsia"/>
          <w:color w:val="000000"/>
          <w:szCs w:val="24"/>
        </w:rPr>
        <w:t>英屬百慕達商宏利人壽</w:t>
      </w:r>
      <w:r w:rsidR="004913A3" w:rsidRPr="002F006C">
        <w:rPr>
          <w:rFonts w:ascii="標楷體" w:eastAsia="標楷體" w:hAnsi="標楷體" w:hint="eastAsia"/>
          <w:color w:val="000000"/>
          <w:szCs w:val="24"/>
        </w:rPr>
        <w:t>、</w:t>
      </w:r>
      <w:r w:rsidR="00A5354B" w:rsidRPr="002F006C">
        <w:rPr>
          <w:rFonts w:ascii="標楷體" w:eastAsia="標楷體" w:hAnsi="標楷體" w:hint="eastAsia"/>
          <w:color w:val="000000"/>
          <w:szCs w:val="24"/>
        </w:rPr>
        <w:t>英屬百慕達商？豐人壽(網站上就是寫?豐)</w:t>
      </w:r>
      <w:r w:rsidR="004913A3" w:rsidRPr="002F006C">
        <w:rPr>
          <w:rFonts w:ascii="標楷體" w:eastAsia="標楷體" w:hAnsi="標楷體" w:hint="eastAsia"/>
          <w:color w:val="000000"/>
          <w:szCs w:val="24"/>
        </w:rPr>
        <w:t xml:space="preserve"> 、</w:t>
      </w:r>
      <w:r w:rsidR="00A5354B" w:rsidRPr="002F006C">
        <w:rPr>
          <w:rFonts w:ascii="標楷體" w:eastAsia="標楷體" w:hAnsi="標楷體" w:hint="eastAsia"/>
          <w:color w:val="000000"/>
          <w:szCs w:val="24"/>
        </w:rPr>
        <w:t>英屬曼島商蘇黎世國際人壽這</w:t>
      </w:r>
      <w:r w:rsidR="004913A3" w:rsidRPr="002F006C">
        <w:rPr>
          <w:rFonts w:ascii="標楷體" w:eastAsia="標楷體" w:hAnsi="標楷體" w:hint="eastAsia"/>
          <w:color w:val="000000"/>
          <w:szCs w:val="24"/>
        </w:rPr>
        <w:t>8家公司因為一些原因</w:t>
      </w:r>
      <w:r w:rsidR="00A5354B" w:rsidRPr="002F006C">
        <w:rPr>
          <w:rFonts w:ascii="標楷體" w:eastAsia="標楷體" w:hAnsi="標楷體" w:hint="eastAsia"/>
          <w:color w:val="000000"/>
          <w:szCs w:val="24"/>
        </w:rPr>
        <w:t>在109上半年</w:t>
      </w:r>
      <w:r w:rsidR="004913A3" w:rsidRPr="002F006C">
        <w:rPr>
          <w:rFonts w:ascii="標楷體" w:eastAsia="標楷體" w:hAnsi="標楷體" w:hint="eastAsia"/>
          <w:color w:val="000000"/>
          <w:szCs w:val="24"/>
        </w:rPr>
        <w:t>並</w:t>
      </w:r>
      <w:r w:rsidR="00A5354B" w:rsidRPr="002F006C">
        <w:rPr>
          <w:rFonts w:ascii="標楷體" w:eastAsia="標楷體" w:hAnsi="標楷體" w:hint="eastAsia"/>
          <w:color w:val="000000"/>
          <w:szCs w:val="24"/>
        </w:rPr>
        <w:t>沒有資料，因此扣除這八家沒有資訊的公司，本次研究所採納的公司共有22家保險公司，整理資料如下表顯示</w:t>
      </w:r>
    </w:p>
    <w:p w14:paraId="33AB9059" w14:textId="4DA1563F" w:rsidR="004913A3" w:rsidRPr="002F006C" w:rsidRDefault="004913A3" w:rsidP="004913A3">
      <w:pPr>
        <w:rPr>
          <w:rFonts w:ascii="標楷體" w:eastAsia="標楷體" w:hAnsi="標楷體"/>
          <w:color w:val="000000"/>
          <w:szCs w:val="24"/>
        </w:rPr>
      </w:pPr>
      <w:r w:rsidRPr="002F006C">
        <w:rPr>
          <w:rFonts w:ascii="標楷體" w:eastAsia="標楷體" w:hAnsi="標楷體" w:hint="eastAsia"/>
          <w:noProof/>
        </w:rPr>
        <w:drawing>
          <wp:inline distT="0" distB="0" distL="0" distR="0" wp14:anchorId="55A4F5C4" wp14:editId="347537F2">
            <wp:extent cx="6111240" cy="4971415"/>
            <wp:effectExtent l="0" t="0" r="3810" b="63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4971415"/>
                    </a:xfrm>
                    <a:prstGeom prst="rect">
                      <a:avLst/>
                    </a:prstGeom>
                    <a:noFill/>
                    <a:ln>
                      <a:noFill/>
                    </a:ln>
                  </pic:spPr>
                </pic:pic>
              </a:graphicData>
            </a:graphic>
          </wp:inline>
        </w:drawing>
      </w:r>
    </w:p>
    <w:p w14:paraId="00F497B0" w14:textId="0567408A" w:rsidR="004913A3" w:rsidRPr="002F006C" w:rsidRDefault="004913A3" w:rsidP="004913A3">
      <w:pPr>
        <w:rPr>
          <w:rFonts w:ascii="標楷體" w:eastAsia="標楷體" w:hAnsi="標楷體"/>
          <w:color w:val="000000"/>
          <w:szCs w:val="24"/>
        </w:rPr>
      </w:pPr>
      <w:r w:rsidRPr="002F006C">
        <w:rPr>
          <w:rFonts w:ascii="標楷體" w:eastAsia="標楷體" w:hAnsi="標楷體" w:hint="eastAsia"/>
          <w:color w:val="000000"/>
          <w:szCs w:val="24"/>
        </w:rPr>
        <w:t>(表三)</w:t>
      </w:r>
    </w:p>
    <w:p w14:paraId="5F9A7270" w14:textId="43251179" w:rsidR="004913A3" w:rsidRPr="002F006C" w:rsidRDefault="004913A3" w:rsidP="004913A3">
      <w:pPr>
        <w:widowControl/>
        <w:rPr>
          <w:rFonts w:ascii="標楷體" w:eastAsia="標楷體" w:hAnsi="標楷體" w:cs="新細明體"/>
          <w:color w:val="333333"/>
          <w:kern w:val="0"/>
          <w:szCs w:val="24"/>
        </w:rPr>
      </w:pPr>
      <w:r w:rsidRPr="002F006C">
        <w:rPr>
          <w:rFonts w:ascii="標楷體" w:eastAsia="標楷體" w:hAnsi="標楷體"/>
          <w:color w:val="000000"/>
          <w:szCs w:val="24"/>
        </w:rPr>
        <w:tab/>
      </w:r>
      <w:r w:rsidRPr="002F006C">
        <w:rPr>
          <w:rFonts w:ascii="標楷體" w:eastAsia="標楷體" w:hAnsi="標楷體" w:hint="eastAsia"/>
          <w:color w:val="000000"/>
          <w:szCs w:val="24"/>
        </w:rPr>
        <w:t>可以得出RBC最高的三家為</w:t>
      </w:r>
      <w:r w:rsidRPr="002F006C">
        <w:rPr>
          <w:rFonts w:ascii="標楷體" w:eastAsia="標楷體" w:hAnsi="標楷體" w:cs="新細明體" w:hint="eastAsia"/>
          <w:color w:val="000000"/>
          <w:kern w:val="0"/>
          <w:szCs w:val="24"/>
        </w:rPr>
        <w:t>合作金庫人壽保險股份有限公司、法商法國巴黎人壽保險股份有限公司台灣分公司、國際康健人壽保險股份有限公司這三家公司，RBC依序為</w:t>
      </w:r>
      <w:r w:rsidRPr="002F006C">
        <w:rPr>
          <w:rFonts w:ascii="標楷體" w:eastAsia="標楷體" w:hAnsi="標楷體" w:cs="新細明體" w:hint="eastAsia"/>
          <w:color w:val="333333"/>
          <w:kern w:val="0"/>
          <w:szCs w:val="24"/>
        </w:rPr>
        <w:t>1592.01%</w:t>
      </w:r>
    </w:p>
    <w:p w14:paraId="0C3188A3" w14:textId="6D9585EA" w:rsidR="004913A3" w:rsidRPr="002F006C" w:rsidRDefault="004913A3" w:rsidP="004913A3">
      <w:pPr>
        <w:widowControl/>
        <w:rPr>
          <w:rFonts w:ascii="標楷體" w:eastAsia="標楷體" w:hAnsi="標楷體" w:cs="新細明體"/>
          <w:color w:val="333333"/>
          <w:kern w:val="0"/>
          <w:szCs w:val="24"/>
        </w:rPr>
      </w:pPr>
      <w:r w:rsidRPr="002F006C">
        <w:rPr>
          <w:rFonts w:ascii="標楷體" w:eastAsia="標楷體" w:hAnsi="標楷體" w:cs="新細明體" w:hint="eastAsia"/>
          <w:color w:val="333333"/>
          <w:kern w:val="0"/>
          <w:szCs w:val="24"/>
        </w:rPr>
        <w:t>、1094.25%、987.64%，RBC最低的三家為</w:t>
      </w:r>
      <w:r w:rsidRPr="002F006C">
        <w:rPr>
          <w:rFonts w:ascii="標楷體" w:eastAsia="標楷體" w:hAnsi="標楷體" w:cs="新細明體" w:hint="eastAsia"/>
          <w:color w:val="000000"/>
          <w:kern w:val="0"/>
          <w:szCs w:val="24"/>
        </w:rPr>
        <w:t>三商美邦人壽保險股份有限公司、新光人壽保險股份有限公司、宏泰人壽保險股份有限公司，其RBC依序為</w:t>
      </w:r>
      <w:r w:rsidRPr="002F006C">
        <w:rPr>
          <w:rFonts w:ascii="標楷體" w:eastAsia="標楷體" w:hAnsi="標楷體" w:cs="新細明體" w:hint="eastAsia"/>
          <w:color w:val="333333"/>
          <w:kern w:val="0"/>
          <w:szCs w:val="24"/>
        </w:rPr>
        <w:t>210.83%、</w:t>
      </w:r>
      <w:r w:rsidRPr="002F006C">
        <w:rPr>
          <w:rFonts w:ascii="標楷體" w:eastAsia="標楷體" w:hAnsi="標楷體" w:cs="新細明體"/>
          <w:color w:val="333333"/>
          <w:kern w:val="0"/>
          <w:szCs w:val="24"/>
        </w:rPr>
        <w:t>210.74%</w:t>
      </w:r>
      <w:r w:rsidRPr="002F006C">
        <w:rPr>
          <w:rFonts w:ascii="標楷體" w:eastAsia="標楷體" w:hAnsi="標楷體" w:cs="新細明體" w:hint="eastAsia"/>
          <w:color w:val="333333"/>
          <w:kern w:val="0"/>
          <w:szCs w:val="24"/>
        </w:rPr>
        <w:t>、</w:t>
      </w:r>
      <w:r w:rsidRPr="002F006C">
        <w:rPr>
          <w:rFonts w:ascii="標楷體" w:eastAsia="標楷體" w:hAnsi="標楷體" w:cs="新細明體"/>
          <w:color w:val="333333"/>
          <w:kern w:val="0"/>
          <w:szCs w:val="24"/>
        </w:rPr>
        <w:t>206.94%</w:t>
      </w:r>
    </w:p>
    <w:p w14:paraId="3F7B4EEE" w14:textId="563D76CD" w:rsidR="004913A3" w:rsidRPr="002F006C" w:rsidRDefault="00761318" w:rsidP="00761318">
      <w:pPr>
        <w:widowControl/>
        <w:jc w:val="center"/>
        <w:rPr>
          <w:rFonts w:ascii="標楷體" w:eastAsia="標楷體" w:hAnsi="標楷體" w:cs="新細明體"/>
          <w:color w:val="000000"/>
          <w:kern w:val="0"/>
          <w:szCs w:val="24"/>
        </w:rPr>
      </w:pPr>
      <w:r w:rsidRPr="002F006C">
        <w:rPr>
          <w:rFonts w:ascii="標楷體" w:eastAsia="標楷體" w:hAnsi="標楷體" w:cs="新細明體" w:hint="eastAsia"/>
          <w:color w:val="000000"/>
          <w:kern w:val="0"/>
          <w:szCs w:val="24"/>
        </w:rPr>
        <w:t>參考資料</w:t>
      </w:r>
    </w:p>
    <w:p w14:paraId="11AE640E" w14:textId="09E289F9" w:rsidR="00761318"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29" w:history="1">
        <w:r w:rsidR="001A61A4" w:rsidRPr="002F006C">
          <w:rPr>
            <w:rStyle w:val="ac"/>
            <w:rFonts w:ascii="標楷體" w:eastAsia="標楷體" w:hAnsi="標楷體" w:cs="新細明體"/>
            <w:kern w:val="0"/>
            <w:szCs w:val="24"/>
          </w:rPr>
          <w:t>https://www.itread01.com/content/1543162512.html</w:t>
        </w:r>
      </w:hyperlink>
    </w:p>
    <w:p w14:paraId="45202EB8" w14:textId="5B1EFFC2" w:rsidR="00761318"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30" w:history="1">
        <w:r w:rsidR="001A61A4" w:rsidRPr="002F006C">
          <w:rPr>
            <w:rStyle w:val="ac"/>
            <w:rFonts w:ascii="標楷體" w:eastAsia="標楷體" w:hAnsi="標楷體" w:cs="新細明體"/>
            <w:kern w:val="0"/>
            <w:szCs w:val="24"/>
          </w:rPr>
          <w:t>https://mropengate.blogspot.com/2015/11/time-series-analysis-box-jenkins.html</w:t>
        </w:r>
      </w:hyperlink>
    </w:p>
    <w:p w14:paraId="0F037A35" w14:textId="75CB6D77" w:rsidR="00761318"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31" w:history="1">
        <w:r w:rsidR="001A61A4" w:rsidRPr="002F006C">
          <w:rPr>
            <w:rStyle w:val="ac"/>
            <w:rFonts w:ascii="標楷體" w:eastAsia="標楷體" w:hAnsi="標楷體" w:cs="新細明體"/>
            <w:kern w:val="0"/>
            <w:szCs w:val="24"/>
          </w:rPr>
          <w:t>https://cloud.tencent.com/developer/article/1041785</w:t>
        </w:r>
      </w:hyperlink>
    </w:p>
    <w:p w14:paraId="2F3BC039" w14:textId="1B8563E6" w:rsidR="00761318"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32" w:history="1">
        <w:r w:rsidR="001A61A4" w:rsidRPr="002F006C">
          <w:rPr>
            <w:rStyle w:val="ac"/>
            <w:rFonts w:ascii="標楷體" w:eastAsia="標楷體" w:hAnsi="標楷體" w:cs="新細明體"/>
            <w:kern w:val="0"/>
            <w:szCs w:val="24"/>
          </w:rPr>
          <w:t>https://www.tii.org.tw/tii/actuarial/actuarial1/report/index.html</w:t>
        </w:r>
      </w:hyperlink>
    </w:p>
    <w:p w14:paraId="7BAFC405" w14:textId="7127027A" w:rsidR="001A61A4"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33" w:history="1">
        <w:r w:rsidR="001A61A4" w:rsidRPr="002F006C">
          <w:rPr>
            <w:rStyle w:val="ac"/>
            <w:rFonts w:ascii="標楷體" w:eastAsia="標楷體" w:hAnsi="標楷體" w:cs="新細明體"/>
            <w:kern w:val="0"/>
            <w:szCs w:val="24"/>
          </w:rPr>
          <w:t>https://www.fubon.com/insurance/b2c/content/farm_insurance/index.html</w:t>
        </w:r>
      </w:hyperlink>
    </w:p>
    <w:p w14:paraId="051EAE49" w14:textId="28BB4454" w:rsidR="001A61A4"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34" w:history="1">
        <w:r w:rsidR="001A61A4" w:rsidRPr="002F006C">
          <w:rPr>
            <w:rStyle w:val="ac"/>
            <w:rFonts w:ascii="標楷體" w:eastAsia="標楷體" w:hAnsi="標楷體" w:cs="新細明體"/>
            <w:kern w:val="0"/>
            <w:szCs w:val="24"/>
          </w:rPr>
          <w:t>https://www.tfmi.com.tw/product_detailL3.aspx?ProductID=f426f37d-bafc-4634-823e-42aaf6a8d785</w:t>
        </w:r>
      </w:hyperlink>
    </w:p>
    <w:p w14:paraId="7E574887" w14:textId="1CD0BC25" w:rsidR="001A61A4"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35" w:history="1">
        <w:r w:rsidR="001A61A4" w:rsidRPr="002F006C">
          <w:rPr>
            <w:rStyle w:val="ac"/>
            <w:rFonts w:ascii="標楷體" w:eastAsia="標楷體" w:hAnsi="標楷體" w:cs="新細明體"/>
            <w:kern w:val="0"/>
            <w:szCs w:val="24"/>
          </w:rPr>
          <w:t>https://www.pthg.gov.tw/ptmfam/News_Content.aspx?n=6D5C643DFE059C95&amp;sms=F759891361FDEEAD&amp;s=2AC47E143C658781</w:t>
        </w:r>
      </w:hyperlink>
    </w:p>
    <w:p w14:paraId="2E31FD8E" w14:textId="5FD4006B" w:rsidR="001A61A4"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36" w:history="1">
        <w:r w:rsidR="001A61A4" w:rsidRPr="002F006C">
          <w:rPr>
            <w:rStyle w:val="ac"/>
            <w:rFonts w:ascii="標楷體" w:eastAsia="標楷體" w:hAnsi="標楷體" w:cs="新細明體"/>
            <w:kern w:val="0"/>
            <w:szCs w:val="24"/>
          </w:rPr>
          <w:t>https://www.boaf.gov.tw/boafwww/index.jsp?a=fp&amp;xItem=963988&amp;ctNode=22</w:t>
        </w:r>
      </w:hyperlink>
    </w:p>
    <w:p w14:paraId="2484DCC6" w14:textId="47642F17" w:rsidR="001A61A4"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37" w:history="1">
        <w:r w:rsidR="001A61A4" w:rsidRPr="002F006C">
          <w:rPr>
            <w:rStyle w:val="ac"/>
            <w:rFonts w:ascii="標楷體" w:eastAsia="標楷體" w:hAnsi="標楷體" w:cs="新細明體"/>
            <w:kern w:val="0"/>
            <w:szCs w:val="24"/>
          </w:rPr>
          <w:t>https://www.chinatimes.com/newspapers/20190520000259-260205?chdtv</w:t>
        </w:r>
      </w:hyperlink>
    </w:p>
    <w:p w14:paraId="43312BFF" w14:textId="25DD1823" w:rsidR="001A61A4" w:rsidRPr="002F006C" w:rsidRDefault="007C1A15" w:rsidP="001A61A4">
      <w:pPr>
        <w:pStyle w:val="a3"/>
        <w:widowControl/>
        <w:numPr>
          <w:ilvl w:val="0"/>
          <w:numId w:val="21"/>
        </w:numPr>
        <w:ind w:leftChars="0"/>
        <w:rPr>
          <w:rFonts w:ascii="標楷體" w:eastAsia="標楷體" w:hAnsi="標楷體" w:cs="新細明體"/>
          <w:color w:val="000000"/>
          <w:kern w:val="0"/>
          <w:szCs w:val="24"/>
        </w:rPr>
      </w:pPr>
      <w:hyperlink r:id="rId38" w:history="1">
        <w:r w:rsidR="001A61A4" w:rsidRPr="002F006C">
          <w:rPr>
            <w:rStyle w:val="ac"/>
            <w:rFonts w:ascii="標楷體" w:eastAsia="標楷體" w:hAnsi="標楷體" w:cs="新細明體"/>
            <w:kern w:val="0"/>
            <w:szCs w:val="24"/>
          </w:rPr>
          <w:t>https://money.udn.com/money/story/5613/4823783</w:t>
        </w:r>
      </w:hyperlink>
    </w:p>
    <w:p w14:paraId="75998354" w14:textId="684714EC" w:rsidR="001A61A4"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39" w:history="1">
        <w:r w:rsidR="00E81CAF" w:rsidRPr="002F006C">
          <w:rPr>
            <w:rStyle w:val="ac"/>
            <w:rFonts w:ascii="標楷體" w:eastAsia="標楷體" w:hAnsi="標楷體" w:cs="新細明體"/>
            <w:kern w:val="0"/>
            <w:szCs w:val="24"/>
          </w:rPr>
          <w:t>http://review.management.ntu.edu.tw/paper/1353-P.pdf</w:t>
        </w:r>
      </w:hyperlink>
    </w:p>
    <w:p w14:paraId="7C8C0950" w14:textId="670748C6" w:rsidR="00E81CAF"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0" w:history="1">
        <w:r w:rsidR="00E81CAF" w:rsidRPr="002F006C">
          <w:rPr>
            <w:rStyle w:val="ac"/>
            <w:rFonts w:ascii="標楷體" w:eastAsia="標楷體" w:hAnsi="標楷體" w:cs="新細明體"/>
            <w:kern w:val="0"/>
            <w:szCs w:val="24"/>
          </w:rPr>
          <w:t>https://www.airitilibrary.com/Publication/alDetailedMesh?docid=16842723-201012-201106010011-201106010011-67-87</w:t>
        </w:r>
      </w:hyperlink>
    </w:p>
    <w:p w14:paraId="2B29A314" w14:textId="5931A044" w:rsidR="00E81CAF"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1" w:history="1">
        <w:r w:rsidR="00E81CAF" w:rsidRPr="002F006C">
          <w:rPr>
            <w:rStyle w:val="ac"/>
            <w:rFonts w:ascii="標楷體" w:eastAsia="標楷體" w:hAnsi="標楷體" w:cs="新細明體"/>
            <w:kern w:val="0"/>
            <w:szCs w:val="24"/>
          </w:rPr>
          <w:t>http://nhuir.nhu.edu.tw/retrieve/19378/3095000404.pdf</w:t>
        </w:r>
      </w:hyperlink>
    </w:p>
    <w:p w14:paraId="5F546771" w14:textId="1D9A67E5" w:rsidR="00E81CAF"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2" w:history="1">
        <w:r w:rsidR="00E81CAF" w:rsidRPr="002F006C">
          <w:rPr>
            <w:rStyle w:val="ac"/>
            <w:rFonts w:ascii="標楷體" w:eastAsia="標楷體" w:hAnsi="標楷體" w:cs="新細明體"/>
            <w:kern w:val="0"/>
            <w:szCs w:val="24"/>
          </w:rPr>
          <w:t>https://www.researchgate.net/post/How_can_I_interprete_a_Zivot-Andrews_1992_unit_root_test_given_structural_break_in_the_data</w:t>
        </w:r>
      </w:hyperlink>
    </w:p>
    <w:p w14:paraId="7A0242E6" w14:textId="386F832E" w:rsidR="00E81CAF"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3" w:history="1">
        <w:r w:rsidR="00DD4DEE" w:rsidRPr="002F006C">
          <w:rPr>
            <w:rStyle w:val="ac"/>
            <w:rFonts w:ascii="標楷體" w:eastAsia="標楷體" w:hAnsi="標楷體" w:cs="新細明體"/>
            <w:kern w:val="0"/>
            <w:szCs w:val="24"/>
          </w:rPr>
          <w:t>https://www.jstor.org/stable/253758</w:t>
        </w:r>
      </w:hyperlink>
    </w:p>
    <w:p w14:paraId="2CFA756F" w14:textId="75C142C1" w:rsidR="00DD4DEE"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4" w:history="1">
        <w:r w:rsidR="00DD4DEE" w:rsidRPr="002F006C">
          <w:rPr>
            <w:rStyle w:val="ac"/>
            <w:rFonts w:ascii="標楷體" w:eastAsia="標楷體" w:hAnsi="標楷體" w:cs="新細明體"/>
            <w:kern w:val="0"/>
            <w:szCs w:val="24"/>
          </w:rPr>
          <w:t>https://homepage.ntu.edu.tw/~ckuan/pdf/Lec-Markov_note.pdf</w:t>
        </w:r>
      </w:hyperlink>
    </w:p>
    <w:p w14:paraId="5864AF68" w14:textId="59DEA788" w:rsidR="00DD4DEE"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5" w:history="1">
        <w:r w:rsidR="00DD4DEE" w:rsidRPr="002F006C">
          <w:rPr>
            <w:rStyle w:val="ac"/>
            <w:rFonts w:ascii="標楷體" w:eastAsia="標楷體" w:hAnsi="標楷體" w:cs="新細明體"/>
            <w:kern w:val="0"/>
            <w:szCs w:val="24"/>
          </w:rPr>
          <w:t>https://www.researchgate.net/publication/225911067_A_general_autoregressive_model_with_Markov_switching_Estimation_and_consistency</w:t>
        </w:r>
      </w:hyperlink>
    </w:p>
    <w:p w14:paraId="4191A5E8" w14:textId="729DAC5A" w:rsidR="00DD4DEE"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6" w:history="1">
        <w:r w:rsidR="00DD4DEE" w:rsidRPr="002F006C">
          <w:rPr>
            <w:rStyle w:val="ac"/>
            <w:rFonts w:ascii="標楷體" w:eastAsia="標楷體" w:hAnsi="標楷體" w:cs="新細明體"/>
            <w:kern w:val="0"/>
            <w:szCs w:val="24"/>
          </w:rPr>
          <w:t>https://www.researchgate.net/publication/251232587_Great_and_Not_So_Great_Expectations_An_Endogenous_Economic_Explication_of_Insurance_Cycles_and_Liability_Crises</w:t>
        </w:r>
      </w:hyperlink>
    </w:p>
    <w:p w14:paraId="30B6EAFF" w14:textId="4F9B339B" w:rsidR="00DD4DEE"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7" w:history="1">
        <w:r w:rsidR="00DD4DEE" w:rsidRPr="002F006C">
          <w:rPr>
            <w:rStyle w:val="ac"/>
            <w:rFonts w:ascii="標楷體" w:eastAsia="標楷體" w:hAnsi="標楷體" w:cs="新細明體"/>
            <w:kern w:val="0"/>
            <w:szCs w:val="24"/>
          </w:rPr>
          <w:t>https://sites.uni.edu/thompsona/Underwriting%20Cycles%20Synthesis%20and%20Further%20Directions%20Mary%20Weiss%20Insurance%20Issues.pdf</w:t>
        </w:r>
      </w:hyperlink>
    </w:p>
    <w:p w14:paraId="5FDE2B64" w14:textId="22751509" w:rsidR="00DD4DEE"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8" w:history="1">
        <w:r w:rsidR="00DD4DEE" w:rsidRPr="002F006C">
          <w:rPr>
            <w:rStyle w:val="ac"/>
            <w:rFonts w:ascii="標楷體" w:eastAsia="標楷體" w:hAnsi="標楷體" w:cs="新細明體"/>
            <w:kern w:val="0"/>
            <w:szCs w:val="24"/>
          </w:rPr>
          <w:t>https://www.sciencedirect.com/science/article/abs/pii/S096663629900003X</w:t>
        </w:r>
      </w:hyperlink>
    </w:p>
    <w:p w14:paraId="4BCCF38C" w14:textId="687DD8FE" w:rsidR="00DD4DEE" w:rsidRPr="002F006C" w:rsidRDefault="007C1A15" w:rsidP="00E81CAF">
      <w:pPr>
        <w:pStyle w:val="a3"/>
        <w:widowControl/>
        <w:numPr>
          <w:ilvl w:val="0"/>
          <w:numId w:val="21"/>
        </w:numPr>
        <w:ind w:leftChars="0"/>
        <w:rPr>
          <w:rFonts w:ascii="標楷體" w:eastAsia="標楷體" w:hAnsi="標楷體" w:cs="新細明體"/>
          <w:color w:val="000000"/>
          <w:kern w:val="0"/>
          <w:szCs w:val="24"/>
        </w:rPr>
      </w:pPr>
      <w:hyperlink r:id="rId49" w:history="1">
        <w:r w:rsidR="00683FE6" w:rsidRPr="002F006C">
          <w:rPr>
            <w:rStyle w:val="ac"/>
            <w:rFonts w:ascii="標楷體" w:eastAsia="標楷體" w:hAnsi="標楷體" w:cs="新細明體"/>
            <w:kern w:val="0"/>
            <w:szCs w:val="24"/>
          </w:rPr>
          <w:t>https://mpra.ub.uni-muenchen.de/1797/1/MPRA_paper_1797.pdf</w:t>
        </w:r>
      </w:hyperlink>
    </w:p>
    <w:p w14:paraId="52FC32EC" w14:textId="57A5FA84" w:rsidR="00683FE6" w:rsidRPr="002F006C" w:rsidRDefault="007C1A15" w:rsidP="00683FE6">
      <w:pPr>
        <w:pStyle w:val="a3"/>
        <w:widowControl/>
        <w:numPr>
          <w:ilvl w:val="0"/>
          <w:numId w:val="21"/>
        </w:numPr>
        <w:ind w:leftChars="0"/>
        <w:rPr>
          <w:rFonts w:ascii="標楷體" w:eastAsia="標楷體" w:hAnsi="標楷體" w:cs="新細明體"/>
          <w:color w:val="000000"/>
          <w:kern w:val="0"/>
          <w:szCs w:val="24"/>
        </w:rPr>
      </w:pPr>
      <w:hyperlink r:id="rId50" w:history="1">
        <w:r w:rsidR="00683FE6" w:rsidRPr="002F006C">
          <w:rPr>
            <w:rStyle w:val="ac"/>
            <w:rFonts w:ascii="標楷體" w:eastAsia="標楷體" w:hAnsi="標楷體" w:cs="新細明體"/>
            <w:kern w:val="0"/>
            <w:szCs w:val="24"/>
          </w:rPr>
          <w:t>https://www.jstor.org/stable/1391541</w:t>
        </w:r>
      </w:hyperlink>
    </w:p>
    <w:p w14:paraId="20B91616" w14:textId="77777777" w:rsidR="00683FE6" w:rsidRPr="002F006C" w:rsidRDefault="00683FE6" w:rsidP="00683FE6">
      <w:pPr>
        <w:widowControl/>
        <w:rPr>
          <w:rFonts w:ascii="標楷體" w:eastAsia="標楷體" w:hAnsi="標楷體" w:cs="新細明體"/>
          <w:color w:val="000000"/>
          <w:kern w:val="0"/>
          <w:szCs w:val="24"/>
        </w:rPr>
      </w:pPr>
    </w:p>
    <w:sectPr w:rsidR="00683FE6" w:rsidRPr="002F006C" w:rsidSect="001D0910">
      <w:footerReference w:type="even" r:id="rId51"/>
      <w:footerReference w:type="default" r:id="rId52"/>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2BB3C" w14:textId="77777777" w:rsidR="007C1A15" w:rsidRDefault="007C1A15">
      <w:r>
        <w:separator/>
      </w:r>
    </w:p>
  </w:endnote>
  <w:endnote w:type="continuationSeparator" w:id="0">
    <w:p w14:paraId="224EB9EF" w14:textId="77777777" w:rsidR="007C1A15" w:rsidRDefault="007C1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A3ED0" w14:textId="77777777" w:rsidR="007D218B" w:rsidRDefault="007D218B" w:rsidP="00256C55">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4618553A" w14:textId="77777777" w:rsidR="007D218B" w:rsidRDefault="007D218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0FCCC" w14:textId="77777777" w:rsidR="007D218B" w:rsidRDefault="007D218B" w:rsidP="00256C55">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414EA3">
      <w:rPr>
        <w:rStyle w:val="a6"/>
        <w:noProof/>
      </w:rPr>
      <w:t>1</w:t>
    </w:r>
    <w:r>
      <w:rPr>
        <w:rStyle w:val="a6"/>
      </w:rPr>
      <w:fldChar w:fldCharType="end"/>
    </w:r>
  </w:p>
  <w:p w14:paraId="4AEEEA03" w14:textId="77777777" w:rsidR="007D218B" w:rsidRDefault="007D218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9DDE1" w14:textId="77777777" w:rsidR="007C1A15" w:rsidRDefault="007C1A15">
      <w:r>
        <w:separator/>
      </w:r>
    </w:p>
  </w:footnote>
  <w:footnote w:type="continuationSeparator" w:id="0">
    <w:p w14:paraId="04B38A96" w14:textId="77777777" w:rsidR="007C1A15" w:rsidRDefault="007C1A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11EC"/>
    <w:multiLevelType w:val="hybridMultilevel"/>
    <w:tmpl w:val="893E8778"/>
    <w:lvl w:ilvl="0" w:tplc="AFBC3590">
      <w:start w:val="1"/>
      <w:numFmt w:val="bullet"/>
      <w:lvlText w:val=""/>
      <w:lvlJc w:val="left"/>
      <w:pPr>
        <w:tabs>
          <w:tab w:val="num" w:pos="720"/>
        </w:tabs>
        <w:ind w:left="720" w:hanging="360"/>
      </w:pPr>
      <w:rPr>
        <w:rFonts w:ascii="Wingdings" w:hAnsi="Wingdings" w:hint="default"/>
      </w:rPr>
    </w:lvl>
    <w:lvl w:ilvl="1" w:tplc="5928B118" w:tentative="1">
      <w:start w:val="1"/>
      <w:numFmt w:val="bullet"/>
      <w:lvlText w:val=""/>
      <w:lvlJc w:val="left"/>
      <w:pPr>
        <w:tabs>
          <w:tab w:val="num" w:pos="1440"/>
        </w:tabs>
        <w:ind w:left="1440" w:hanging="360"/>
      </w:pPr>
      <w:rPr>
        <w:rFonts w:ascii="Wingdings" w:hAnsi="Wingdings" w:hint="default"/>
      </w:rPr>
    </w:lvl>
    <w:lvl w:ilvl="2" w:tplc="79784D58">
      <w:start w:val="1"/>
      <w:numFmt w:val="bullet"/>
      <w:lvlText w:val=""/>
      <w:lvlJc w:val="left"/>
      <w:pPr>
        <w:tabs>
          <w:tab w:val="num" w:pos="2160"/>
        </w:tabs>
        <w:ind w:left="2160" w:hanging="360"/>
      </w:pPr>
      <w:rPr>
        <w:rFonts w:ascii="Wingdings" w:hAnsi="Wingdings" w:hint="default"/>
      </w:rPr>
    </w:lvl>
    <w:lvl w:ilvl="3" w:tplc="A13C1A6E" w:tentative="1">
      <w:start w:val="1"/>
      <w:numFmt w:val="bullet"/>
      <w:lvlText w:val=""/>
      <w:lvlJc w:val="left"/>
      <w:pPr>
        <w:tabs>
          <w:tab w:val="num" w:pos="2880"/>
        </w:tabs>
        <w:ind w:left="2880" w:hanging="360"/>
      </w:pPr>
      <w:rPr>
        <w:rFonts w:ascii="Wingdings" w:hAnsi="Wingdings" w:hint="default"/>
      </w:rPr>
    </w:lvl>
    <w:lvl w:ilvl="4" w:tplc="304C5D8C" w:tentative="1">
      <w:start w:val="1"/>
      <w:numFmt w:val="bullet"/>
      <w:lvlText w:val=""/>
      <w:lvlJc w:val="left"/>
      <w:pPr>
        <w:tabs>
          <w:tab w:val="num" w:pos="3600"/>
        </w:tabs>
        <w:ind w:left="3600" w:hanging="360"/>
      </w:pPr>
      <w:rPr>
        <w:rFonts w:ascii="Wingdings" w:hAnsi="Wingdings" w:hint="default"/>
      </w:rPr>
    </w:lvl>
    <w:lvl w:ilvl="5" w:tplc="4252A654" w:tentative="1">
      <w:start w:val="1"/>
      <w:numFmt w:val="bullet"/>
      <w:lvlText w:val=""/>
      <w:lvlJc w:val="left"/>
      <w:pPr>
        <w:tabs>
          <w:tab w:val="num" w:pos="4320"/>
        </w:tabs>
        <w:ind w:left="4320" w:hanging="360"/>
      </w:pPr>
      <w:rPr>
        <w:rFonts w:ascii="Wingdings" w:hAnsi="Wingdings" w:hint="default"/>
      </w:rPr>
    </w:lvl>
    <w:lvl w:ilvl="6" w:tplc="7FD8FAA4" w:tentative="1">
      <w:start w:val="1"/>
      <w:numFmt w:val="bullet"/>
      <w:lvlText w:val=""/>
      <w:lvlJc w:val="left"/>
      <w:pPr>
        <w:tabs>
          <w:tab w:val="num" w:pos="5040"/>
        </w:tabs>
        <w:ind w:left="5040" w:hanging="360"/>
      </w:pPr>
      <w:rPr>
        <w:rFonts w:ascii="Wingdings" w:hAnsi="Wingdings" w:hint="default"/>
      </w:rPr>
    </w:lvl>
    <w:lvl w:ilvl="7" w:tplc="E8FC8AD6" w:tentative="1">
      <w:start w:val="1"/>
      <w:numFmt w:val="bullet"/>
      <w:lvlText w:val=""/>
      <w:lvlJc w:val="left"/>
      <w:pPr>
        <w:tabs>
          <w:tab w:val="num" w:pos="5760"/>
        </w:tabs>
        <w:ind w:left="5760" w:hanging="360"/>
      </w:pPr>
      <w:rPr>
        <w:rFonts w:ascii="Wingdings" w:hAnsi="Wingdings" w:hint="default"/>
      </w:rPr>
    </w:lvl>
    <w:lvl w:ilvl="8" w:tplc="993C0F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EA1AC6"/>
    <w:multiLevelType w:val="hybridMultilevel"/>
    <w:tmpl w:val="B9B2657E"/>
    <w:lvl w:ilvl="0" w:tplc="E794D4B4">
      <w:start w:val="1"/>
      <w:numFmt w:val="bullet"/>
      <w:lvlText w:val="•"/>
      <w:lvlJc w:val="left"/>
      <w:pPr>
        <w:tabs>
          <w:tab w:val="num" w:pos="720"/>
        </w:tabs>
        <w:ind w:left="720" w:hanging="360"/>
      </w:pPr>
      <w:rPr>
        <w:rFonts w:ascii="Arial" w:hAnsi="Arial" w:hint="default"/>
      </w:rPr>
    </w:lvl>
    <w:lvl w:ilvl="1" w:tplc="BEC4E482">
      <w:start w:val="163"/>
      <w:numFmt w:val="bullet"/>
      <w:lvlText w:val="•"/>
      <w:lvlJc w:val="left"/>
      <w:pPr>
        <w:tabs>
          <w:tab w:val="num" w:pos="1440"/>
        </w:tabs>
        <w:ind w:left="1440" w:hanging="360"/>
      </w:pPr>
      <w:rPr>
        <w:rFonts w:ascii="Arial" w:hAnsi="Arial" w:hint="default"/>
      </w:rPr>
    </w:lvl>
    <w:lvl w:ilvl="2" w:tplc="03B81EBC" w:tentative="1">
      <w:start w:val="1"/>
      <w:numFmt w:val="bullet"/>
      <w:lvlText w:val="•"/>
      <w:lvlJc w:val="left"/>
      <w:pPr>
        <w:tabs>
          <w:tab w:val="num" w:pos="2160"/>
        </w:tabs>
        <w:ind w:left="2160" w:hanging="360"/>
      </w:pPr>
      <w:rPr>
        <w:rFonts w:ascii="Arial" w:hAnsi="Arial" w:hint="default"/>
      </w:rPr>
    </w:lvl>
    <w:lvl w:ilvl="3" w:tplc="85A69A16" w:tentative="1">
      <w:start w:val="1"/>
      <w:numFmt w:val="bullet"/>
      <w:lvlText w:val="•"/>
      <w:lvlJc w:val="left"/>
      <w:pPr>
        <w:tabs>
          <w:tab w:val="num" w:pos="2880"/>
        </w:tabs>
        <w:ind w:left="2880" w:hanging="360"/>
      </w:pPr>
      <w:rPr>
        <w:rFonts w:ascii="Arial" w:hAnsi="Arial" w:hint="default"/>
      </w:rPr>
    </w:lvl>
    <w:lvl w:ilvl="4" w:tplc="A4C00B7E" w:tentative="1">
      <w:start w:val="1"/>
      <w:numFmt w:val="bullet"/>
      <w:lvlText w:val="•"/>
      <w:lvlJc w:val="left"/>
      <w:pPr>
        <w:tabs>
          <w:tab w:val="num" w:pos="3600"/>
        </w:tabs>
        <w:ind w:left="3600" w:hanging="360"/>
      </w:pPr>
      <w:rPr>
        <w:rFonts w:ascii="Arial" w:hAnsi="Arial" w:hint="default"/>
      </w:rPr>
    </w:lvl>
    <w:lvl w:ilvl="5" w:tplc="1D38361A" w:tentative="1">
      <w:start w:val="1"/>
      <w:numFmt w:val="bullet"/>
      <w:lvlText w:val="•"/>
      <w:lvlJc w:val="left"/>
      <w:pPr>
        <w:tabs>
          <w:tab w:val="num" w:pos="4320"/>
        </w:tabs>
        <w:ind w:left="4320" w:hanging="360"/>
      </w:pPr>
      <w:rPr>
        <w:rFonts w:ascii="Arial" w:hAnsi="Arial" w:hint="default"/>
      </w:rPr>
    </w:lvl>
    <w:lvl w:ilvl="6" w:tplc="1472DD78" w:tentative="1">
      <w:start w:val="1"/>
      <w:numFmt w:val="bullet"/>
      <w:lvlText w:val="•"/>
      <w:lvlJc w:val="left"/>
      <w:pPr>
        <w:tabs>
          <w:tab w:val="num" w:pos="5040"/>
        </w:tabs>
        <w:ind w:left="5040" w:hanging="360"/>
      </w:pPr>
      <w:rPr>
        <w:rFonts w:ascii="Arial" w:hAnsi="Arial" w:hint="default"/>
      </w:rPr>
    </w:lvl>
    <w:lvl w:ilvl="7" w:tplc="D332CF8A" w:tentative="1">
      <w:start w:val="1"/>
      <w:numFmt w:val="bullet"/>
      <w:lvlText w:val="•"/>
      <w:lvlJc w:val="left"/>
      <w:pPr>
        <w:tabs>
          <w:tab w:val="num" w:pos="5760"/>
        </w:tabs>
        <w:ind w:left="5760" w:hanging="360"/>
      </w:pPr>
      <w:rPr>
        <w:rFonts w:ascii="Arial" w:hAnsi="Arial" w:hint="default"/>
      </w:rPr>
    </w:lvl>
    <w:lvl w:ilvl="8" w:tplc="5E02D1A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05ACC"/>
    <w:multiLevelType w:val="hybridMultilevel"/>
    <w:tmpl w:val="A1582200"/>
    <w:lvl w:ilvl="0" w:tplc="4C3C2C86">
      <w:start w:val="1"/>
      <w:numFmt w:val="decimal"/>
      <w:lvlText w:val="%1."/>
      <w:lvlJc w:val="left"/>
      <w:pPr>
        <w:ind w:left="360" w:hanging="360"/>
      </w:pPr>
      <w:rPr>
        <w:rFonts w:cs="Times New Roman" w:hint="default"/>
      </w:rPr>
    </w:lvl>
    <w:lvl w:ilvl="1" w:tplc="04090019">
      <w:start w:val="1"/>
      <w:numFmt w:val="ideographTraditional"/>
      <w:lvlText w:val="%2、"/>
      <w:lvlJc w:val="left"/>
      <w:pPr>
        <w:ind w:left="960" w:hanging="480"/>
      </w:pPr>
      <w:rPr>
        <w:rFonts w:cs="Times New Roman"/>
      </w:rPr>
    </w:lvl>
    <w:lvl w:ilvl="2" w:tplc="A0E62884">
      <w:start w:val="1"/>
      <w:numFmt w:val="decimal"/>
      <w:lvlText w:val="(%3)"/>
      <w:lvlJc w:val="left"/>
      <w:pPr>
        <w:tabs>
          <w:tab w:val="num" w:pos="1320"/>
        </w:tabs>
        <w:ind w:left="1320" w:hanging="360"/>
      </w:pPr>
      <w:rPr>
        <w:rFonts w:cs="Times New Roman" w:hint="default"/>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3" w15:restartNumberingAfterBreak="0">
    <w:nsid w:val="139E3C22"/>
    <w:multiLevelType w:val="multilevel"/>
    <w:tmpl w:val="2A50AB3A"/>
    <w:lvl w:ilvl="0">
      <w:start w:val="1"/>
      <w:numFmt w:val="decimal"/>
      <w:lvlText w:val="%1."/>
      <w:lvlJc w:val="left"/>
      <w:pPr>
        <w:tabs>
          <w:tab w:val="num" w:pos="360"/>
        </w:tabs>
        <w:ind w:left="360" w:hanging="360"/>
      </w:pPr>
      <w:rPr>
        <w:rFonts w:cs="Times New Roman" w:hint="default"/>
      </w:rPr>
    </w:lvl>
    <w:lvl w:ilvl="1">
      <w:start w:val="1"/>
      <w:numFmt w:val="ideographTraditional"/>
      <w:lvlText w:val="%2、"/>
      <w:lvlJc w:val="left"/>
      <w:pPr>
        <w:tabs>
          <w:tab w:val="num" w:pos="960"/>
        </w:tabs>
        <w:ind w:left="960" w:hanging="480"/>
      </w:pPr>
      <w:rPr>
        <w:rFonts w:cs="Times New Roman"/>
      </w:rPr>
    </w:lvl>
    <w:lvl w:ilvl="2">
      <w:start w:val="1"/>
      <w:numFmt w:val="lowerRoman"/>
      <w:lvlText w:val="%3."/>
      <w:lvlJc w:val="right"/>
      <w:pPr>
        <w:tabs>
          <w:tab w:val="num" w:pos="1440"/>
        </w:tabs>
        <w:ind w:left="1440" w:hanging="480"/>
      </w:pPr>
      <w:rPr>
        <w:rFonts w:cs="Times New Roman"/>
      </w:rPr>
    </w:lvl>
    <w:lvl w:ilvl="3">
      <w:start w:val="1"/>
      <w:numFmt w:val="decimal"/>
      <w:lvlText w:val="%4."/>
      <w:lvlJc w:val="left"/>
      <w:pPr>
        <w:tabs>
          <w:tab w:val="num" w:pos="1920"/>
        </w:tabs>
        <w:ind w:left="1920" w:hanging="480"/>
      </w:pPr>
      <w:rPr>
        <w:rFonts w:cs="Times New Roman"/>
      </w:rPr>
    </w:lvl>
    <w:lvl w:ilvl="4">
      <w:start w:val="1"/>
      <w:numFmt w:val="ideographTraditional"/>
      <w:lvlText w:val="%5、"/>
      <w:lvlJc w:val="left"/>
      <w:pPr>
        <w:tabs>
          <w:tab w:val="num" w:pos="2400"/>
        </w:tabs>
        <w:ind w:left="2400" w:hanging="480"/>
      </w:pPr>
      <w:rPr>
        <w:rFonts w:cs="Times New Roman"/>
      </w:rPr>
    </w:lvl>
    <w:lvl w:ilvl="5">
      <w:start w:val="1"/>
      <w:numFmt w:val="lowerRoman"/>
      <w:lvlText w:val="%6."/>
      <w:lvlJc w:val="right"/>
      <w:pPr>
        <w:tabs>
          <w:tab w:val="num" w:pos="2880"/>
        </w:tabs>
        <w:ind w:left="2880" w:hanging="480"/>
      </w:pPr>
      <w:rPr>
        <w:rFonts w:cs="Times New Roman"/>
      </w:rPr>
    </w:lvl>
    <w:lvl w:ilvl="6">
      <w:start w:val="1"/>
      <w:numFmt w:val="decimal"/>
      <w:lvlText w:val="%7."/>
      <w:lvlJc w:val="left"/>
      <w:pPr>
        <w:tabs>
          <w:tab w:val="num" w:pos="3360"/>
        </w:tabs>
        <w:ind w:left="3360" w:hanging="480"/>
      </w:pPr>
      <w:rPr>
        <w:rFonts w:cs="Times New Roman"/>
      </w:rPr>
    </w:lvl>
    <w:lvl w:ilvl="7">
      <w:start w:val="1"/>
      <w:numFmt w:val="ideographTraditional"/>
      <w:lvlText w:val="%8、"/>
      <w:lvlJc w:val="left"/>
      <w:pPr>
        <w:tabs>
          <w:tab w:val="num" w:pos="3840"/>
        </w:tabs>
        <w:ind w:left="3840" w:hanging="480"/>
      </w:pPr>
      <w:rPr>
        <w:rFonts w:cs="Times New Roman"/>
      </w:rPr>
    </w:lvl>
    <w:lvl w:ilvl="8">
      <w:start w:val="1"/>
      <w:numFmt w:val="lowerRoman"/>
      <w:lvlText w:val="%9."/>
      <w:lvlJc w:val="right"/>
      <w:pPr>
        <w:tabs>
          <w:tab w:val="num" w:pos="4320"/>
        </w:tabs>
        <w:ind w:left="4320" w:hanging="480"/>
      </w:pPr>
      <w:rPr>
        <w:rFonts w:cs="Times New Roman"/>
      </w:rPr>
    </w:lvl>
  </w:abstractNum>
  <w:abstractNum w:abstractNumId="4" w15:restartNumberingAfterBreak="0">
    <w:nsid w:val="26CD4355"/>
    <w:multiLevelType w:val="hybridMultilevel"/>
    <w:tmpl w:val="B24EDB22"/>
    <w:lvl w:ilvl="0" w:tplc="2C042046">
      <w:start w:val="1"/>
      <w:numFmt w:val="bullet"/>
      <w:lvlText w:val="•"/>
      <w:lvlJc w:val="left"/>
      <w:pPr>
        <w:tabs>
          <w:tab w:val="num" w:pos="720"/>
        </w:tabs>
        <w:ind w:left="720" w:hanging="360"/>
      </w:pPr>
      <w:rPr>
        <w:rFonts w:ascii="Arial" w:hAnsi="Arial" w:hint="default"/>
      </w:rPr>
    </w:lvl>
    <w:lvl w:ilvl="1" w:tplc="64B25FB0" w:tentative="1">
      <w:start w:val="1"/>
      <w:numFmt w:val="bullet"/>
      <w:lvlText w:val="•"/>
      <w:lvlJc w:val="left"/>
      <w:pPr>
        <w:tabs>
          <w:tab w:val="num" w:pos="1440"/>
        </w:tabs>
        <w:ind w:left="1440" w:hanging="360"/>
      </w:pPr>
      <w:rPr>
        <w:rFonts w:ascii="Arial" w:hAnsi="Arial" w:hint="default"/>
      </w:rPr>
    </w:lvl>
    <w:lvl w:ilvl="2" w:tplc="7D3037D4" w:tentative="1">
      <w:start w:val="1"/>
      <w:numFmt w:val="bullet"/>
      <w:lvlText w:val="•"/>
      <w:lvlJc w:val="left"/>
      <w:pPr>
        <w:tabs>
          <w:tab w:val="num" w:pos="2160"/>
        </w:tabs>
        <w:ind w:left="2160" w:hanging="360"/>
      </w:pPr>
      <w:rPr>
        <w:rFonts w:ascii="Arial" w:hAnsi="Arial" w:hint="default"/>
      </w:rPr>
    </w:lvl>
    <w:lvl w:ilvl="3" w:tplc="4CD4D2CE" w:tentative="1">
      <w:start w:val="1"/>
      <w:numFmt w:val="bullet"/>
      <w:lvlText w:val="•"/>
      <w:lvlJc w:val="left"/>
      <w:pPr>
        <w:tabs>
          <w:tab w:val="num" w:pos="2880"/>
        </w:tabs>
        <w:ind w:left="2880" w:hanging="360"/>
      </w:pPr>
      <w:rPr>
        <w:rFonts w:ascii="Arial" w:hAnsi="Arial" w:hint="default"/>
      </w:rPr>
    </w:lvl>
    <w:lvl w:ilvl="4" w:tplc="D79C2838" w:tentative="1">
      <w:start w:val="1"/>
      <w:numFmt w:val="bullet"/>
      <w:lvlText w:val="•"/>
      <w:lvlJc w:val="left"/>
      <w:pPr>
        <w:tabs>
          <w:tab w:val="num" w:pos="3600"/>
        </w:tabs>
        <w:ind w:left="3600" w:hanging="360"/>
      </w:pPr>
      <w:rPr>
        <w:rFonts w:ascii="Arial" w:hAnsi="Arial" w:hint="default"/>
      </w:rPr>
    </w:lvl>
    <w:lvl w:ilvl="5" w:tplc="76CE3804" w:tentative="1">
      <w:start w:val="1"/>
      <w:numFmt w:val="bullet"/>
      <w:lvlText w:val="•"/>
      <w:lvlJc w:val="left"/>
      <w:pPr>
        <w:tabs>
          <w:tab w:val="num" w:pos="4320"/>
        </w:tabs>
        <w:ind w:left="4320" w:hanging="360"/>
      </w:pPr>
      <w:rPr>
        <w:rFonts w:ascii="Arial" w:hAnsi="Arial" w:hint="default"/>
      </w:rPr>
    </w:lvl>
    <w:lvl w:ilvl="6" w:tplc="3B9C5542" w:tentative="1">
      <w:start w:val="1"/>
      <w:numFmt w:val="bullet"/>
      <w:lvlText w:val="•"/>
      <w:lvlJc w:val="left"/>
      <w:pPr>
        <w:tabs>
          <w:tab w:val="num" w:pos="5040"/>
        </w:tabs>
        <w:ind w:left="5040" w:hanging="360"/>
      </w:pPr>
      <w:rPr>
        <w:rFonts w:ascii="Arial" w:hAnsi="Arial" w:hint="default"/>
      </w:rPr>
    </w:lvl>
    <w:lvl w:ilvl="7" w:tplc="1D34AC0A" w:tentative="1">
      <w:start w:val="1"/>
      <w:numFmt w:val="bullet"/>
      <w:lvlText w:val="•"/>
      <w:lvlJc w:val="left"/>
      <w:pPr>
        <w:tabs>
          <w:tab w:val="num" w:pos="5760"/>
        </w:tabs>
        <w:ind w:left="5760" w:hanging="360"/>
      </w:pPr>
      <w:rPr>
        <w:rFonts w:ascii="Arial" w:hAnsi="Arial" w:hint="default"/>
      </w:rPr>
    </w:lvl>
    <w:lvl w:ilvl="8" w:tplc="6762A86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A979C6"/>
    <w:multiLevelType w:val="hybridMultilevel"/>
    <w:tmpl w:val="09F08F8E"/>
    <w:lvl w:ilvl="0" w:tplc="DF683BB8">
      <w:start w:val="1"/>
      <w:numFmt w:val="decimal"/>
      <w:lvlText w:val="(%1)"/>
      <w:lvlJc w:val="left"/>
      <w:pPr>
        <w:ind w:left="720" w:hanging="360"/>
      </w:pPr>
      <w:rPr>
        <w:rFonts w:cs="Times New Roman" w:hint="default"/>
        <w:b w:val="0"/>
      </w:rPr>
    </w:lvl>
    <w:lvl w:ilvl="1" w:tplc="04090019" w:tentative="1">
      <w:start w:val="1"/>
      <w:numFmt w:val="ideographTraditional"/>
      <w:lvlText w:val="%2、"/>
      <w:lvlJc w:val="left"/>
      <w:pPr>
        <w:ind w:left="1320" w:hanging="480"/>
      </w:pPr>
      <w:rPr>
        <w:rFonts w:cs="Times New Roman"/>
      </w:rPr>
    </w:lvl>
    <w:lvl w:ilvl="2" w:tplc="0409001B" w:tentative="1">
      <w:start w:val="1"/>
      <w:numFmt w:val="lowerRoman"/>
      <w:lvlText w:val="%3."/>
      <w:lvlJc w:val="right"/>
      <w:pPr>
        <w:ind w:left="1800" w:hanging="480"/>
      </w:pPr>
      <w:rPr>
        <w:rFonts w:cs="Times New Roman"/>
      </w:rPr>
    </w:lvl>
    <w:lvl w:ilvl="3" w:tplc="0409000F" w:tentative="1">
      <w:start w:val="1"/>
      <w:numFmt w:val="decimal"/>
      <w:lvlText w:val="%4."/>
      <w:lvlJc w:val="left"/>
      <w:pPr>
        <w:ind w:left="2280" w:hanging="480"/>
      </w:pPr>
      <w:rPr>
        <w:rFonts w:cs="Times New Roman"/>
      </w:rPr>
    </w:lvl>
    <w:lvl w:ilvl="4" w:tplc="04090019" w:tentative="1">
      <w:start w:val="1"/>
      <w:numFmt w:val="ideographTraditional"/>
      <w:lvlText w:val="%5、"/>
      <w:lvlJc w:val="left"/>
      <w:pPr>
        <w:ind w:left="2760" w:hanging="480"/>
      </w:pPr>
      <w:rPr>
        <w:rFonts w:cs="Times New Roman"/>
      </w:rPr>
    </w:lvl>
    <w:lvl w:ilvl="5" w:tplc="0409001B" w:tentative="1">
      <w:start w:val="1"/>
      <w:numFmt w:val="lowerRoman"/>
      <w:lvlText w:val="%6."/>
      <w:lvlJc w:val="right"/>
      <w:pPr>
        <w:ind w:left="3240" w:hanging="480"/>
      </w:pPr>
      <w:rPr>
        <w:rFonts w:cs="Times New Roman"/>
      </w:rPr>
    </w:lvl>
    <w:lvl w:ilvl="6" w:tplc="0409000F" w:tentative="1">
      <w:start w:val="1"/>
      <w:numFmt w:val="decimal"/>
      <w:lvlText w:val="%7."/>
      <w:lvlJc w:val="left"/>
      <w:pPr>
        <w:ind w:left="3720" w:hanging="480"/>
      </w:pPr>
      <w:rPr>
        <w:rFonts w:cs="Times New Roman"/>
      </w:rPr>
    </w:lvl>
    <w:lvl w:ilvl="7" w:tplc="04090019" w:tentative="1">
      <w:start w:val="1"/>
      <w:numFmt w:val="ideographTraditional"/>
      <w:lvlText w:val="%8、"/>
      <w:lvlJc w:val="left"/>
      <w:pPr>
        <w:ind w:left="4200" w:hanging="480"/>
      </w:pPr>
      <w:rPr>
        <w:rFonts w:cs="Times New Roman"/>
      </w:rPr>
    </w:lvl>
    <w:lvl w:ilvl="8" w:tplc="0409001B" w:tentative="1">
      <w:start w:val="1"/>
      <w:numFmt w:val="lowerRoman"/>
      <w:lvlText w:val="%9."/>
      <w:lvlJc w:val="right"/>
      <w:pPr>
        <w:ind w:left="4680" w:hanging="480"/>
      </w:pPr>
      <w:rPr>
        <w:rFonts w:cs="Times New Roman"/>
      </w:rPr>
    </w:lvl>
  </w:abstractNum>
  <w:abstractNum w:abstractNumId="6" w15:restartNumberingAfterBreak="0">
    <w:nsid w:val="2FB165AF"/>
    <w:multiLevelType w:val="hybridMultilevel"/>
    <w:tmpl w:val="7428BB0E"/>
    <w:lvl w:ilvl="0" w:tplc="B0008CC8">
      <w:start w:val="1"/>
      <w:numFmt w:val="bullet"/>
      <w:lvlText w:val="•"/>
      <w:lvlJc w:val="left"/>
      <w:pPr>
        <w:tabs>
          <w:tab w:val="num" w:pos="720"/>
        </w:tabs>
        <w:ind w:left="720" w:hanging="360"/>
      </w:pPr>
      <w:rPr>
        <w:rFonts w:ascii="Arial" w:hAnsi="Arial" w:hint="default"/>
      </w:rPr>
    </w:lvl>
    <w:lvl w:ilvl="1" w:tplc="7E121912">
      <w:start w:val="163"/>
      <w:numFmt w:val="bullet"/>
      <w:lvlText w:val="•"/>
      <w:lvlJc w:val="left"/>
      <w:pPr>
        <w:tabs>
          <w:tab w:val="num" w:pos="1440"/>
        </w:tabs>
        <w:ind w:left="1440" w:hanging="360"/>
      </w:pPr>
      <w:rPr>
        <w:rFonts w:ascii="Arial" w:hAnsi="Arial" w:hint="default"/>
      </w:rPr>
    </w:lvl>
    <w:lvl w:ilvl="2" w:tplc="394EE15A" w:tentative="1">
      <w:start w:val="1"/>
      <w:numFmt w:val="bullet"/>
      <w:lvlText w:val="•"/>
      <w:lvlJc w:val="left"/>
      <w:pPr>
        <w:tabs>
          <w:tab w:val="num" w:pos="2160"/>
        </w:tabs>
        <w:ind w:left="2160" w:hanging="360"/>
      </w:pPr>
      <w:rPr>
        <w:rFonts w:ascii="Arial" w:hAnsi="Arial" w:hint="default"/>
      </w:rPr>
    </w:lvl>
    <w:lvl w:ilvl="3" w:tplc="EB98D0FC" w:tentative="1">
      <w:start w:val="1"/>
      <w:numFmt w:val="bullet"/>
      <w:lvlText w:val="•"/>
      <w:lvlJc w:val="left"/>
      <w:pPr>
        <w:tabs>
          <w:tab w:val="num" w:pos="2880"/>
        </w:tabs>
        <w:ind w:left="2880" w:hanging="360"/>
      </w:pPr>
      <w:rPr>
        <w:rFonts w:ascii="Arial" w:hAnsi="Arial" w:hint="default"/>
      </w:rPr>
    </w:lvl>
    <w:lvl w:ilvl="4" w:tplc="05B0A33C" w:tentative="1">
      <w:start w:val="1"/>
      <w:numFmt w:val="bullet"/>
      <w:lvlText w:val="•"/>
      <w:lvlJc w:val="left"/>
      <w:pPr>
        <w:tabs>
          <w:tab w:val="num" w:pos="3600"/>
        </w:tabs>
        <w:ind w:left="3600" w:hanging="360"/>
      </w:pPr>
      <w:rPr>
        <w:rFonts w:ascii="Arial" w:hAnsi="Arial" w:hint="default"/>
      </w:rPr>
    </w:lvl>
    <w:lvl w:ilvl="5" w:tplc="D4D6D6C0" w:tentative="1">
      <w:start w:val="1"/>
      <w:numFmt w:val="bullet"/>
      <w:lvlText w:val="•"/>
      <w:lvlJc w:val="left"/>
      <w:pPr>
        <w:tabs>
          <w:tab w:val="num" w:pos="4320"/>
        </w:tabs>
        <w:ind w:left="4320" w:hanging="360"/>
      </w:pPr>
      <w:rPr>
        <w:rFonts w:ascii="Arial" w:hAnsi="Arial" w:hint="default"/>
      </w:rPr>
    </w:lvl>
    <w:lvl w:ilvl="6" w:tplc="332C769A" w:tentative="1">
      <w:start w:val="1"/>
      <w:numFmt w:val="bullet"/>
      <w:lvlText w:val="•"/>
      <w:lvlJc w:val="left"/>
      <w:pPr>
        <w:tabs>
          <w:tab w:val="num" w:pos="5040"/>
        </w:tabs>
        <w:ind w:left="5040" w:hanging="360"/>
      </w:pPr>
      <w:rPr>
        <w:rFonts w:ascii="Arial" w:hAnsi="Arial" w:hint="default"/>
      </w:rPr>
    </w:lvl>
    <w:lvl w:ilvl="7" w:tplc="88222444" w:tentative="1">
      <w:start w:val="1"/>
      <w:numFmt w:val="bullet"/>
      <w:lvlText w:val="•"/>
      <w:lvlJc w:val="left"/>
      <w:pPr>
        <w:tabs>
          <w:tab w:val="num" w:pos="5760"/>
        </w:tabs>
        <w:ind w:left="5760" w:hanging="360"/>
      </w:pPr>
      <w:rPr>
        <w:rFonts w:ascii="Arial" w:hAnsi="Arial" w:hint="default"/>
      </w:rPr>
    </w:lvl>
    <w:lvl w:ilvl="8" w:tplc="8E12BF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7961C6"/>
    <w:multiLevelType w:val="hybridMultilevel"/>
    <w:tmpl w:val="8480A38C"/>
    <w:lvl w:ilvl="0" w:tplc="9E78DDC6">
      <w:start w:val="1"/>
      <w:numFmt w:val="bullet"/>
      <w:lvlText w:val="•"/>
      <w:lvlJc w:val="left"/>
      <w:pPr>
        <w:tabs>
          <w:tab w:val="num" w:pos="720"/>
        </w:tabs>
        <w:ind w:left="720" w:hanging="360"/>
      </w:pPr>
      <w:rPr>
        <w:rFonts w:ascii="Verdana" w:hAnsi="Verdana" w:hint="default"/>
      </w:rPr>
    </w:lvl>
    <w:lvl w:ilvl="1" w:tplc="95D20B6C">
      <w:start w:val="84"/>
      <w:numFmt w:val="bullet"/>
      <w:lvlText w:val="–"/>
      <w:lvlJc w:val="left"/>
      <w:pPr>
        <w:tabs>
          <w:tab w:val="num" w:pos="1440"/>
        </w:tabs>
        <w:ind w:left="1440" w:hanging="360"/>
      </w:pPr>
      <w:rPr>
        <w:rFonts w:ascii="Verdana" w:hAnsi="Verdana" w:hint="default"/>
      </w:rPr>
    </w:lvl>
    <w:lvl w:ilvl="2" w:tplc="B19E6FE4" w:tentative="1">
      <w:start w:val="1"/>
      <w:numFmt w:val="bullet"/>
      <w:lvlText w:val="•"/>
      <w:lvlJc w:val="left"/>
      <w:pPr>
        <w:tabs>
          <w:tab w:val="num" w:pos="2160"/>
        </w:tabs>
        <w:ind w:left="2160" w:hanging="360"/>
      </w:pPr>
      <w:rPr>
        <w:rFonts w:ascii="Verdana" w:hAnsi="Verdana" w:hint="default"/>
      </w:rPr>
    </w:lvl>
    <w:lvl w:ilvl="3" w:tplc="EEB2E3FC" w:tentative="1">
      <w:start w:val="1"/>
      <w:numFmt w:val="bullet"/>
      <w:lvlText w:val="•"/>
      <w:lvlJc w:val="left"/>
      <w:pPr>
        <w:tabs>
          <w:tab w:val="num" w:pos="2880"/>
        </w:tabs>
        <w:ind w:left="2880" w:hanging="360"/>
      </w:pPr>
      <w:rPr>
        <w:rFonts w:ascii="Verdana" w:hAnsi="Verdana" w:hint="default"/>
      </w:rPr>
    </w:lvl>
    <w:lvl w:ilvl="4" w:tplc="DD86DAEC" w:tentative="1">
      <w:start w:val="1"/>
      <w:numFmt w:val="bullet"/>
      <w:lvlText w:val="•"/>
      <w:lvlJc w:val="left"/>
      <w:pPr>
        <w:tabs>
          <w:tab w:val="num" w:pos="3600"/>
        </w:tabs>
        <w:ind w:left="3600" w:hanging="360"/>
      </w:pPr>
      <w:rPr>
        <w:rFonts w:ascii="Verdana" w:hAnsi="Verdana" w:hint="default"/>
      </w:rPr>
    </w:lvl>
    <w:lvl w:ilvl="5" w:tplc="15C6C830" w:tentative="1">
      <w:start w:val="1"/>
      <w:numFmt w:val="bullet"/>
      <w:lvlText w:val="•"/>
      <w:lvlJc w:val="left"/>
      <w:pPr>
        <w:tabs>
          <w:tab w:val="num" w:pos="4320"/>
        </w:tabs>
        <w:ind w:left="4320" w:hanging="360"/>
      </w:pPr>
      <w:rPr>
        <w:rFonts w:ascii="Verdana" w:hAnsi="Verdana" w:hint="default"/>
      </w:rPr>
    </w:lvl>
    <w:lvl w:ilvl="6" w:tplc="698CA89E" w:tentative="1">
      <w:start w:val="1"/>
      <w:numFmt w:val="bullet"/>
      <w:lvlText w:val="•"/>
      <w:lvlJc w:val="left"/>
      <w:pPr>
        <w:tabs>
          <w:tab w:val="num" w:pos="5040"/>
        </w:tabs>
        <w:ind w:left="5040" w:hanging="360"/>
      </w:pPr>
      <w:rPr>
        <w:rFonts w:ascii="Verdana" w:hAnsi="Verdana" w:hint="default"/>
      </w:rPr>
    </w:lvl>
    <w:lvl w:ilvl="7" w:tplc="468481EA" w:tentative="1">
      <w:start w:val="1"/>
      <w:numFmt w:val="bullet"/>
      <w:lvlText w:val="•"/>
      <w:lvlJc w:val="left"/>
      <w:pPr>
        <w:tabs>
          <w:tab w:val="num" w:pos="5760"/>
        </w:tabs>
        <w:ind w:left="5760" w:hanging="360"/>
      </w:pPr>
      <w:rPr>
        <w:rFonts w:ascii="Verdana" w:hAnsi="Verdana" w:hint="default"/>
      </w:rPr>
    </w:lvl>
    <w:lvl w:ilvl="8" w:tplc="56068C88" w:tentative="1">
      <w:start w:val="1"/>
      <w:numFmt w:val="bullet"/>
      <w:lvlText w:val="•"/>
      <w:lvlJc w:val="left"/>
      <w:pPr>
        <w:tabs>
          <w:tab w:val="num" w:pos="6480"/>
        </w:tabs>
        <w:ind w:left="6480" w:hanging="360"/>
      </w:pPr>
      <w:rPr>
        <w:rFonts w:ascii="Verdana" w:hAnsi="Verdana" w:hint="default"/>
      </w:rPr>
    </w:lvl>
  </w:abstractNum>
  <w:abstractNum w:abstractNumId="8" w15:restartNumberingAfterBreak="0">
    <w:nsid w:val="363E15B4"/>
    <w:multiLevelType w:val="hybridMultilevel"/>
    <w:tmpl w:val="81AE69E0"/>
    <w:lvl w:ilvl="0" w:tplc="30A6B058">
      <w:start w:val="1"/>
      <w:numFmt w:val="bullet"/>
      <w:lvlText w:val=""/>
      <w:lvlJc w:val="left"/>
      <w:pPr>
        <w:tabs>
          <w:tab w:val="num" w:pos="720"/>
        </w:tabs>
        <w:ind w:left="720" w:hanging="360"/>
      </w:pPr>
      <w:rPr>
        <w:rFonts w:ascii="Wingdings" w:hAnsi="Wingdings" w:hint="default"/>
      </w:rPr>
    </w:lvl>
    <w:lvl w:ilvl="1" w:tplc="D3700796" w:tentative="1">
      <w:start w:val="1"/>
      <w:numFmt w:val="bullet"/>
      <w:lvlText w:val=""/>
      <w:lvlJc w:val="left"/>
      <w:pPr>
        <w:tabs>
          <w:tab w:val="num" w:pos="1440"/>
        </w:tabs>
        <w:ind w:left="1440" w:hanging="360"/>
      </w:pPr>
      <w:rPr>
        <w:rFonts w:ascii="Wingdings" w:hAnsi="Wingdings" w:hint="default"/>
      </w:rPr>
    </w:lvl>
    <w:lvl w:ilvl="2" w:tplc="447E0794" w:tentative="1">
      <w:start w:val="1"/>
      <w:numFmt w:val="bullet"/>
      <w:lvlText w:val=""/>
      <w:lvlJc w:val="left"/>
      <w:pPr>
        <w:tabs>
          <w:tab w:val="num" w:pos="2160"/>
        </w:tabs>
        <w:ind w:left="2160" w:hanging="360"/>
      </w:pPr>
      <w:rPr>
        <w:rFonts w:ascii="Wingdings" w:hAnsi="Wingdings" w:hint="default"/>
      </w:rPr>
    </w:lvl>
    <w:lvl w:ilvl="3" w:tplc="30EE5F90" w:tentative="1">
      <w:start w:val="1"/>
      <w:numFmt w:val="bullet"/>
      <w:lvlText w:val=""/>
      <w:lvlJc w:val="left"/>
      <w:pPr>
        <w:tabs>
          <w:tab w:val="num" w:pos="2880"/>
        </w:tabs>
        <w:ind w:left="2880" w:hanging="360"/>
      </w:pPr>
      <w:rPr>
        <w:rFonts w:ascii="Wingdings" w:hAnsi="Wingdings" w:hint="default"/>
      </w:rPr>
    </w:lvl>
    <w:lvl w:ilvl="4" w:tplc="74763E8C" w:tentative="1">
      <w:start w:val="1"/>
      <w:numFmt w:val="bullet"/>
      <w:lvlText w:val=""/>
      <w:lvlJc w:val="left"/>
      <w:pPr>
        <w:tabs>
          <w:tab w:val="num" w:pos="3600"/>
        </w:tabs>
        <w:ind w:left="3600" w:hanging="360"/>
      </w:pPr>
      <w:rPr>
        <w:rFonts w:ascii="Wingdings" w:hAnsi="Wingdings" w:hint="default"/>
      </w:rPr>
    </w:lvl>
    <w:lvl w:ilvl="5" w:tplc="FAB0F510" w:tentative="1">
      <w:start w:val="1"/>
      <w:numFmt w:val="bullet"/>
      <w:lvlText w:val=""/>
      <w:lvlJc w:val="left"/>
      <w:pPr>
        <w:tabs>
          <w:tab w:val="num" w:pos="4320"/>
        </w:tabs>
        <w:ind w:left="4320" w:hanging="360"/>
      </w:pPr>
      <w:rPr>
        <w:rFonts w:ascii="Wingdings" w:hAnsi="Wingdings" w:hint="default"/>
      </w:rPr>
    </w:lvl>
    <w:lvl w:ilvl="6" w:tplc="12D4A354" w:tentative="1">
      <w:start w:val="1"/>
      <w:numFmt w:val="bullet"/>
      <w:lvlText w:val=""/>
      <w:lvlJc w:val="left"/>
      <w:pPr>
        <w:tabs>
          <w:tab w:val="num" w:pos="5040"/>
        </w:tabs>
        <w:ind w:left="5040" w:hanging="360"/>
      </w:pPr>
      <w:rPr>
        <w:rFonts w:ascii="Wingdings" w:hAnsi="Wingdings" w:hint="default"/>
      </w:rPr>
    </w:lvl>
    <w:lvl w:ilvl="7" w:tplc="4F468BE4" w:tentative="1">
      <w:start w:val="1"/>
      <w:numFmt w:val="bullet"/>
      <w:lvlText w:val=""/>
      <w:lvlJc w:val="left"/>
      <w:pPr>
        <w:tabs>
          <w:tab w:val="num" w:pos="5760"/>
        </w:tabs>
        <w:ind w:left="5760" w:hanging="360"/>
      </w:pPr>
      <w:rPr>
        <w:rFonts w:ascii="Wingdings" w:hAnsi="Wingdings" w:hint="default"/>
      </w:rPr>
    </w:lvl>
    <w:lvl w:ilvl="8" w:tplc="21D06BC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F70614"/>
    <w:multiLevelType w:val="hybridMultilevel"/>
    <w:tmpl w:val="95CC28B0"/>
    <w:lvl w:ilvl="0" w:tplc="51F82BC2">
      <w:start w:val="1"/>
      <w:numFmt w:val="bullet"/>
      <w:lvlText w:val="•"/>
      <w:lvlJc w:val="left"/>
      <w:pPr>
        <w:tabs>
          <w:tab w:val="num" w:pos="720"/>
        </w:tabs>
        <w:ind w:left="720" w:hanging="360"/>
      </w:pPr>
      <w:rPr>
        <w:rFonts w:ascii="Arial" w:hAnsi="Arial" w:hint="default"/>
      </w:rPr>
    </w:lvl>
    <w:lvl w:ilvl="1" w:tplc="2E224400">
      <w:start w:val="163"/>
      <w:numFmt w:val="bullet"/>
      <w:lvlText w:val="•"/>
      <w:lvlJc w:val="left"/>
      <w:pPr>
        <w:tabs>
          <w:tab w:val="num" w:pos="1440"/>
        </w:tabs>
        <w:ind w:left="1440" w:hanging="360"/>
      </w:pPr>
      <w:rPr>
        <w:rFonts w:ascii="Arial" w:hAnsi="Arial" w:hint="default"/>
      </w:rPr>
    </w:lvl>
    <w:lvl w:ilvl="2" w:tplc="17B83E16" w:tentative="1">
      <w:start w:val="1"/>
      <w:numFmt w:val="bullet"/>
      <w:lvlText w:val="•"/>
      <w:lvlJc w:val="left"/>
      <w:pPr>
        <w:tabs>
          <w:tab w:val="num" w:pos="2160"/>
        </w:tabs>
        <w:ind w:left="2160" w:hanging="360"/>
      </w:pPr>
      <w:rPr>
        <w:rFonts w:ascii="Arial" w:hAnsi="Arial" w:hint="default"/>
      </w:rPr>
    </w:lvl>
    <w:lvl w:ilvl="3" w:tplc="334C30DE" w:tentative="1">
      <w:start w:val="1"/>
      <w:numFmt w:val="bullet"/>
      <w:lvlText w:val="•"/>
      <w:lvlJc w:val="left"/>
      <w:pPr>
        <w:tabs>
          <w:tab w:val="num" w:pos="2880"/>
        </w:tabs>
        <w:ind w:left="2880" w:hanging="360"/>
      </w:pPr>
      <w:rPr>
        <w:rFonts w:ascii="Arial" w:hAnsi="Arial" w:hint="default"/>
      </w:rPr>
    </w:lvl>
    <w:lvl w:ilvl="4" w:tplc="2D846A6E" w:tentative="1">
      <w:start w:val="1"/>
      <w:numFmt w:val="bullet"/>
      <w:lvlText w:val="•"/>
      <w:lvlJc w:val="left"/>
      <w:pPr>
        <w:tabs>
          <w:tab w:val="num" w:pos="3600"/>
        </w:tabs>
        <w:ind w:left="3600" w:hanging="360"/>
      </w:pPr>
      <w:rPr>
        <w:rFonts w:ascii="Arial" w:hAnsi="Arial" w:hint="default"/>
      </w:rPr>
    </w:lvl>
    <w:lvl w:ilvl="5" w:tplc="7CA2C366" w:tentative="1">
      <w:start w:val="1"/>
      <w:numFmt w:val="bullet"/>
      <w:lvlText w:val="•"/>
      <w:lvlJc w:val="left"/>
      <w:pPr>
        <w:tabs>
          <w:tab w:val="num" w:pos="4320"/>
        </w:tabs>
        <w:ind w:left="4320" w:hanging="360"/>
      </w:pPr>
      <w:rPr>
        <w:rFonts w:ascii="Arial" w:hAnsi="Arial" w:hint="default"/>
      </w:rPr>
    </w:lvl>
    <w:lvl w:ilvl="6" w:tplc="C1C06736" w:tentative="1">
      <w:start w:val="1"/>
      <w:numFmt w:val="bullet"/>
      <w:lvlText w:val="•"/>
      <w:lvlJc w:val="left"/>
      <w:pPr>
        <w:tabs>
          <w:tab w:val="num" w:pos="5040"/>
        </w:tabs>
        <w:ind w:left="5040" w:hanging="360"/>
      </w:pPr>
      <w:rPr>
        <w:rFonts w:ascii="Arial" w:hAnsi="Arial" w:hint="default"/>
      </w:rPr>
    </w:lvl>
    <w:lvl w:ilvl="7" w:tplc="0A9EC1E8" w:tentative="1">
      <w:start w:val="1"/>
      <w:numFmt w:val="bullet"/>
      <w:lvlText w:val="•"/>
      <w:lvlJc w:val="left"/>
      <w:pPr>
        <w:tabs>
          <w:tab w:val="num" w:pos="5760"/>
        </w:tabs>
        <w:ind w:left="5760" w:hanging="360"/>
      </w:pPr>
      <w:rPr>
        <w:rFonts w:ascii="Arial" w:hAnsi="Arial" w:hint="default"/>
      </w:rPr>
    </w:lvl>
    <w:lvl w:ilvl="8" w:tplc="65A2775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5552254"/>
    <w:multiLevelType w:val="hybridMultilevel"/>
    <w:tmpl w:val="AB569A32"/>
    <w:lvl w:ilvl="0" w:tplc="DEEA46E2">
      <w:start w:val="1"/>
      <w:numFmt w:val="decimal"/>
      <w:lvlText w:val="(%1)"/>
      <w:lvlJc w:val="left"/>
      <w:pPr>
        <w:ind w:left="720" w:hanging="360"/>
      </w:pPr>
      <w:rPr>
        <w:rFonts w:hAnsi="Times New Roman"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47D31B45"/>
    <w:multiLevelType w:val="hybridMultilevel"/>
    <w:tmpl w:val="8BA01FB8"/>
    <w:lvl w:ilvl="0" w:tplc="DA884D44">
      <w:start w:val="1"/>
      <w:numFmt w:val="decimal"/>
      <w:lvlText w:val="(%1)"/>
      <w:lvlJc w:val="left"/>
      <w:pPr>
        <w:tabs>
          <w:tab w:val="num" w:pos="360"/>
        </w:tabs>
        <w:ind w:left="360" w:hanging="360"/>
      </w:pPr>
      <w:rPr>
        <w:rFonts w:cs="Times New Roman" w:hint="default"/>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12" w15:restartNumberingAfterBreak="0">
    <w:nsid w:val="6756113C"/>
    <w:multiLevelType w:val="hybridMultilevel"/>
    <w:tmpl w:val="30E8B1A4"/>
    <w:lvl w:ilvl="0" w:tplc="EBE656C8">
      <w:start w:val="1"/>
      <w:numFmt w:val="decimal"/>
      <w:lvlText w:val="(%1) "/>
      <w:lvlJc w:val="left"/>
      <w:pPr>
        <w:tabs>
          <w:tab w:val="num" w:pos="480"/>
        </w:tabs>
        <w:ind w:left="480" w:hanging="480"/>
      </w:pPr>
      <w:rPr>
        <w:rFonts w:cs="Times New Roman" w:hint="eastAsia"/>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13" w15:restartNumberingAfterBreak="0">
    <w:nsid w:val="6FE0445B"/>
    <w:multiLevelType w:val="hybridMultilevel"/>
    <w:tmpl w:val="3702D13E"/>
    <w:lvl w:ilvl="0" w:tplc="C3148824">
      <w:start w:val="1"/>
      <w:numFmt w:val="bullet"/>
      <w:lvlText w:val="•"/>
      <w:lvlJc w:val="left"/>
      <w:pPr>
        <w:tabs>
          <w:tab w:val="num" w:pos="720"/>
        </w:tabs>
        <w:ind w:left="720" w:hanging="360"/>
      </w:pPr>
      <w:rPr>
        <w:rFonts w:ascii="新細明體" w:eastAsia="新細明體" w:hint="default"/>
      </w:rPr>
    </w:lvl>
    <w:lvl w:ilvl="1" w:tplc="6DF0311C" w:tentative="1">
      <w:start w:val="1"/>
      <w:numFmt w:val="bullet"/>
      <w:lvlText w:val="•"/>
      <w:lvlJc w:val="left"/>
      <w:pPr>
        <w:tabs>
          <w:tab w:val="num" w:pos="1440"/>
        </w:tabs>
        <w:ind w:left="1440" w:hanging="360"/>
      </w:pPr>
      <w:rPr>
        <w:rFonts w:ascii="新細明體" w:eastAsia="新細明體" w:hint="default"/>
      </w:rPr>
    </w:lvl>
    <w:lvl w:ilvl="2" w:tplc="6D92E4E0" w:tentative="1">
      <w:start w:val="1"/>
      <w:numFmt w:val="bullet"/>
      <w:lvlText w:val="•"/>
      <w:lvlJc w:val="left"/>
      <w:pPr>
        <w:tabs>
          <w:tab w:val="num" w:pos="2160"/>
        </w:tabs>
        <w:ind w:left="2160" w:hanging="360"/>
      </w:pPr>
      <w:rPr>
        <w:rFonts w:ascii="新細明體" w:eastAsia="新細明體" w:hint="default"/>
      </w:rPr>
    </w:lvl>
    <w:lvl w:ilvl="3" w:tplc="E0D85150" w:tentative="1">
      <w:start w:val="1"/>
      <w:numFmt w:val="bullet"/>
      <w:lvlText w:val="•"/>
      <w:lvlJc w:val="left"/>
      <w:pPr>
        <w:tabs>
          <w:tab w:val="num" w:pos="2880"/>
        </w:tabs>
        <w:ind w:left="2880" w:hanging="360"/>
      </w:pPr>
      <w:rPr>
        <w:rFonts w:ascii="新細明體" w:eastAsia="新細明體" w:hint="default"/>
      </w:rPr>
    </w:lvl>
    <w:lvl w:ilvl="4" w:tplc="F97CB814" w:tentative="1">
      <w:start w:val="1"/>
      <w:numFmt w:val="bullet"/>
      <w:lvlText w:val="•"/>
      <w:lvlJc w:val="left"/>
      <w:pPr>
        <w:tabs>
          <w:tab w:val="num" w:pos="3600"/>
        </w:tabs>
        <w:ind w:left="3600" w:hanging="360"/>
      </w:pPr>
      <w:rPr>
        <w:rFonts w:ascii="新細明體" w:eastAsia="新細明體" w:hint="default"/>
      </w:rPr>
    </w:lvl>
    <w:lvl w:ilvl="5" w:tplc="75BC275C" w:tentative="1">
      <w:start w:val="1"/>
      <w:numFmt w:val="bullet"/>
      <w:lvlText w:val="•"/>
      <w:lvlJc w:val="left"/>
      <w:pPr>
        <w:tabs>
          <w:tab w:val="num" w:pos="4320"/>
        </w:tabs>
        <w:ind w:left="4320" w:hanging="360"/>
      </w:pPr>
      <w:rPr>
        <w:rFonts w:ascii="新細明體" w:eastAsia="新細明體" w:hint="default"/>
      </w:rPr>
    </w:lvl>
    <w:lvl w:ilvl="6" w:tplc="7834C3BA" w:tentative="1">
      <w:start w:val="1"/>
      <w:numFmt w:val="bullet"/>
      <w:lvlText w:val="•"/>
      <w:lvlJc w:val="left"/>
      <w:pPr>
        <w:tabs>
          <w:tab w:val="num" w:pos="5040"/>
        </w:tabs>
        <w:ind w:left="5040" w:hanging="360"/>
      </w:pPr>
      <w:rPr>
        <w:rFonts w:ascii="新細明體" w:eastAsia="新細明體" w:hint="default"/>
      </w:rPr>
    </w:lvl>
    <w:lvl w:ilvl="7" w:tplc="52B44612" w:tentative="1">
      <w:start w:val="1"/>
      <w:numFmt w:val="bullet"/>
      <w:lvlText w:val="•"/>
      <w:lvlJc w:val="left"/>
      <w:pPr>
        <w:tabs>
          <w:tab w:val="num" w:pos="5760"/>
        </w:tabs>
        <w:ind w:left="5760" w:hanging="360"/>
      </w:pPr>
      <w:rPr>
        <w:rFonts w:ascii="新細明體" w:eastAsia="新細明體" w:hint="default"/>
      </w:rPr>
    </w:lvl>
    <w:lvl w:ilvl="8" w:tplc="74A8EF30" w:tentative="1">
      <w:start w:val="1"/>
      <w:numFmt w:val="bullet"/>
      <w:lvlText w:val="•"/>
      <w:lvlJc w:val="left"/>
      <w:pPr>
        <w:tabs>
          <w:tab w:val="num" w:pos="6480"/>
        </w:tabs>
        <w:ind w:left="6480" w:hanging="360"/>
      </w:pPr>
      <w:rPr>
        <w:rFonts w:ascii="新細明體" w:eastAsia="新細明體" w:hint="default"/>
      </w:rPr>
    </w:lvl>
  </w:abstractNum>
  <w:abstractNum w:abstractNumId="14" w15:restartNumberingAfterBreak="0">
    <w:nsid w:val="72B01D48"/>
    <w:multiLevelType w:val="hybridMultilevel"/>
    <w:tmpl w:val="246EF9CE"/>
    <w:lvl w:ilvl="0" w:tplc="0E32F048">
      <w:start w:val="1"/>
      <w:numFmt w:val="bullet"/>
      <w:lvlText w:val="•"/>
      <w:lvlJc w:val="left"/>
      <w:pPr>
        <w:tabs>
          <w:tab w:val="num" w:pos="720"/>
        </w:tabs>
        <w:ind w:left="720" w:hanging="360"/>
      </w:pPr>
      <w:rPr>
        <w:rFonts w:ascii="Verdana" w:hAnsi="Verdana" w:hint="default"/>
      </w:rPr>
    </w:lvl>
    <w:lvl w:ilvl="1" w:tplc="AD8C4B42">
      <w:start w:val="84"/>
      <w:numFmt w:val="bullet"/>
      <w:lvlText w:val="–"/>
      <w:lvlJc w:val="left"/>
      <w:pPr>
        <w:tabs>
          <w:tab w:val="num" w:pos="1440"/>
        </w:tabs>
        <w:ind w:left="1440" w:hanging="360"/>
      </w:pPr>
      <w:rPr>
        <w:rFonts w:ascii="Verdana" w:hAnsi="Verdana" w:hint="default"/>
      </w:rPr>
    </w:lvl>
    <w:lvl w:ilvl="2" w:tplc="913C2C22" w:tentative="1">
      <w:start w:val="1"/>
      <w:numFmt w:val="bullet"/>
      <w:lvlText w:val="•"/>
      <w:lvlJc w:val="left"/>
      <w:pPr>
        <w:tabs>
          <w:tab w:val="num" w:pos="2160"/>
        </w:tabs>
        <w:ind w:left="2160" w:hanging="360"/>
      </w:pPr>
      <w:rPr>
        <w:rFonts w:ascii="Verdana" w:hAnsi="Verdana" w:hint="default"/>
      </w:rPr>
    </w:lvl>
    <w:lvl w:ilvl="3" w:tplc="77CC2A2C" w:tentative="1">
      <w:start w:val="1"/>
      <w:numFmt w:val="bullet"/>
      <w:lvlText w:val="•"/>
      <w:lvlJc w:val="left"/>
      <w:pPr>
        <w:tabs>
          <w:tab w:val="num" w:pos="2880"/>
        </w:tabs>
        <w:ind w:left="2880" w:hanging="360"/>
      </w:pPr>
      <w:rPr>
        <w:rFonts w:ascii="Verdana" w:hAnsi="Verdana" w:hint="default"/>
      </w:rPr>
    </w:lvl>
    <w:lvl w:ilvl="4" w:tplc="57C8ED26" w:tentative="1">
      <w:start w:val="1"/>
      <w:numFmt w:val="bullet"/>
      <w:lvlText w:val="•"/>
      <w:lvlJc w:val="left"/>
      <w:pPr>
        <w:tabs>
          <w:tab w:val="num" w:pos="3600"/>
        </w:tabs>
        <w:ind w:left="3600" w:hanging="360"/>
      </w:pPr>
      <w:rPr>
        <w:rFonts w:ascii="Verdana" w:hAnsi="Verdana" w:hint="default"/>
      </w:rPr>
    </w:lvl>
    <w:lvl w:ilvl="5" w:tplc="4C4A2EAA" w:tentative="1">
      <w:start w:val="1"/>
      <w:numFmt w:val="bullet"/>
      <w:lvlText w:val="•"/>
      <w:lvlJc w:val="left"/>
      <w:pPr>
        <w:tabs>
          <w:tab w:val="num" w:pos="4320"/>
        </w:tabs>
        <w:ind w:left="4320" w:hanging="360"/>
      </w:pPr>
      <w:rPr>
        <w:rFonts w:ascii="Verdana" w:hAnsi="Verdana" w:hint="default"/>
      </w:rPr>
    </w:lvl>
    <w:lvl w:ilvl="6" w:tplc="7C381644" w:tentative="1">
      <w:start w:val="1"/>
      <w:numFmt w:val="bullet"/>
      <w:lvlText w:val="•"/>
      <w:lvlJc w:val="left"/>
      <w:pPr>
        <w:tabs>
          <w:tab w:val="num" w:pos="5040"/>
        </w:tabs>
        <w:ind w:left="5040" w:hanging="360"/>
      </w:pPr>
      <w:rPr>
        <w:rFonts w:ascii="Verdana" w:hAnsi="Verdana" w:hint="default"/>
      </w:rPr>
    </w:lvl>
    <w:lvl w:ilvl="7" w:tplc="8550CDDA" w:tentative="1">
      <w:start w:val="1"/>
      <w:numFmt w:val="bullet"/>
      <w:lvlText w:val="•"/>
      <w:lvlJc w:val="left"/>
      <w:pPr>
        <w:tabs>
          <w:tab w:val="num" w:pos="5760"/>
        </w:tabs>
        <w:ind w:left="5760" w:hanging="360"/>
      </w:pPr>
      <w:rPr>
        <w:rFonts w:ascii="Verdana" w:hAnsi="Verdana" w:hint="default"/>
      </w:rPr>
    </w:lvl>
    <w:lvl w:ilvl="8" w:tplc="A43896EE" w:tentative="1">
      <w:start w:val="1"/>
      <w:numFmt w:val="bullet"/>
      <w:lvlText w:val="•"/>
      <w:lvlJc w:val="left"/>
      <w:pPr>
        <w:tabs>
          <w:tab w:val="num" w:pos="6480"/>
        </w:tabs>
        <w:ind w:left="6480" w:hanging="360"/>
      </w:pPr>
      <w:rPr>
        <w:rFonts w:ascii="Verdana" w:hAnsi="Verdana" w:hint="default"/>
      </w:rPr>
    </w:lvl>
  </w:abstractNum>
  <w:abstractNum w:abstractNumId="15" w15:restartNumberingAfterBreak="0">
    <w:nsid w:val="74A818E7"/>
    <w:multiLevelType w:val="hybridMultilevel"/>
    <w:tmpl w:val="3C88AD7E"/>
    <w:lvl w:ilvl="0" w:tplc="945AE2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6EE6293"/>
    <w:multiLevelType w:val="hybridMultilevel"/>
    <w:tmpl w:val="43FC8558"/>
    <w:lvl w:ilvl="0" w:tplc="806ADF4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7A987394"/>
    <w:multiLevelType w:val="hybridMultilevel"/>
    <w:tmpl w:val="76BA308C"/>
    <w:lvl w:ilvl="0" w:tplc="0F161536">
      <w:start w:val="1"/>
      <w:numFmt w:val="decimal"/>
      <w:lvlText w:val="%1."/>
      <w:lvlJc w:val="left"/>
      <w:pPr>
        <w:ind w:left="360" w:hanging="36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E2823C4"/>
    <w:multiLevelType w:val="hybridMultilevel"/>
    <w:tmpl w:val="BBF06758"/>
    <w:lvl w:ilvl="0" w:tplc="1A6AAD32">
      <w:start w:val="1"/>
      <w:numFmt w:val="bullet"/>
      <w:lvlText w:val="•"/>
      <w:lvlJc w:val="left"/>
      <w:pPr>
        <w:tabs>
          <w:tab w:val="num" w:pos="720"/>
        </w:tabs>
        <w:ind w:left="720" w:hanging="360"/>
      </w:pPr>
      <w:rPr>
        <w:rFonts w:ascii="Verdana" w:hAnsi="Verdana" w:hint="default"/>
      </w:rPr>
    </w:lvl>
    <w:lvl w:ilvl="1" w:tplc="FBCAF8C0">
      <w:start w:val="84"/>
      <w:numFmt w:val="bullet"/>
      <w:lvlText w:val="–"/>
      <w:lvlJc w:val="left"/>
      <w:pPr>
        <w:tabs>
          <w:tab w:val="num" w:pos="1440"/>
        </w:tabs>
        <w:ind w:left="1440" w:hanging="360"/>
      </w:pPr>
      <w:rPr>
        <w:rFonts w:ascii="Verdana" w:hAnsi="Verdana" w:hint="default"/>
      </w:rPr>
    </w:lvl>
    <w:lvl w:ilvl="2" w:tplc="6FA22860" w:tentative="1">
      <w:start w:val="1"/>
      <w:numFmt w:val="bullet"/>
      <w:lvlText w:val="•"/>
      <w:lvlJc w:val="left"/>
      <w:pPr>
        <w:tabs>
          <w:tab w:val="num" w:pos="2160"/>
        </w:tabs>
        <w:ind w:left="2160" w:hanging="360"/>
      </w:pPr>
      <w:rPr>
        <w:rFonts w:ascii="Verdana" w:hAnsi="Verdana" w:hint="default"/>
      </w:rPr>
    </w:lvl>
    <w:lvl w:ilvl="3" w:tplc="77BE2B06" w:tentative="1">
      <w:start w:val="1"/>
      <w:numFmt w:val="bullet"/>
      <w:lvlText w:val="•"/>
      <w:lvlJc w:val="left"/>
      <w:pPr>
        <w:tabs>
          <w:tab w:val="num" w:pos="2880"/>
        </w:tabs>
        <w:ind w:left="2880" w:hanging="360"/>
      </w:pPr>
      <w:rPr>
        <w:rFonts w:ascii="Verdana" w:hAnsi="Verdana" w:hint="default"/>
      </w:rPr>
    </w:lvl>
    <w:lvl w:ilvl="4" w:tplc="FE521380" w:tentative="1">
      <w:start w:val="1"/>
      <w:numFmt w:val="bullet"/>
      <w:lvlText w:val="•"/>
      <w:lvlJc w:val="left"/>
      <w:pPr>
        <w:tabs>
          <w:tab w:val="num" w:pos="3600"/>
        </w:tabs>
        <w:ind w:left="3600" w:hanging="360"/>
      </w:pPr>
      <w:rPr>
        <w:rFonts w:ascii="Verdana" w:hAnsi="Verdana" w:hint="default"/>
      </w:rPr>
    </w:lvl>
    <w:lvl w:ilvl="5" w:tplc="702011EE" w:tentative="1">
      <w:start w:val="1"/>
      <w:numFmt w:val="bullet"/>
      <w:lvlText w:val="•"/>
      <w:lvlJc w:val="left"/>
      <w:pPr>
        <w:tabs>
          <w:tab w:val="num" w:pos="4320"/>
        </w:tabs>
        <w:ind w:left="4320" w:hanging="360"/>
      </w:pPr>
      <w:rPr>
        <w:rFonts w:ascii="Verdana" w:hAnsi="Verdana" w:hint="default"/>
      </w:rPr>
    </w:lvl>
    <w:lvl w:ilvl="6" w:tplc="2DD48294" w:tentative="1">
      <w:start w:val="1"/>
      <w:numFmt w:val="bullet"/>
      <w:lvlText w:val="•"/>
      <w:lvlJc w:val="left"/>
      <w:pPr>
        <w:tabs>
          <w:tab w:val="num" w:pos="5040"/>
        </w:tabs>
        <w:ind w:left="5040" w:hanging="360"/>
      </w:pPr>
      <w:rPr>
        <w:rFonts w:ascii="Verdana" w:hAnsi="Verdana" w:hint="default"/>
      </w:rPr>
    </w:lvl>
    <w:lvl w:ilvl="7" w:tplc="E7462BDE" w:tentative="1">
      <w:start w:val="1"/>
      <w:numFmt w:val="bullet"/>
      <w:lvlText w:val="•"/>
      <w:lvlJc w:val="left"/>
      <w:pPr>
        <w:tabs>
          <w:tab w:val="num" w:pos="5760"/>
        </w:tabs>
        <w:ind w:left="5760" w:hanging="360"/>
      </w:pPr>
      <w:rPr>
        <w:rFonts w:ascii="Verdana" w:hAnsi="Verdana" w:hint="default"/>
      </w:rPr>
    </w:lvl>
    <w:lvl w:ilvl="8" w:tplc="3EAE1662" w:tentative="1">
      <w:start w:val="1"/>
      <w:numFmt w:val="bullet"/>
      <w:lvlText w:val="•"/>
      <w:lvlJc w:val="left"/>
      <w:pPr>
        <w:tabs>
          <w:tab w:val="num" w:pos="6480"/>
        </w:tabs>
        <w:ind w:left="6480" w:hanging="360"/>
      </w:pPr>
      <w:rPr>
        <w:rFonts w:ascii="Verdana" w:hAnsi="Verdana" w:hint="default"/>
      </w:rPr>
    </w:lvl>
  </w:abstractNum>
  <w:num w:numId="1">
    <w:abstractNumId w:val="2"/>
  </w:num>
  <w:num w:numId="2">
    <w:abstractNumId w:val="5"/>
  </w:num>
  <w:num w:numId="3">
    <w:abstractNumId w:val="0"/>
  </w:num>
  <w:num w:numId="4">
    <w:abstractNumId w:val="8"/>
  </w:num>
  <w:num w:numId="5">
    <w:abstractNumId w:val="13"/>
  </w:num>
  <w:num w:numId="6">
    <w:abstractNumId w:val="12"/>
  </w:num>
  <w:num w:numId="7">
    <w:abstractNumId w:val="3"/>
  </w:num>
  <w:num w:numId="8">
    <w:abstractNumId w:val="11"/>
  </w:num>
  <w:num w:numId="9">
    <w:abstractNumId w:val="14"/>
  </w:num>
  <w:num w:numId="10">
    <w:abstractNumId w:val="7"/>
  </w:num>
  <w:num w:numId="11">
    <w:abstractNumId w:val="18"/>
  </w:num>
  <w:num w:numId="12">
    <w:abstractNumId w:val="9"/>
  </w:num>
  <w:num w:numId="13">
    <w:abstractNumId w:val="1"/>
  </w:num>
  <w:num w:numId="14">
    <w:abstractNumId w:val="6"/>
  </w:num>
  <w:num w:numId="15">
    <w:abstractNumId w:val="15"/>
  </w:num>
  <w:num w:numId="16">
    <w:abstractNumId w:val="4"/>
  </w:num>
  <w:num w:numId="17">
    <w:abstractNumId w:val="16"/>
  </w:num>
  <w:num w:numId="18">
    <w:abstractNumId w:val="10"/>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80"/>
  <w:drawingGridHorizontalSpacing w:val="120"/>
  <w:displayHorizontalDrawingGridEvery w:val="0"/>
  <w:displayVerticalDrawingGridEvery w:val="2"/>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879"/>
    <w:rsid w:val="000019B6"/>
    <w:rsid w:val="00004314"/>
    <w:rsid w:val="00006A97"/>
    <w:rsid w:val="00033699"/>
    <w:rsid w:val="0003769E"/>
    <w:rsid w:val="00050B5D"/>
    <w:rsid w:val="00064178"/>
    <w:rsid w:val="0008133C"/>
    <w:rsid w:val="000D686B"/>
    <w:rsid w:val="00106803"/>
    <w:rsid w:val="00106F87"/>
    <w:rsid w:val="0010792B"/>
    <w:rsid w:val="0014015C"/>
    <w:rsid w:val="00141D3E"/>
    <w:rsid w:val="00142C5C"/>
    <w:rsid w:val="001503B9"/>
    <w:rsid w:val="00165627"/>
    <w:rsid w:val="00181788"/>
    <w:rsid w:val="00192A84"/>
    <w:rsid w:val="001A4FCE"/>
    <w:rsid w:val="001A61A4"/>
    <w:rsid w:val="001B0EED"/>
    <w:rsid w:val="001B5B8C"/>
    <w:rsid w:val="001C31CD"/>
    <w:rsid w:val="001C564B"/>
    <w:rsid w:val="001D0910"/>
    <w:rsid w:val="0021690A"/>
    <w:rsid w:val="00232593"/>
    <w:rsid w:val="00252F56"/>
    <w:rsid w:val="00254530"/>
    <w:rsid w:val="00256C55"/>
    <w:rsid w:val="002575D4"/>
    <w:rsid w:val="002632D6"/>
    <w:rsid w:val="00273D5D"/>
    <w:rsid w:val="002A06E3"/>
    <w:rsid w:val="002F006C"/>
    <w:rsid w:val="00300457"/>
    <w:rsid w:val="00303E3C"/>
    <w:rsid w:val="0031156A"/>
    <w:rsid w:val="00313370"/>
    <w:rsid w:val="0033565E"/>
    <w:rsid w:val="00374692"/>
    <w:rsid w:val="003801F9"/>
    <w:rsid w:val="00392CA4"/>
    <w:rsid w:val="003A32C7"/>
    <w:rsid w:val="003A4B06"/>
    <w:rsid w:val="003C7559"/>
    <w:rsid w:val="003D6B5E"/>
    <w:rsid w:val="003E6EC9"/>
    <w:rsid w:val="003F1C42"/>
    <w:rsid w:val="003F6E6C"/>
    <w:rsid w:val="00400B3D"/>
    <w:rsid w:val="00402E8D"/>
    <w:rsid w:val="00414EA3"/>
    <w:rsid w:val="00427DAA"/>
    <w:rsid w:val="00434E1C"/>
    <w:rsid w:val="004364BD"/>
    <w:rsid w:val="00465C76"/>
    <w:rsid w:val="00467013"/>
    <w:rsid w:val="00471FEC"/>
    <w:rsid w:val="00490FAB"/>
    <w:rsid w:val="004913A3"/>
    <w:rsid w:val="00491DDF"/>
    <w:rsid w:val="00492588"/>
    <w:rsid w:val="00496F4E"/>
    <w:rsid w:val="004A797E"/>
    <w:rsid w:val="004B5323"/>
    <w:rsid w:val="004B53B1"/>
    <w:rsid w:val="004C30D4"/>
    <w:rsid w:val="004D4003"/>
    <w:rsid w:val="004E2669"/>
    <w:rsid w:val="004E5A79"/>
    <w:rsid w:val="004F4A6B"/>
    <w:rsid w:val="00511B95"/>
    <w:rsid w:val="00520EC8"/>
    <w:rsid w:val="00524B4B"/>
    <w:rsid w:val="00530B93"/>
    <w:rsid w:val="00571536"/>
    <w:rsid w:val="00577B2A"/>
    <w:rsid w:val="00587456"/>
    <w:rsid w:val="005C58B0"/>
    <w:rsid w:val="005D342B"/>
    <w:rsid w:val="005D4FE1"/>
    <w:rsid w:val="005D6EEA"/>
    <w:rsid w:val="005E0E58"/>
    <w:rsid w:val="006054B2"/>
    <w:rsid w:val="0062684B"/>
    <w:rsid w:val="006330BD"/>
    <w:rsid w:val="00635DB9"/>
    <w:rsid w:val="0063772A"/>
    <w:rsid w:val="00637A85"/>
    <w:rsid w:val="00652E84"/>
    <w:rsid w:val="0065454C"/>
    <w:rsid w:val="00656BB5"/>
    <w:rsid w:val="00661ACC"/>
    <w:rsid w:val="0067143F"/>
    <w:rsid w:val="00683FE6"/>
    <w:rsid w:val="006954D9"/>
    <w:rsid w:val="006C1E6A"/>
    <w:rsid w:val="006F657A"/>
    <w:rsid w:val="006F6E77"/>
    <w:rsid w:val="007043D8"/>
    <w:rsid w:val="00707CFE"/>
    <w:rsid w:val="007308FF"/>
    <w:rsid w:val="00751A21"/>
    <w:rsid w:val="0075549E"/>
    <w:rsid w:val="00756FB7"/>
    <w:rsid w:val="00761318"/>
    <w:rsid w:val="0077699F"/>
    <w:rsid w:val="007B5C6C"/>
    <w:rsid w:val="007C1A15"/>
    <w:rsid w:val="007D218B"/>
    <w:rsid w:val="007D5FD1"/>
    <w:rsid w:val="007E00B5"/>
    <w:rsid w:val="007F1CB1"/>
    <w:rsid w:val="00821C9D"/>
    <w:rsid w:val="00823B7B"/>
    <w:rsid w:val="008251BB"/>
    <w:rsid w:val="00870786"/>
    <w:rsid w:val="008B0CBB"/>
    <w:rsid w:val="008B240B"/>
    <w:rsid w:val="008C2903"/>
    <w:rsid w:val="008C597D"/>
    <w:rsid w:val="008E5DC6"/>
    <w:rsid w:val="00940BCC"/>
    <w:rsid w:val="00941988"/>
    <w:rsid w:val="009454A6"/>
    <w:rsid w:val="009520A3"/>
    <w:rsid w:val="009534B3"/>
    <w:rsid w:val="009849F6"/>
    <w:rsid w:val="00986193"/>
    <w:rsid w:val="009A2EE4"/>
    <w:rsid w:val="009B7CE1"/>
    <w:rsid w:val="009C7B20"/>
    <w:rsid w:val="009F0EE6"/>
    <w:rsid w:val="00A118D0"/>
    <w:rsid w:val="00A131BE"/>
    <w:rsid w:val="00A25F20"/>
    <w:rsid w:val="00A424B3"/>
    <w:rsid w:val="00A43EAF"/>
    <w:rsid w:val="00A5354B"/>
    <w:rsid w:val="00A56147"/>
    <w:rsid w:val="00A632C2"/>
    <w:rsid w:val="00A649F0"/>
    <w:rsid w:val="00A66945"/>
    <w:rsid w:val="00A8286A"/>
    <w:rsid w:val="00A97879"/>
    <w:rsid w:val="00AB2AB8"/>
    <w:rsid w:val="00AB2CDA"/>
    <w:rsid w:val="00AB4266"/>
    <w:rsid w:val="00AB7A15"/>
    <w:rsid w:val="00AB7E15"/>
    <w:rsid w:val="00B359CA"/>
    <w:rsid w:val="00B415D4"/>
    <w:rsid w:val="00B50D13"/>
    <w:rsid w:val="00B94084"/>
    <w:rsid w:val="00BA0659"/>
    <w:rsid w:val="00BD18C7"/>
    <w:rsid w:val="00BE44BF"/>
    <w:rsid w:val="00BF1B21"/>
    <w:rsid w:val="00C54889"/>
    <w:rsid w:val="00C55DD0"/>
    <w:rsid w:val="00C6664B"/>
    <w:rsid w:val="00C71B37"/>
    <w:rsid w:val="00C725FA"/>
    <w:rsid w:val="00CA4A0A"/>
    <w:rsid w:val="00D159D7"/>
    <w:rsid w:val="00D43421"/>
    <w:rsid w:val="00D52BE0"/>
    <w:rsid w:val="00DC2A29"/>
    <w:rsid w:val="00DD4DEE"/>
    <w:rsid w:val="00DF3FB8"/>
    <w:rsid w:val="00DF5F5C"/>
    <w:rsid w:val="00E11EB7"/>
    <w:rsid w:val="00E121A3"/>
    <w:rsid w:val="00E16F37"/>
    <w:rsid w:val="00E32B82"/>
    <w:rsid w:val="00E43FAE"/>
    <w:rsid w:val="00E81CAF"/>
    <w:rsid w:val="00EA0FDD"/>
    <w:rsid w:val="00EA65F5"/>
    <w:rsid w:val="00EB0198"/>
    <w:rsid w:val="00EC509D"/>
    <w:rsid w:val="00ED0A35"/>
    <w:rsid w:val="00ED39AE"/>
    <w:rsid w:val="00ED745F"/>
    <w:rsid w:val="00EE5ADE"/>
    <w:rsid w:val="00F46E53"/>
    <w:rsid w:val="00F512D2"/>
    <w:rsid w:val="00F53236"/>
    <w:rsid w:val="00F63A62"/>
    <w:rsid w:val="00F64E95"/>
    <w:rsid w:val="00F65FE7"/>
    <w:rsid w:val="00F71EC6"/>
    <w:rsid w:val="00F83D7E"/>
    <w:rsid w:val="00F85A8D"/>
    <w:rsid w:val="00FC5630"/>
    <w:rsid w:val="00FD648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330673"/>
  <w15:docId w15:val="{5317857F-DA8E-4E38-9A5A-C07825D9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6B5E"/>
    <w:pPr>
      <w:widowControl w:val="0"/>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A97879"/>
    <w:pPr>
      <w:ind w:leftChars="200" w:left="480"/>
    </w:pPr>
  </w:style>
  <w:style w:type="paragraph" w:styleId="a4">
    <w:name w:val="footer"/>
    <w:basedOn w:val="a"/>
    <w:link w:val="a5"/>
    <w:uiPriority w:val="99"/>
    <w:rsid w:val="00A56147"/>
    <w:pPr>
      <w:tabs>
        <w:tab w:val="center" w:pos="4153"/>
        <w:tab w:val="right" w:pos="8306"/>
      </w:tabs>
      <w:snapToGrid w:val="0"/>
    </w:pPr>
    <w:rPr>
      <w:sz w:val="20"/>
      <w:szCs w:val="20"/>
    </w:rPr>
  </w:style>
  <w:style w:type="character" w:customStyle="1" w:styleId="a5">
    <w:name w:val="頁尾 字元"/>
    <w:link w:val="a4"/>
    <w:uiPriority w:val="99"/>
    <w:semiHidden/>
    <w:locked/>
    <w:rPr>
      <w:rFonts w:cs="Times New Roman"/>
      <w:sz w:val="20"/>
      <w:szCs w:val="20"/>
    </w:rPr>
  </w:style>
  <w:style w:type="character" w:styleId="a6">
    <w:name w:val="page number"/>
    <w:uiPriority w:val="99"/>
    <w:rsid w:val="00A56147"/>
    <w:rPr>
      <w:rFonts w:cs="Times New Roman"/>
    </w:rPr>
  </w:style>
  <w:style w:type="paragraph" w:styleId="a7">
    <w:name w:val="header"/>
    <w:basedOn w:val="a"/>
    <w:link w:val="a8"/>
    <w:uiPriority w:val="99"/>
    <w:unhideWhenUsed/>
    <w:rsid w:val="0065454C"/>
    <w:pPr>
      <w:tabs>
        <w:tab w:val="center" w:pos="4153"/>
        <w:tab w:val="right" w:pos="8306"/>
      </w:tabs>
      <w:snapToGrid w:val="0"/>
    </w:pPr>
    <w:rPr>
      <w:sz w:val="20"/>
      <w:szCs w:val="20"/>
    </w:rPr>
  </w:style>
  <w:style w:type="character" w:customStyle="1" w:styleId="a8">
    <w:name w:val="頁首 字元"/>
    <w:link w:val="a7"/>
    <w:uiPriority w:val="99"/>
    <w:rsid w:val="0065454C"/>
    <w:rPr>
      <w:sz w:val="20"/>
      <w:szCs w:val="20"/>
    </w:rPr>
  </w:style>
  <w:style w:type="paragraph" w:styleId="a9">
    <w:name w:val="Balloon Text"/>
    <w:basedOn w:val="a"/>
    <w:link w:val="aa"/>
    <w:uiPriority w:val="99"/>
    <w:semiHidden/>
    <w:unhideWhenUsed/>
    <w:rsid w:val="00471FEC"/>
    <w:rPr>
      <w:rFonts w:ascii="Cambria" w:hAnsi="Cambria"/>
      <w:sz w:val="18"/>
      <w:szCs w:val="18"/>
    </w:rPr>
  </w:style>
  <w:style w:type="character" w:customStyle="1" w:styleId="aa">
    <w:name w:val="註解方塊文字 字元"/>
    <w:link w:val="a9"/>
    <w:uiPriority w:val="99"/>
    <w:semiHidden/>
    <w:rsid w:val="00471FEC"/>
    <w:rPr>
      <w:rFonts w:ascii="Cambria" w:eastAsia="新細明體" w:hAnsi="Cambria" w:cs="Times New Roman"/>
      <w:sz w:val="18"/>
      <w:szCs w:val="18"/>
    </w:rPr>
  </w:style>
  <w:style w:type="character" w:styleId="ab">
    <w:name w:val="Placeholder Text"/>
    <w:basedOn w:val="a0"/>
    <w:uiPriority w:val="99"/>
    <w:semiHidden/>
    <w:rsid w:val="00AB2CDA"/>
    <w:rPr>
      <w:color w:val="808080"/>
    </w:rPr>
  </w:style>
  <w:style w:type="paragraph" w:customStyle="1" w:styleId="Default">
    <w:name w:val="Default"/>
    <w:rsid w:val="00C725FA"/>
    <w:pPr>
      <w:autoSpaceDE w:val="0"/>
      <w:autoSpaceDN w:val="0"/>
      <w:adjustRightInd w:val="0"/>
    </w:pPr>
    <w:rPr>
      <w:rFonts w:cs="Calibri"/>
      <w:color w:val="000000"/>
      <w:sz w:val="24"/>
      <w:szCs w:val="24"/>
    </w:rPr>
  </w:style>
  <w:style w:type="character" w:styleId="ac">
    <w:name w:val="Hyperlink"/>
    <w:basedOn w:val="a0"/>
    <w:uiPriority w:val="99"/>
    <w:unhideWhenUsed/>
    <w:rsid w:val="00761318"/>
    <w:rPr>
      <w:color w:val="0000FF" w:themeColor="hyperlink"/>
      <w:u w:val="single"/>
    </w:rPr>
  </w:style>
  <w:style w:type="character" w:styleId="ad">
    <w:name w:val="Unresolved Mention"/>
    <w:basedOn w:val="a0"/>
    <w:uiPriority w:val="99"/>
    <w:semiHidden/>
    <w:unhideWhenUsed/>
    <w:rsid w:val="007613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3934">
      <w:bodyDiv w:val="1"/>
      <w:marLeft w:val="0"/>
      <w:marRight w:val="0"/>
      <w:marTop w:val="0"/>
      <w:marBottom w:val="0"/>
      <w:divBdr>
        <w:top w:val="none" w:sz="0" w:space="0" w:color="auto"/>
        <w:left w:val="none" w:sz="0" w:space="0" w:color="auto"/>
        <w:bottom w:val="none" w:sz="0" w:space="0" w:color="auto"/>
        <w:right w:val="none" w:sz="0" w:space="0" w:color="auto"/>
      </w:divBdr>
    </w:div>
    <w:div w:id="141000528">
      <w:bodyDiv w:val="1"/>
      <w:marLeft w:val="0"/>
      <w:marRight w:val="0"/>
      <w:marTop w:val="0"/>
      <w:marBottom w:val="0"/>
      <w:divBdr>
        <w:top w:val="none" w:sz="0" w:space="0" w:color="auto"/>
        <w:left w:val="none" w:sz="0" w:space="0" w:color="auto"/>
        <w:bottom w:val="none" w:sz="0" w:space="0" w:color="auto"/>
        <w:right w:val="none" w:sz="0" w:space="0" w:color="auto"/>
      </w:divBdr>
    </w:div>
    <w:div w:id="142042224">
      <w:bodyDiv w:val="1"/>
      <w:marLeft w:val="0"/>
      <w:marRight w:val="0"/>
      <w:marTop w:val="0"/>
      <w:marBottom w:val="0"/>
      <w:divBdr>
        <w:top w:val="none" w:sz="0" w:space="0" w:color="auto"/>
        <w:left w:val="none" w:sz="0" w:space="0" w:color="auto"/>
        <w:bottom w:val="none" w:sz="0" w:space="0" w:color="auto"/>
        <w:right w:val="none" w:sz="0" w:space="0" w:color="auto"/>
      </w:divBdr>
    </w:div>
    <w:div w:id="192230179">
      <w:bodyDiv w:val="1"/>
      <w:marLeft w:val="0"/>
      <w:marRight w:val="0"/>
      <w:marTop w:val="0"/>
      <w:marBottom w:val="0"/>
      <w:divBdr>
        <w:top w:val="none" w:sz="0" w:space="0" w:color="auto"/>
        <w:left w:val="none" w:sz="0" w:space="0" w:color="auto"/>
        <w:bottom w:val="none" w:sz="0" w:space="0" w:color="auto"/>
        <w:right w:val="none" w:sz="0" w:space="0" w:color="auto"/>
      </w:divBdr>
    </w:div>
    <w:div w:id="201358230">
      <w:marLeft w:val="0"/>
      <w:marRight w:val="0"/>
      <w:marTop w:val="0"/>
      <w:marBottom w:val="0"/>
      <w:divBdr>
        <w:top w:val="none" w:sz="0" w:space="0" w:color="auto"/>
        <w:left w:val="none" w:sz="0" w:space="0" w:color="auto"/>
        <w:bottom w:val="none" w:sz="0" w:space="0" w:color="auto"/>
        <w:right w:val="none" w:sz="0" w:space="0" w:color="auto"/>
      </w:divBdr>
      <w:divsChild>
        <w:div w:id="201358226">
          <w:marLeft w:val="547"/>
          <w:marRight w:val="0"/>
          <w:marTop w:val="0"/>
          <w:marBottom w:val="0"/>
          <w:divBdr>
            <w:top w:val="none" w:sz="0" w:space="0" w:color="auto"/>
            <w:left w:val="none" w:sz="0" w:space="0" w:color="auto"/>
            <w:bottom w:val="none" w:sz="0" w:space="0" w:color="auto"/>
            <w:right w:val="none" w:sz="0" w:space="0" w:color="auto"/>
          </w:divBdr>
        </w:div>
      </w:divsChild>
    </w:div>
    <w:div w:id="201358232">
      <w:marLeft w:val="0"/>
      <w:marRight w:val="0"/>
      <w:marTop w:val="0"/>
      <w:marBottom w:val="0"/>
      <w:divBdr>
        <w:top w:val="none" w:sz="0" w:space="0" w:color="auto"/>
        <w:left w:val="none" w:sz="0" w:space="0" w:color="auto"/>
        <w:bottom w:val="none" w:sz="0" w:space="0" w:color="auto"/>
        <w:right w:val="none" w:sz="0" w:space="0" w:color="auto"/>
      </w:divBdr>
      <w:divsChild>
        <w:div w:id="201358233">
          <w:marLeft w:val="1123"/>
          <w:marRight w:val="0"/>
          <w:marTop w:val="154"/>
          <w:marBottom w:val="0"/>
          <w:divBdr>
            <w:top w:val="none" w:sz="0" w:space="0" w:color="auto"/>
            <w:left w:val="none" w:sz="0" w:space="0" w:color="auto"/>
            <w:bottom w:val="none" w:sz="0" w:space="0" w:color="auto"/>
            <w:right w:val="none" w:sz="0" w:space="0" w:color="auto"/>
          </w:divBdr>
        </w:div>
      </w:divsChild>
    </w:div>
    <w:div w:id="201358235">
      <w:marLeft w:val="0"/>
      <w:marRight w:val="0"/>
      <w:marTop w:val="0"/>
      <w:marBottom w:val="0"/>
      <w:divBdr>
        <w:top w:val="none" w:sz="0" w:space="0" w:color="auto"/>
        <w:left w:val="none" w:sz="0" w:space="0" w:color="auto"/>
        <w:bottom w:val="none" w:sz="0" w:space="0" w:color="auto"/>
        <w:right w:val="none" w:sz="0" w:space="0" w:color="auto"/>
      </w:divBdr>
      <w:divsChild>
        <w:div w:id="201358229">
          <w:marLeft w:val="835"/>
          <w:marRight w:val="0"/>
          <w:marTop w:val="173"/>
          <w:marBottom w:val="0"/>
          <w:divBdr>
            <w:top w:val="none" w:sz="0" w:space="0" w:color="auto"/>
            <w:left w:val="none" w:sz="0" w:space="0" w:color="auto"/>
            <w:bottom w:val="none" w:sz="0" w:space="0" w:color="auto"/>
            <w:right w:val="none" w:sz="0" w:space="0" w:color="auto"/>
          </w:divBdr>
        </w:div>
      </w:divsChild>
    </w:div>
    <w:div w:id="201358236">
      <w:marLeft w:val="0"/>
      <w:marRight w:val="0"/>
      <w:marTop w:val="0"/>
      <w:marBottom w:val="0"/>
      <w:divBdr>
        <w:top w:val="none" w:sz="0" w:space="0" w:color="auto"/>
        <w:left w:val="none" w:sz="0" w:space="0" w:color="auto"/>
        <w:bottom w:val="none" w:sz="0" w:space="0" w:color="auto"/>
        <w:right w:val="none" w:sz="0" w:space="0" w:color="auto"/>
      </w:divBdr>
      <w:divsChild>
        <w:div w:id="201358231">
          <w:marLeft w:val="720"/>
          <w:marRight w:val="720"/>
          <w:marTop w:val="100"/>
          <w:marBottom w:val="100"/>
          <w:divBdr>
            <w:top w:val="none" w:sz="0" w:space="0" w:color="auto"/>
            <w:left w:val="none" w:sz="0" w:space="0" w:color="auto"/>
            <w:bottom w:val="none" w:sz="0" w:space="0" w:color="auto"/>
            <w:right w:val="none" w:sz="0" w:space="0" w:color="auto"/>
          </w:divBdr>
          <w:divsChild>
            <w:div w:id="201358234">
              <w:marLeft w:val="0"/>
              <w:marRight w:val="0"/>
              <w:marTop w:val="0"/>
              <w:marBottom w:val="0"/>
              <w:divBdr>
                <w:top w:val="none" w:sz="0" w:space="0" w:color="auto"/>
                <w:left w:val="none" w:sz="0" w:space="0" w:color="auto"/>
                <w:bottom w:val="none" w:sz="0" w:space="0" w:color="auto"/>
                <w:right w:val="none" w:sz="0" w:space="0" w:color="auto"/>
              </w:divBdr>
              <w:divsChild>
                <w:div w:id="201358228">
                  <w:marLeft w:val="0"/>
                  <w:marRight w:val="0"/>
                  <w:marTop w:val="0"/>
                  <w:marBottom w:val="0"/>
                  <w:divBdr>
                    <w:top w:val="none" w:sz="0" w:space="0" w:color="auto"/>
                    <w:left w:val="none" w:sz="0" w:space="0" w:color="auto"/>
                    <w:bottom w:val="none" w:sz="0" w:space="0" w:color="auto"/>
                    <w:right w:val="none" w:sz="0" w:space="0" w:color="auto"/>
                  </w:divBdr>
                  <w:divsChild>
                    <w:div w:id="201358227">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1358237">
      <w:marLeft w:val="0"/>
      <w:marRight w:val="0"/>
      <w:marTop w:val="0"/>
      <w:marBottom w:val="0"/>
      <w:divBdr>
        <w:top w:val="none" w:sz="0" w:space="0" w:color="auto"/>
        <w:left w:val="none" w:sz="0" w:space="0" w:color="auto"/>
        <w:bottom w:val="none" w:sz="0" w:space="0" w:color="auto"/>
        <w:right w:val="none" w:sz="0" w:space="0" w:color="auto"/>
      </w:divBdr>
      <w:divsChild>
        <w:div w:id="201358239">
          <w:marLeft w:val="0"/>
          <w:marRight w:val="0"/>
          <w:marTop w:val="0"/>
          <w:marBottom w:val="0"/>
          <w:divBdr>
            <w:top w:val="none" w:sz="0" w:space="0" w:color="auto"/>
            <w:left w:val="none" w:sz="0" w:space="0" w:color="auto"/>
            <w:bottom w:val="none" w:sz="0" w:space="0" w:color="auto"/>
            <w:right w:val="none" w:sz="0" w:space="0" w:color="auto"/>
          </w:divBdr>
        </w:div>
      </w:divsChild>
    </w:div>
    <w:div w:id="201358240">
      <w:marLeft w:val="0"/>
      <w:marRight w:val="0"/>
      <w:marTop w:val="0"/>
      <w:marBottom w:val="0"/>
      <w:divBdr>
        <w:top w:val="none" w:sz="0" w:space="0" w:color="auto"/>
        <w:left w:val="none" w:sz="0" w:space="0" w:color="auto"/>
        <w:bottom w:val="none" w:sz="0" w:space="0" w:color="auto"/>
        <w:right w:val="none" w:sz="0" w:space="0" w:color="auto"/>
      </w:divBdr>
      <w:divsChild>
        <w:div w:id="201358238">
          <w:marLeft w:val="0"/>
          <w:marRight w:val="0"/>
          <w:marTop w:val="0"/>
          <w:marBottom w:val="0"/>
          <w:divBdr>
            <w:top w:val="none" w:sz="0" w:space="0" w:color="auto"/>
            <w:left w:val="none" w:sz="0" w:space="0" w:color="auto"/>
            <w:bottom w:val="none" w:sz="0" w:space="0" w:color="auto"/>
            <w:right w:val="none" w:sz="0" w:space="0" w:color="auto"/>
          </w:divBdr>
        </w:div>
      </w:divsChild>
    </w:div>
    <w:div w:id="201358244">
      <w:marLeft w:val="0"/>
      <w:marRight w:val="0"/>
      <w:marTop w:val="0"/>
      <w:marBottom w:val="0"/>
      <w:divBdr>
        <w:top w:val="none" w:sz="0" w:space="0" w:color="auto"/>
        <w:left w:val="none" w:sz="0" w:space="0" w:color="auto"/>
        <w:bottom w:val="none" w:sz="0" w:space="0" w:color="auto"/>
        <w:right w:val="none" w:sz="0" w:space="0" w:color="auto"/>
      </w:divBdr>
      <w:divsChild>
        <w:div w:id="201358252">
          <w:marLeft w:val="0"/>
          <w:marRight w:val="0"/>
          <w:marTop w:val="0"/>
          <w:marBottom w:val="0"/>
          <w:divBdr>
            <w:top w:val="none" w:sz="0" w:space="0" w:color="auto"/>
            <w:left w:val="none" w:sz="0" w:space="0" w:color="auto"/>
            <w:bottom w:val="none" w:sz="0" w:space="0" w:color="auto"/>
            <w:right w:val="none" w:sz="0" w:space="0" w:color="auto"/>
          </w:divBdr>
        </w:div>
      </w:divsChild>
    </w:div>
    <w:div w:id="201358249">
      <w:marLeft w:val="0"/>
      <w:marRight w:val="0"/>
      <w:marTop w:val="0"/>
      <w:marBottom w:val="0"/>
      <w:divBdr>
        <w:top w:val="none" w:sz="0" w:space="0" w:color="auto"/>
        <w:left w:val="none" w:sz="0" w:space="0" w:color="auto"/>
        <w:bottom w:val="none" w:sz="0" w:space="0" w:color="auto"/>
        <w:right w:val="none" w:sz="0" w:space="0" w:color="auto"/>
      </w:divBdr>
      <w:divsChild>
        <w:div w:id="201358268">
          <w:marLeft w:val="0"/>
          <w:marRight w:val="0"/>
          <w:marTop w:val="0"/>
          <w:marBottom w:val="0"/>
          <w:divBdr>
            <w:top w:val="none" w:sz="0" w:space="0" w:color="auto"/>
            <w:left w:val="none" w:sz="0" w:space="0" w:color="auto"/>
            <w:bottom w:val="none" w:sz="0" w:space="0" w:color="auto"/>
            <w:right w:val="none" w:sz="0" w:space="0" w:color="auto"/>
          </w:divBdr>
          <w:divsChild>
            <w:div w:id="201358246">
              <w:marLeft w:val="0"/>
              <w:marRight w:val="0"/>
              <w:marTop w:val="0"/>
              <w:marBottom w:val="0"/>
              <w:divBdr>
                <w:top w:val="none" w:sz="0" w:space="0" w:color="auto"/>
                <w:left w:val="none" w:sz="0" w:space="0" w:color="auto"/>
                <w:bottom w:val="none" w:sz="0" w:space="0" w:color="auto"/>
                <w:right w:val="none" w:sz="0" w:space="0" w:color="auto"/>
              </w:divBdr>
            </w:div>
            <w:div w:id="201358247">
              <w:marLeft w:val="0"/>
              <w:marRight w:val="0"/>
              <w:marTop w:val="0"/>
              <w:marBottom w:val="0"/>
              <w:divBdr>
                <w:top w:val="none" w:sz="0" w:space="0" w:color="auto"/>
                <w:left w:val="none" w:sz="0" w:space="0" w:color="auto"/>
                <w:bottom w:val="none" w:sz="0" w:space="0" w:color="auto"/>
                <w:right w:val="none" w:sz="0" w:space="0" w:color="auto"/>
              </w:divBdr>
            </w:div>
            <w:div w:id="201358248">
              <w:marLeft w:val="0"/>
              <w:marRight w:val="0"/>
              <w:marTop w:val="0"/>
              <w:marBottom w:val="0"/>
              <w:divBdr>
                <w:top w:val="none" w:sz="0" w:space="0" w:color="auto"/>
                <w:left w:val="none" w:sz="0" w:space="0" w:color="auto"/>
                <w:bottom w:val="none" w:sz="0" w:space="0" w:color="auto"/>
                <w:right w:val="none" w:sz="0" w:space="0" w:color="auto"/>
              </w:divBdr>
            </w:div>
            <w:div w:id="201358260">
              <w:marLeft w:val="0"/>
              <w:marRight w:val="0"/>
              <w:marTop w:val="0"/>
              <w:marBottom w:val="0"/>
              <w:divBdr>
                <w:top w:val="none" w:sz="0" w:space="0" w:color="auto"/>
                <w:left w:val="none" w:sz="0" w:space="0" w:color="auto"/>
                <w:bottom w:val="none" w:sz="0" w:space="0" w:color="auto"/>
                <w:right w:val="none" w:sz="0" w:space="0" w:color="auto"/>
              </w:divBdr>
            </w:div>
            <w:div w:id="201358265">
              <w:marLeft w:val="0"/>
              <w:marRight w:val="0"/>
              <w:marTop w:val="0"/>
              <w:marBottom w:val="0"/>
              <w:divBdr>
                <w:top w:val="none" w:sz="0" w:space="0" w:color="auto"/>
                <w:left w:val="none" w:sz="0" w:space="0" w:color="auto"/>
                <w:bottom w:val="none" w:sz="0" w:space="0" w:color="auto"/>
                <w:right w:val="none" w:sz="0" w:space="0" w:color="auto"/>
              </w:divBdr>
            </w:div>
            <w:div w:id="2013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251">
      <w:marLeft w:val="0"/>
      <w:marRight w:val="0"/>
      <w:marTop w:val="0"/>
      <w:marBottom w:val="0"/>
      <w:divBdr>
        <w:top w:val="none" w:sz="0" w:space="0" w:color="auto"/>
        <w:left w:val="none" w:sz="0" w:space="0" w:color="auto"/>
        <w:bottom w:val="none" w:sz="0" w:space="0" w:color="auto"/>
        <w:right w:val="none" w:sz="0" w:space="0" w:color="auto"/>
      </w:divBdr>
      <w:divsChild>
        <w:div w:id="201358264">
          <w:marLeft w:val="0"/>
          <w:marRight w:val="0"/>
          <w:marTop w:val="0"/>
          <w:marBottom w:val="0"/>
          <w:divBdr>
            <w:top w:val="none" w:sz="0" w:space="0" w:color="auto"/>
            <w:left w:val="none" w:sz="0" w:space="0" w:color="auto"/>
            <w:bottom w:val="none" w:sz="0" w:space="0" w:color="auto"/>
            <w:right w:val="none" w:sz="0" w:space="0" w:color="auto"/>
          </w:divBdr>
          <w:divsChild>
            <w:div w:id="201358242">
              <w:marLeft w:val="0"/>
              <w:marRight w:val="0"/>
              <w:marTop w:val="0"/>
              <w:marBottom w:val="0"/>
              <w:divBdr>
                <w:top w:val="none" w:sz="0" w:space="0" w:color="auto"/>
                <w:left w:val="none" w:sz="0" w:space="0" w:color="auto"/>
                <w:bottom w:val="none" w:sz="0" w:space="0" w:color="auto"/>
                <w:right w:val="none" w:sz="0" w:space="0" w:color="auto"/>
              </w:divBdr>
            </w:div>
            <w:div w:id="201358243">
              <w:marLeft w:val="0"/>
              <w:marRight w:val="0"/>
              <w:marTop w:val="0"/>
              <w:marBottom w:val="0"/>
              <w:divBdr>
                <w:top w:val="none" w:sz="0" w:space="0" w:color="auto"/>
                <w:left w:val="none" w:sz="0" w:space="0" w:color="auto"/>
                <w:bottom w:val="none" w:sz="0" w:space="0" w:color="auto"/>
                <w:right w:val="none" w:sz="0" w:space="0" w:color="auto"/>
              </w:divBdr>
            </w:div>
            <w:div w:id="201358250">
              <w:marLeft w:val="0"/>
              <w:marRight w:val="0"/>
              <w:marTop w:val="0"/>
              <w:marBottom w:val="0"/>
              <w:divBdr>
                <w:top w:val="none" w:sz="0" w:space="0" w:color="auto"/>
                <w:left w:val="none" w:sz="0" w:space="0" w:color="auto"/>
                <w:bottom w:val="none" w:sz="0" w:space="0" w:color="auto"/>
                <w:right w:val="none" w:sz="0" w:space="0" w:color="auto"/>
              </w:divBdr>
            </w:div>
            <w:div w:id="201358256">
              <w:marLeft w:val="0"/>
              <w:marRight w:val="0"/>
              <w:marTop w:val="0"/>
              <w:marBottom w:val="0"/>
              <w:divBdr>
                <w:top w:val="none" w:sz="0" w:space="0" w:color="auto"/>
                <w:left w:val="none" w:sz="0" w:space="0" w:color="auto"/>
                <w:bottom w:val="none" w:sz="0" w:space="0" w:color="auto"/>
                <w:right w:val="none" w:sz="0" w:space="0" w:color="auto"/>
              </w:divBdr>
            </w:div>
            <w:div w:id="201358257">
              <w:marLeft w:val="0"/>
              <w:marRight w:val="0"/>
              <w:marTop w:val="0"/>
              <w:marBottom w:val="0"/>
              <w:divBdr>
                <w:top w:val="none" w:sz="0" w:space="0" w:color="auto"/>
                <w:left w:val="none" w:sz="0" w:space="0" w:color="auto"/>
                <w:bottom w:val="none" w:sz="0" w:space="0" w:color="auto"/>
                <w:right w:val="none" w:sz="0" w:space="0" w:color="auto"/>
              </w:divBdr>
            </w:div>
            <w:div w:id="20135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253">
      <w:marLeft w:val="0"/>
      <w:marRight w:val="0"/>
      <w:marTop w:val="0"/>
      <w:marBottom w:val="0"/>
      <w:divBdr>
        <w:top w:val="none" w:sz="0" w:space="0" w:color="auto"/>
        <w:left w:val="none" w:sz="0" w:space="0" w:color="auto"/>
        <w:bottom w:val="none" w:sz="0" w:space="0" w:color="auto"/>
        <w:right w:val="none" w:sz="0" w:space="0" w:color="auto"/>
      </w:divBdr>
      <w:divsChild>
        <w:div w:id="201358245">
          <w:marLeft w:val="0"/>
          <w:marRight w:val="0"/>
          <w:marTop w:val="0"/>
          <w:marBottom w:val="0"/>
          <w:divBdr>
            <w:top w:val="none" w:sz="0" w:space="0" w:color="auto"/>
            <w:left w:val="none" w:sz="0" w:space="0" w:color="auto"/>
            <w:bottom w:val="none" w:sz="0" w:space="0" w:color="auto"/>
            <w:right w:val="none" w:sz="0" w:space="0" w:color="auto"/>
          </w:divBdr>
        </w:div>
      </w:divsChild>
    </w:div>
    <w:div w:id="201358258">
      <w:marLeft w:val="0"/>
      <w:marRight w:val="0"/>
      <w:marTop w:val="0"/>
      <w:marBottom w:val="0"/>
      <w:divBdr>
        <w:top w:val="none" w:sz="0" w:space="0" w:color="auto"/>
        <w:left w:val="none" w:sz="0" w:space="0" w:color="auto"/>
        <w:bottom w:val="none" w:sz="0" w:space="0" w:color="auto"/>
        <w:right w:val="none" w:sz="0" w:space="0" w:color="auto"/>
      </w:divBdr>
      <w:divsChild>
        <w:div w:id="201358269">
          <w:marLeft w:val="0"/>
          <w:marRight w:val="0"/>
          <w:marTop w:val="0"/>
          <w:marBottom w:val="0"/>
          <w:divBdr>
            <w:top w:val="none" w:sz="0" w:space="0" w:color="auto"/>
            <w:left w:val="none" w:sz="0" w:space="0" w:color="auto"/>
            <w:bottom w:val="none" w:sz="0" w:space="0" w:color="auto"/>
            <w:right w:val="none" w:sz="0" w:space="0" w:color="auto"/>
          </w:divBdr>
        </w:div>
      </w:divsChild>
    </w:div>
    <w:div w:id="201358262">
      <w:marLeft w:val="0"/>
      <w:marRight w:val="0"/>
      <w:marTop w:val="0"/>
      <w:marBottom w:val="0"/>
      <w:divBdr>
        <w:top w:val="none" w:sz="0" w:space="0" w:color="auto"/>
        <w:left w:val="none" w:sz="0" w:space="0" w:color="auto"/>
        <w:bottom w:val="none" w:sz="0" w:space="0" w:color="auto"/>
        <w:right w:val="none" w:sz="0" w:space="0" w:color="auto"/>
      </w:divBdr>
      <w:divsChild>
        <w:div w:id="201358267">
          <w:marLeft w:val="0"/>
          <w:marRight w:val="0"/>
          <w:marTop w:val="0"/>
          <w:marBottom w:val="0"/>
          <w:divBdr>
            <w:top w:val="none" w:sz="0" w:space="0" w:color="auto"/>
            <w:left w:val="none" w:sz="0" w:space="0" w:color="auto"/>
            <w:bottom w:val="none" w:sz="0" w:space="0" w:color="auto"/>
            <w:right w:val="none" w:sz="0" w:space="0" w:color="auto"/>
          </w:divBdr>
        </w:div>
      </w:divsChild>
    </w:div>
    <w:div w:id="201358263">
      <w:marLeft w:val="0"/>
      <w:marRight w:val="0"/>
      <w:marTop w:val="0"/>
      <w:marBottom w:val="0"/>
      <w:divBdr>
        <w:top w:val="none" w:sz="0" w:space="0" w:color="auto"/>
        <w:left w:val="none" w:sz="0" w:space="0" w:color="auto"/>
        <w:bottom w:val="none" w:sz="0" w:space="0" w:color="auto"/>
        <w:right w:val="none" w:sz="0" w:space="0" w:color="auto"/>
      </w:divBdr>
      <w:divsChild>
        <w:div w:id="201358254">
          <w:marLeft w:val="0"/>
          <w:marRight w:val="0"/>
          <w:marTop w:val="0"/>
          <w:marBottom w:val="0"/>
          <w:divBdr>
            <w:top w:val="none" w:sz="0" w:space="0" w:color="auto"/>
            <w:left w:val="none" w:sz="0" w:space="0" w:color="auto"/>
            <w:bottom w:val="none" w:sz="0" w:space="0" w:color="auto"/>
            <w:right w:val="none" w:sz="0" w:space="0" w:color="auto"/>
          </w:divBdr>
          <w:divsChild>
            <w:div w:id="201358241">
              <w:marLeft w:val="0"/>
              <w:marRight w:val="0"/>
              <w:marTop w:val="0"/>
              <w:marBottom w:val="0"/>
              <w:divBdr>
                <w:top w:val="none" w:sz="0" w:space="0" w:color="auto"/>
                <w:left w:val="none" w:sz="0" w:space="0" w:color="auto"/>
                <w:bottom w:val="none" w:sz="0" w:space="0" w:color="auto"/>
                <w:right w:val="none" w:sz="0" w:space="0" w:color="auto"/>
              </w:divBdr>
            </w:div>
            <w:div w:id="201358255">
              <w:marLeft w:val="0"/>
              <w:marRight w:val="0"/>
              <w:marTop w:val="0"/>
              <w:marBottom w:val="0"/>
              <w:divBdr>
                <w:top w:val="none" w:sz="0" w:space="0" w:color="auto"/>
                <w:left w:val="none" w:sz="0" w:space="0" w:color="auto"/>
                <w:bottom w:val="none" w:sz="0" w:space="0" w:color="auto"/>
                <w:right w:val="none" w:sz="0" w:space="0" w:color="auto"/>
              </w:divBdr>
            </w:div>
            <w:div w:id="2013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1935">
      <w:bodyDiv w:val="1"/>
      <w:marLeft w:val="0"/>
      <w:marRight w:val="0"/>
      <w:marTop w:val="0"/>
      <w:marBottom w:val="0"/>
      <w:divBdr>
        <w:top w:val="none" w:sz="0" w:space="0" w:color="auto"/>
        <w:left w:val="none" w:sz="0" w:space="0" w:color="auto"/>
        <w:bottom w:val="none" w:sz="0" w:space="0" w:color="auto"/>
        <w:right w:val="none" w:sz="0" w:space="0" w:color="auto"/>
      </w:divBdr>
    </w:div>
    <w:div w:id="469978573">
      <w:bodyDiv w:val="1"/>
      <w:marLeft w:val="0"/>
      <w:marRight w:val="0"/>
      <w:marTop w:val="0"/>
      <w:marBottom w:val="0"/>
      <w:divBdr>
        <w:top w:val="none" w:sz="0" w:space="0" w:color="auto"/>
        <w:left w:val="none" w:sz="0" w:space="0" w:color="auto"/>
        <w:bottom w:val="none" w:sz="0" w:space="0" w:color="auto"/>
        <w:right w:val="none" w:sz="0" w:space="0" w:color="auto"/>
      </w:divBdr>
    </w:div>
    <w:div w:id="555429889">
      <w:bodyDiv w:val="1"/>
      <w:marLeft w:val="0"/>
      <w:marRight w:val="0"/>
      <w:marTop w:val="0"/>
      <w:marBottom w:val="0"/>
      <w:divBdr>
        <w:top w:val="none" w:sz="0" w:space="0" w:color="auto"/>
        <w:left w:val="none" w:sz="0" w:space="0" w:color="auto"/>
        <w:bottom w:val="none" w:sz="0" w:space="0" w:color="auto"/>
        <w:right w:val="none" w:sz="0" w:space="0" w:color="auto"/>
      </w:divBdr>
    </w:div>
    <w:div w:id="701171762">
      <w:bodyDiv w:val="1"/>
      <w:marLeft w:val="0"/>
      <w:marRight w:val="0"/>
      <w:marTop w:val="0"/>
      <w:marBottom w:val="0"/>
      <w:divBdr>
        <w:top w:val="none" w:sz="0" w:space="0" w:color="auto"/>
        <w:left w:val="none" w:sz="0" w:space="0" w:color="auto"/>
        <w:bottom w:val="none" w:sz="0" w:space="0" w:color="auto"/>
        <w:right w:val="none" w:sz="0" w:space="0" w:color="auto"/>
      </w:divBdr>
    </w:div>
    <w:div w:id="735250604">
      <w:bodyDiv w:val="1"/>
      <w:marLeft w:val="0"/>
      <w:marRight w:val="0"/>
      <w:marTop w:val="0"/>
      <w:marBottom w:val="0"/>
      <w:divBdr>
        <w:top w:val="none" w:sz="0" w:space="0" w:color="auto"/>
        <w:left w:val="none" w:sz="0" w:space="0" w:color="auto"/>
        <w:bottom w:val="none" w:sz="0" w:space="0" w:color="auto"/>
        <w:right w:val="none" w:sz="0" w:space="0" w:color="auto"/>
      </w:divBdr>
    </w:div>
    <w:div w:id="850098515">
      <w:bodyDiv w:val="1"/>
      <w:marLeft w:val="0"/>
      <w:marRight w:val="0"/>
      <w:marTop w:val="0"/>
      <w:marBottom w:val="0"/>
      <w:divBdr>
        <w:top w:val="none" w:sz="0" w:space="0" w:color="auto"/>
        <w:left w:val="none" w:sz="0" w:space="0" w:color="auto"/>
        <w:bottom w:val="none" w:sz="0" w:space="0" w:color="auto"/>
        <w:right w:val="none" w:sz="0" w:space="0" w:color="auto"/>
      </w:divBdr>
    </w:div>
    <w:div w:id="884636373">
      <w:bodyDiv w:val="1"/>
      <w:marLeft w:val="0"/>
      <w:marRight w:val="0"/>
      <w:marTop w:val="0"/>
      <w:marBottom w:val="0"/>
      <w:divBdr>
        <w:top w:val="none" w:sz="0" w:space="0" w:color="auto"/>
        <w:left w:val="none" w:sz="0" w:space="0" w:color="auto"/>
        <w:bottom w:val="none" w:sz="0" w:space="0" w:color="auto"/>
        <w:right w:val="none" w:sz="0" w:space="0" w:color="auto"/>
      </w:divBdr>
    </w:div>
    <w:div w:id="894661960">
      <w:bodyDiv w:val="1"/>
      <w:marLeft w:val="0"/>
      <w:marRight w:val="0"/>
      <w:marTop w:val="0"/>
      <w:marBottom w:val="0"/>
      <w:divBdr>
        <w:top w:val="none" w:sz="0" w:space="0" w:color="auto"/>
        <w:left w:val="none" w:sz="0" w:space="0" w:color="auto"/>
        <w:bottom w:val="none" w:sz="0" w:space="0" w:color="auto"/>
        <w:right w:val="none" w:sz="0" w:space="0" w:color="auto"/>
      </w:divBdr>
    </w:div>
    <w:div w:id="1173959196">
      <w:bodyDiv w:val="1"/>
      <w:marLeft w:val="0"/>
      <w:marRight w:val="0"/>
      <w:marTop w:val="0"/>
      <w:marBottom w:val="0"/>
      <w:divBdr>
        <w:top w:val="none" w:sz="0" w:space="0" w:color="auto"/>
        <w:left w:val="none" w:sz="0" w:space="0" w:color="auto"/>
        <w:bottom w:val="none" w:sz="0" w:space="0" w:color="auto"/>
        <w:right w:val="none" w:sz="0" w:space="0" w:color="auto"/>
      </w:divBdr>
      <w:divsChild>
        <w:div w:id="1422919375">
          <w:marLeft w:val="274"/>
          <w:marRight w:val="0"/>
          <w:marTop w:val="150"/>
          <w:marBottom w:val="0"/>
          <w:divBdr>
            <w:top w:val="none" w:sz="0" w:space="0" w:color="auto"/>
            <w:left w:val="none" w:sz="0" w:space="0" w:color="auto"/>
            <w:bottom w:val="none" w:sz="0" w:space="0" w:color="auto"/>
            <w:right w:val="none" w:sz="0" w:space="0" w:color="auto"/>
          </w:divBdr>
        </w:div>
      </w:divsChild>
    </w:div>
    <w:div w:id="1215696622">
      <w:bodyDiv w:val="1"/>
      <w:marLeft w:val="0"/>
      <w:marRight w:val="0"/>
      <w:marTop w:val="0"/>
      <w:marBottom w:val="0"/>
      <w:divBdr>
        <w:top w:val="none" w:sz="0" w:space="0" w:color="auto"/>
        <w:left w:val="none" w:sz="0" w:space="0" w:color="auto"/>
        <w:bottom w:val="none" w:sz="0" w:space="0" w:color="auto"/>
        <w:right w:val="none" w:sz="0" w:space="0" w:color="auto"/>
      </w:divBdr>
    </w:div>
    <w:div w:id="1222785097">
      <w:bodyDiv w:val="1"/>
      <w:marLeft w:val="0"/>
      <w:marRight w:val="0"/>
      <w:marTop w:val="0"/>
      <w:marBottom w:val="0"/>
      <w:divBdr>
        <w:top w:val="none" w:sz="0" w:space="0" w:color="auto"/>
        <w:left w:val="none" w:sz="0" w:space="0" w:color="auto"/>
        <w:bottom w:val="none" w:sz="0" w:space="0" w:color="auto"/>
        <w:right w:val="none" w:sz="0" w:space="0" w:color="auto"/>
      </w:divBdr>
    </w:div>
    <w:div w:id="1252814581">
      <w:bodyDiv w:val="1"/>
      <w:marLeft w:val="0"/>
      <w:marRight w:val="0"/>
      <w:marTop w:val="0"/>
      <w:marBottom w:val="0"/>
      <w:divBdr>
        <w:top w:val="none" w:sz="0" w:space="0" w:color="auto"/>
        <w:left w:val="none" w:sz="0" w:space="0" w:color="auto"/>
        <w:bottom w:val="none" w:sz="0" w:space="0" w:color="auto"/>
        <w:right w:val="none" w:sz="0" w:space="0" w:color="auto"/>
      </w:divBdr>
    </w:div>
    <w:div w:id="1368793300">
      <w:bodyDiv w:val="1"/>
      <w:marLeft w:val="0"/>
      <w:marRight w:val="0"/>
      <w:marTop w:val="0"/>
      <w:marBottom w:val="0"/>
      <w:divBdr>
        <w:top w:val="none" w:sz="0" w:space="0" w:color="auto"/>
        <w:left w:val="none" w:sz="0" w:space="0" w:color="auto"/>
        <w:bottom w:val="none" w:sz="0" w:space="0" w:color="auto"/>
        <w:right w:val="none" w:sz="0" w:space="0" w:color="auto"/>
      </w:divBdr>
    </w:div>
    <w:div w:id="1378819284">
      <w:bodyDiv w:val="1"/>
      <w:marLeft w:val="0"/>
      <w:marRight w:val="0"/>
      <w:marTop w:val="0"/>
      <w:marBottom w:val="0"/>
      <w:divBdr>
        <w:top w:val="none" w:sz="0" w:space="0" w:color="auto"/>
        <w:left w:val="none" w:sz="0" w:space="0" w:color="auto"/>
        <w:bottom w:val="none" w:sz="0" w:space="0" w:color="auto"/>
        <w:right w:val="none" w:sz="0" w:space="0" w:color="auto"/>
      </w:divBdr>
    </w:div>
    <w:div w:id="1642272280">
      <w:bodyDiv w:val="1"/>
      <w:marLeft w:val="0"/>
      <w:marRight w:val="0"/>
      <w:marTop w:val="0"/>
      <w:marBottom w:val="0"/>
      <w:divBdr>
        <w:top w:val="none" w:sz="0" w:space="0" w:color="auto"/>
        <w:left w:val="none" w:sz="0" w:space="0" w:color="auto"/>
        <w:bottom w:val="none" w:sz="0" w:space="0" w:color="auto"/>
        <w:right w:val="none" w:sz="0" w:space="0" w:color="auto"/>
      </w:divBdr>
    </w:div>
    <w:div w:id="1671442879">
      <w:bodyDiv w:val="1"/>
      <w:marLeft w:val="0"/>
      <w:marRight w:val="0"/>
      <w:marTop w:val="0"/>
      <w:marBottom w:val="0"/>
      <w:divBdr>
        <w:top w:val="none" w:sz="0" w:space="0" w:color="auto"/>
        <w:left w:val="none" w:sz="0" w:space="0" w:color="auto"/>
        <w:bottom w:val="none" w:sz="0" w:space="0" w:color="auto"/>
        <w:right w:val="none" w:sz="0" w:space="0" w:color="auto"/>
      </w:divBdr>
    </w:div>
    <w:div w:id="1825924073">
      <w:bodyDiv w:val="1"/>
      <w:marLeft w:val="0"/>
      <w:marRight w:val="0"/>
      <w:marTop w:val="0"/>
      <w:marBottom w:val="0"/>
      <w:divBdr>
        <w:top w:val="none" w:sz="0" w:space="0" w:color="auto"/>
        <w:left w:val="none" w:sz="0" w:space="0" w:color="auto"/>
        <w:bottom w:val="none" w:sz="0" w:space="0" w:color="auto"/>
        <w:right w:val="none" w:sz="0" w:space="0" w:color="auto"/>
      </w:divBdr>
    </w:div>
    <w:div w:id="1867448754">
      <w:bodyDiv w:val="1"/>
      <w:marLeft w:val="0"/>
      <w:marRight w:val="0"/>
      <w:marTop w:val="0"/>
      <w:marBottom w:val="0"/>
      <w:divBdr>
        <w:top w:val="none" w:sz="0" w:space="0" w:color="auto"/>
        <w:left w:val="none" w:sz="0" w:space="0" w:color="auto"/>
        <w:bottom w:val="none" w:sz="0" w:space="0" w:color="auto"/>
        <w:right w:val="none" w:sz="0" w:space="0" w:color="auto"/>
      </w:divBdr>
    </w:div>
    <w:div w:id="1907762519">
      <w:bodyDiv w:val="1"/>
      <w:marLeft w:val="0"/>
      <w:marRight w:val="0"/>
      <w:marTop w:val="0"/>
      <w:marBottom w:val="0"/>
      <w:divBdr>
        <w:top w:val="none" w:sz="0" w:space="0" w:color="auto"/>
        <w:left w:val="none" w:sz="0" w:space="0" w:color="auto"/>
        <w:bottom w:val="none" w:sz="0" w:space="0" w:color="auto"/>
        <w:right w:val="none" w:sz="0" w:space="0" w:color="auto"/>
      </w:divBdr>
    </w:div>
    <w:div w:id="212658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review.management.ntu.edu.tw/paper/1353-P.pdf" TargetMode="External"/><Relationship Id="rId21" Type="http://schemas.openxmlformats.org/officeDocument/2006/relationships/image" Target="media/image15.png"/><Relationship Id="rId34" Type="http://schemas.openxmlformats.org/officeDocument/2006/relationships/hyperlink" Target="https://www.tfmi.com.tw/product_detailL3.aspx?ProductID=f426f37d-bafc-4634-823e-42aaf6a8d785" TargetMode="External"/><Relationship Id="rId42" Type="http://schemas.openxmlformats.org/officeDocument/2006/relationships/hyperlink" Target="https://www.researchgate.net/post/How_can_I_interprete_a_Zivot-Andrews_1992_unit_root_test_given_structural_break_in_the_data" TargetMode="External"/><Relationship Id="rId47" Type="http://schemas.openxmlformats.org/officeDocument/2006/relationships/hyperlink" Target="https://sites.uni.edu/thompsona/Underwriting%20Cycles%20Synthesis%20and%20Further%20Directions%20Mary%20Weiss%20Insurance%20Issues.pdf" TargetMode="External"/><Relationship Id="rId50" Type="http://schemas.openxmlformats.org/officeDocument/2006/relationships/hyperlink" Target="https://www.jstor.org/stable/139154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itread01.com/content/1543162512.html" TargetMode="Externa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www.tii.org.tw/tii/actuarial/actuarial1/report/index.html" TargetMode="External"/><Relationship Id="rId37" Type="http://schemas.openxmlformats.org/officeDocument/2006/relationships/hyperlink" Target="https://www.chinatimes.com/newspapers/20190520000259-260205?chdtv" TargetMode="External"/><Relationship Id="rId40" Type="http://schemas.openxmlformats.org/officeDocument/2006/relationships/hyperlink" Target="https://www.airitilibrary.com/Publication/alDetailedMesh?docid=16842723-201012-201106010011-201106010011-67-87" TargetMode="External"/><Relationship Id="rId45" Type="http://schemas.openxmlformats.org/officeDocument/2006/relationships/hyperlink" Target="https://www.researchgate.net/publication/225911067_A_general_autoregressive_model_with_Markov_switching_Estimation_and_consistency"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cloud.tencent.com/developer/article/1041785" TargetMode="External"/><Relationship Id="rId44" Type="http://schemas.openxmlformats.org/officeDocument/2006/relationships/hyperlink" Target="https://homepage.ntu.edu.tw/~ckuan/pdf/Lec-Markov_note.pdf"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s://mropengate.blogspot.com/2015/11/time-series-analysis-box-jenkins.html" TargetMode="External"/><Relationship Id="rId35" Type="http://schemas.openxmlformats.org/officeDocument/2006/relationships/hyperlink" Target="https://www.pthg.gov.tw/ptmfam/News_Content.aspx?n=6D5C643DFE059C95&amp;sms=F759891361FDEEAD&amp;s=2AC47E143C658781" TargetMode="External"/><Relationship Id="rId43" Type="http://schemas.openxmlformats.org/officeDocument/2006/relationships/hyperlink" Target="https://www.jstor.org/stable/253758" TargetMode="External"/><Relationship Id="rId48" Type="http://schemas.openxmlformats.org/officeDocument/2006/relationships/hyperlink" Target="https://www.sciencedirect.com/science/article/abs/pii/S096663629900003X"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www.fubon.com/insurance/b2c/content/farm_insurance/index.html" TargetMode="External"/><Relationship Id="rId38" Type="http://schemas.openxmlformats.org/officeDocument/2006/relationships/hyperlink" Target="https://money.udn.com/money/story/5613/4823783" TargetMode="External"/><Relationship Id="rId46" Type="http://schemas.openxmlformats.org/officeDocument/2006/relationships/hyperlink" Target="https://www.researchgate.net/publication/251232587_Great_and_Not_So_Great_Expectations_An_Endogenous_Economic_Explication_of_Insurance_Cycles_and_Liability_Crises" TargetMode="External"/><Relationship Id="rId20" Type="http://schemas.openxmlformats.org/officeDocument/2006/relationships/image" Target="media/image14.png"/><Relationship Id="rId41" Type="http://schemas.openxmlformats.org/officeDocument/2006/relationships/hyperlink" Target="http://nhuir.nhu.edu.tw/retrieve/19378/3095000404.pdf"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hyperlink" Target="https://www.boaf.gov.tw/boafwww/index.jsp?a=fp&amp;xItem=963988&amp;ctNode=22" TargetMode="External"/><Relationship Id="rId49" Type="http://schemas.openxmlformats.org/officeDocument/2006/relationships/hyperlink" Target="https://mpra.ub.uni-muenchen.de/1797/1/MPRA_paper_17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553</TotalTime>
  <Pages>18</Pages>
  <Words>2395</Words>
  <Characters>13654</Characters>
  <Application>Microsoft Office Word</Application>
  <DocSecurity>0</DocSecurity>
  <Lines>113</Lines>
  <Paragraphs>32</Paragraphs>
  <ScaleCrop>false</ScaleCrop>
  <Company/>
  <LinksUpToDate>false</LinksUpToDate>
  <CharactersWithSpaces>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user</dc:creator>
  <cp:keywords/>
  <dc:description/>
  <cp:lastModifiedBy>bill</cp:lastModifiedBy>
  <cp:revision>56</cp:revision>
  <cp:lastPrinted>2019-11-04T00:31:00Z</cp:lastPrinted>
  <dcterms:created xsi:type="dcterms:W3CDTF">2021-06-06T15:10:00Z</dcterms:created>
  <dcterms:modified xsi:type="dcterms:W3CDTF">2021-06-29T16:36:00Z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