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center"/>
        <w:rPr>
          <w:rFonts w:hint="eastAsia" w:ascii="思源黑体" w:hAnsi="思源黑体" w:eastAsia="思源黑体" w:cs="思源黑体"/>
          <w:kern w:val="0"/>
          <w:sz w:val="36"/>
          <w:szCs w:val="3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36"/>
          <w:szCs w:val="36"/>
          <w:lang w:val="en-US" w:eastAsia="zh-CN" w:bidi="ar-SA"/>
        </w:rPr>
        <w:t>MINET</w:t>
      </w:r>
      <w:r>
        <w:rPr>
          <w:rFonts w:hint="eastAsia" w:ascii="思源黑体" w:hAnsi="思源黑体" w:eastAsia="思源黑体" w:cs="思源黑体"/>
          <w:kern w:val="0"/>
          <w:sz w:val="36"/>
          <w:szCs w:val="36"/>
          <w:lang w:eastAsia="zh-CN" w:bidi="ar-SA"/>
        </w:rPr>
        <w:t>项目计划书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一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.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小组成员：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姓名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学号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黄雄镖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13331093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敬效明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13331103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张天晴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13331342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徐航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13331296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许莉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13331300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</w:p>
        </w:tc>
      </w:tr>
    </w:tbl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sz w:val="26"/>
          <w:szCs w:val="26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二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.项目计划</w:t>
      </w:r>
      <w:bookmarkStart w:id="0" w:name="_GoBack"/>
      <w:bookmarkEnd w:id="0"/>
    </w:p>
    <w:p>
      <w:pPr>
        <w:widowControl/>
        <w:numPr>
          <w:ilvl w:val="0"/>
          <w:numId w:val="1"/>
        </w:numPr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项目分工以及计划进度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项目分工：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编写项目计划书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技术选型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交互/界面设计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完成基础功能+测试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完成扩展功能+测试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全体成员</w:t>
            </w:r>
          </w:p>
        </w:tc>
      </w:tr>
    </w:tbl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计划进度：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预计时间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项目计划书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一周（11月10日前）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技术选型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两天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交互/界面设计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完成基础功能+测试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两周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完成扩展功能+测试</w:t>
            </w:r>
          </w:p>
        </w:tc>
        <w:tc>
          <w:tcPr>
            <w:tcW w:w="4261" w:type="dxa"/>
            <w:vAlign w:val="top"/>
          </w:tcPr>
          <w:p>
            <w:pPr>
              <w:widowControl/>
              <w:numPr>
                <w:numId w:val="0"/>
              </w:numPr>
              <w:jc w:val="center"/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</w:pPr>
            <w:r>
              <w:rPr>
                <w:rFonts w:hint="eastAsia" w:ascii="思源黑体" w:hAnsi="思源黑体" w:eastAsia="思源黑体" w:cs="思源黑体"/>
                <w:kern w:val="0"/>
                <w:sz w:val="26"/>
                <w:szCs w:val="26"/>
                <w:lang w:eastAsia="zh-CN" w:bidi="ar-SA"/>
              </w:rPr>
              <w:t>一周</w:t>
            </w:r>
          </w:p>
        </w:tc>
      </w:tr>
    </w:tbl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b)项目具体的需求分析，简要描述背景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需求分析：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目标：通过对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MI Protocol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的设计，利用MINET和Miro共同实现基础的聊天功能和文件传输功能。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用户特性：用户登录后可获取在线好友列表，并进入群聊天或和指定好友聊天，用户可查询聊天记录和接受消息提示。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功能规定：根据用户需求描述，该系统应当具备登录系统和聊天系统两大主要功能。</w:t>
      </w:r>
    </w:p>
    <w:p>
      <w:pPr>
        <w:widowControl/>
        <w:numPr>
          <w:numId w:val="0"/>
        </w:numPr>
        <w:ind w:left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 xml:space="preserve">    登录系统：检查用户登录信息，如初次登录则保存其号码，建立与服务器连接，用户在线状态可以被其他在线用户所获知。</w:t>
      </w:r>
    </w:p>
    <w:p>
      <w:pPr>
        <w:widowControl/>
        <w:numPr>
          <w:numId w:val="0"/>
        </w:numPr>
        <w:ind w:left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 xml:space="preserve">    聊天系统：满足多人聊天（通过miro）和一对一聊天（P2P模式），并提醒用户有新消息，用户可以查看好友列表以及对应的聊天记录。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性能规定：主要包括时间特性要求和灵活性要求</w:t>
      </w:r>
    </w:p>
    <w:p>
      <w:pPr>
        <w:widowControl/>
        <w:numPr>
          <w:numId w:val="0"/>
        </w:numPr>
        <w:ind w:leftChars="0" w:firstLine="520" w:firstLineChars="20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时间特性要求：用户通过电脑提交命令到返回结果不超过5s，用户提交数据到录入结果返回不超过5s。</w:t>
      </w:r>
    </w:p>
    <w:p>
      <w:pPr>
        <w:widowControl/>
        <w:numPr>
          <w:numId w:val="0"/>
        </w:numPr>
        <w:ind w:leftChars="0" w:firstLine="520" w:firstLineChars="20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灵活性要求：支持Linux/Unix环境下运行。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系统结构图:</w:t>
      </w:r>
    </w:p>
    <w:p>
      <w:pPr>
        <w:widowControl/>
        <w:numPr>
          <w:numId w:val="0"/>
        </w:numPr>
        <w:ind w:left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pict>
          <v:shape id="图片 1" o:spid="_x0000_s1026" alt="mmexport1447159530935" type="#_x0000_t75" style="height:212.45pt;width:377.55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 o:title="mmexport1447159530935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numId w:val="0"/>
        </w:numPr>
        <w:ind w:left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ind w:left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背景描述：</w:t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待开发软件名称：MINET&amp; Miro</w:t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面向用户：所有使用在线沟通工具的用户</w:t>
      </w:r>
    </w:p>
    <w:p>
      <w:pPr>
        <w:widowControl/>
        <w:numPr>
          <w:numId w:val="0"/>
        </w:numPr>
        <w:ind w:left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 xml:space="preserve">   实现软件的单位：电子政务2班 黄雄镖 敬晓明 张天晴 许莉 徐航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MINET和Miro共同实现基础的聊天功能，方便用户交流，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MIRO和MINET由MIP（MI Protocol）所支持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，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MI Protocol 是基于TCP/IP和UDP这两种协议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，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结合数据库管理系统实现运行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。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c)项目扩展功能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图片/文件传输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提供web服务器来供浏览器进行查询或聊天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提供UDP Pinger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用户注册登录，修改信息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d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)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额外说明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使用Github进行项目托管/版本管理，进行协同开发。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应用观察者模式，装饰器模式等设计模型进行编程。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sz w:val="26"/>
          <w:szCs w:val="26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三</w:t>
      </w: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.初步设计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a)功能设计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4"/>
          <w:szCs w:val="24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运行平台：</w:t>
      </w:r>
      <w:r>
        <w:rPr>
          <w:rFonts w:hint="eastAsia" w:ascii="思源黑体" w:hAnsi="思源黑体" w:eastAsia="思源黑体" w:cs="思源黑体"/>
          <w:kern w:val="0"/>
          <w:sz w:val="24"/>
          <w:szCs w:val="24"/>
          <w:lang w:val="en-US" w:eastAsia="zh-CN" w:bidi="ar-SA"/>
        </w:rPr>
        <w:t>Linux/Unix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MINET功能: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注册，登录，修改个人信息(扩展)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获取在线用户列表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聊天室，提供多人连接MIRO进行聊天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P2P聊天，选择一个在线的用户，进行连接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图片/文件传输(扩展)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提供web服务器来供浏览器进行查询或聊天（扩展）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提供UDP Pinger（扩展）</w:t>
      </w:r>
    </w:p>
    <w:p>
      <w:pPr>
        <w:widowControl/>
        <w:numPr>
          <w:numId w:val="0"/>
        </w:numPr>
        <w:ind w:left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ind w:left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MIRO功能：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提供MINET连接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存储用户信息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给MINET提供在线用户列表（IP地址，端口，用户名等）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给在线的用户广播接收到的消息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b)界面设计</w:t>
      </w:r>
    </w:p>
    <w:p>
      <w:pPr>
        <w:widowControl/>
        <w:jc w:val="left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  <w:kern w:val="2"/>
          <w:sz w:val="21"/>
          <w:lang w:val="en-US" w:eastAsia="zh-CN" w:bidi="ar-SA"/>
        </w:rPr>
        <w:pict>
          <v:shape id="图片 2" o:spid="_x0000_s1027" type="#_x0000_t75" style="height:275.6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思源黑体" w:hAnsi="思源黑体" w:eastAsia="思源黑体" w:cs="思源黑体"/>
          <w:lang w:eastAsia="zh-CN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sz w:val="26"/>
          <w:szCs w:val="26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val="en-US" w:eastAsia="zh-CN" w:bidi="ar-SA"/>
        </w:rPr>
        <w:t>c)协议设计</w:t>
      </w:r>
    </w:p>
    <w:p>
      <w:p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MIRO和MINET由MIP（MI Protocol）所支持</w:t>
      </w:r>
    </w:p>
    <w:p>
      <w:p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MI Protocol 是基于TCP/IP和UDP这两种协议的。</w:t>
      </w:r>
    </w:p>
    <w:p>
      <w:p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MIP协议的设计：</w:t>
      </w:r>
    </w:p>
    <w:p>
      <w:p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除特殊说明外，约定MIRO和MINET之间使用JSON来进行通讯。</w:t>
      </w:r>
    </w:p>
    <w:p>
      <w:p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返回的JSON格式根据具体情况而不同，出错返回的JSON格式相同，含有code和message两个键，分别代表错误码和错误消息。一般请求须含有一个ACTION键，值为请求动作。</w:t>
      </w:r>
    </w:p>
    <w:p>
      <w:p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具体请求与响应如下</w:t>
      </w:r>
    </w:p>
    <w:p>
      <w:pPr>
        <w:numPr>
          <w:ilvl w:val="0"/>
          <w:numId w:val="5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握手信息：客户端连接时首先发送握手信息到服务器，确认双方为MIRO和MINET，ACTION为HANDSHAKE。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2.用户注册：客户端发送昵称，帐号和密码到服务器，帐号是唯一的，ACTION为REGISTER，服务器接收到后返回确认消息。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3.用户登录：客户端发送帐号和密码到服务器，ACTION为LOGIN，服务器接收到后返回确认消息，广播用户上线消息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4.用户登出：客户端发送登出请求到服务器，ACTION为LOGOUT，服务器接收到后返回确认消息，广播用户下线消息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5.请求用户列表：客户端发送请求用户列表请求到服务器，ACTION为LIST_ALL_ONLINE_USER。响应为在线用户的用户名和ip地址列表的JSON。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6.P2P聊天：客户端发送请求到服务器，申请与另外一在线用户建立连接，ACTION为P2P_CHAT，服务器通知目标在线用户打开监听以连接。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7.群聊：客户端发送消息到服务器，服务器接收到后返回确认消息。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8.广播消息：服务器向客户端推送最新的消息，格式为含发送者昵称和消息内容的JSON。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9.心跳机制：客户端定期向服务器发送心跳，若服务器长时间没有收到，判定该用户下线，广播用户下线消息。在P2P中，互相发送该消息确认对方在线状态。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  <w:t>10.图片/文件传输：客户端发送请求到服务器，申请与另外一在线用户建立连接进行图片/文件传输，ACTION为FILE_TRANSPORT，服务器通知目标在线用户打开监听以连接。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p>
      <w:pPr>
        <w:numPr>
          <w:numId w:val="0"/>
        </w:numPr>
        <w:rPr>
          <w:rFonts w:hint="eastAsia" w:ascii="思源黑体" w:hAnsi="思源黑体" w:eastAsia="思源黑体" w:cs="思源黑体"/>
          <w:kern w:val="0"/>
          <w:sz w:val="26"/>
          <w:szCs w:val="26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Wingdings">
    <w:altName w:val="Kalimati"/>
    <w:panose1 w:val="05000000000000000000"/>
    <w:charset w:val="00"/>
    <w:family w:val="auto"/>
    <w:pitch w:val="default"/>
    <w:sig w:usb0="00000000" w:usb1="00000000" w:usb2="00000000" w:usb3="00000000" w:csb0="00040001" w:csb1="00000000"/>
  </w:font>
  <w:font w:name="sans-serif">
    <w:altName w:val="Kalimat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黑体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Kalimati">
    <w:panose1 w:val="00000400000000000000"/>
    <w:charset w:val="00"/>
    <w:family w:val="auto"/>
    <w:pitch w:val="default"/>
    <w:sig w:usb0="80008001" w:usb1="00002010" w:usb2="00000000" w:usb3="00000000" w:csb0="00000000" w:csb1="80000000"/>
  </w:font>
  <w:font w:name="DejaVa Sans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158587">
    <w:nsid w:val="5641E33B"/>
    <w:multiLevelType w:val="singleLevel"/>
    <w:tmpl w:val="5641E33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7159885">
    <w:nsid w:val="5641E84D"/>
    <w:multiLevelType w:val="singleLevel"/>
    <w:tmpl w:val="5641E84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7055216">
    <w:nsid w:val="56404F70"/>
    <w:multiLevelType w:val="singleLevel"/>
    <w:tmpl w:val="56404F70"/>
    <w:lvl w:ilvl="0" w:tentative="1">
      <w:start w:val="1"/>
      <w:numFmt w:val="lowerLetter"/>
      <w:suff w:val="nothing"/>
      <w:lvlText w:val="%1)"/>
      <w:lvlJc w:val="left"/>
    </w:lvl>
  </w:abstractNum>
  <w:abstractNum w:abstractNumId="1447055555">
    <w:nsid w:val="564050C3"/>
    <w:multiLevelType w:val="singleLevel"/>
    <w:tmpl w:val="564050C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7149508">
    <w:nsid w:val="5641BFC4"/>
    <w:multiLevelType w:val="singleLevel"/>
    <w:tmpl w:val="5641BFC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7055216"/>
  </w:num>
  <w:num w:numId="2">
    <w:abstractNumId w:val="1447159885"/>
  </w:num>
  <w:num w:numId="3">
    <w:abstractNumId w:val="1447158587"/>
  </w:num>
  <w:num w:numId="4">
    <w:abstractNumId w:val="1447055555"/>
  </w:num>
  <w:num w:numId="5">
    <w:abstractNumId w:val="14471495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EFBDE203"/>
    <w:rsid w:val="3B3B3B1A"/>
    <w:rsid w:val="5FEEFFE4"/>
    <w:rsid w:val="71F29D65"/>
    <w:rsid w:val="BFBDC0D0"/>
    <w:rsid w:val="E3FF4C32"/>
    <w:rsid w:val="EFBDE203"/>
    <w:rsid w:val="F0BF7302"/>
    <w:rsid w:val="FFFFA5B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bill</dc:creator>
  <cp:lastModifiedBy>bill</cp:lastModifiedBy>
  <dcterms:modified xsi:type="dcterms:W3CDTF">2015-11-10T23:13:51Z</dcterms:modified>
  <dc:title>一.小组成员：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