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  <w:jc w:val="center"/>
      </w:pPr>
      <w:r>
        <w:rPr>
          <w:rFonts w:ascii="宋体" w:hAnsi="宋体" w:eastAsia="宋体"/>
          <w:b/>
          <w:sz w:val="36"/>
        </w:rPr>
        <w:t>北京怀柔科学城生命科学产业创新研究院</w:t>
      </w:r>
    </w:p>
    <w:p>
      <w:pPr>
        <w:spacing w:before="0" w:after="120" w:line="324" w:lineRule="auto"/>
        <w:jc w:val="center"/>
      </w:pPr>
      <w:r>
        <w:rPr>
          <w:rFonts w:ascii="宋体" w:hAnsi="宋体" w:eastAsia="宋体"/>
          <w:b/>
          <w:sz w:val="44"/>
        </w:rPr>
        <w:t>门户网站系统 Claude 开发规格书</w:t>
      </w:r>
    </w:p>
    <w:p>
      <w:pPr>
        <w:spacing w:before="0" w:after="120" w:line="324" w:lineRule="auto"/>
        <w:jc w:val="center"/>
      </w:pPr>
      <w:r>
        <w:rPr>
          <w:rFonts w:ascii="宋体" w:hAnsi="宋体" w:eastAsia="宋体"/>
          <w:b w:val="0"/>
          <w:sz w:val="26"/>
        </w:rPr>
        <w:t>（乙方工作版 / 基于现有附件重构）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文档用途</w:t>
            </w:r>
          </w:p>
        </w:tc>
        <w:tc>
          <w:tcPr>
            <w:tcW w:type="dxa" w:w="459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 Claude/Codex 等代码代理的开发输入文档，用于生成项目骨架、页面、接口、数据库及验收清单。</w:t>
            </w:r>
          </w:p>
        </w:tc>
      </w:tr>
      <w:tr>
        <w:tc>
          <w:tcPr>
            <w:tcW w:type="dxa" w:w="459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适用范围</w:t>
            </w:r>
          </w:p>
        </w:tc>
        <w:tc>
          <w:tcPr>
            <w:tcW w:type="dxa" w:w="459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仅覆盖门户网站子系统；成果转化平台与 AI 智能体不在本文件开发范围内。</w:t>
            </w:r>
          </w:p>
        </w:tc>
      </w:tr>
      <w:tr>
        <w:tc>
          <w:tcPr>
            <w:tcW w:type="dxa" w:w="459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编制依据</w:t>
            </w:r>
          </w:p>
        </w:tc>
        <w:tc>
          <w:tcPr>
            <w:tcW w:type="dxa" w:w="459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《门户网站系统建设需求方案与交付清单》与《信息化平台开发方案》中门户网站相关内容。</w:t>
            </w:r>
          </w:p>
        </w:tc>
      </w:tr>
      <w:tr>
        <w:tc>
          <w:tcPr>
            <w:tcW w:type="dxa" w:w="459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状态说明</w:t>
            </w:r>
          </w:p>
        </w:tc>
        <w:tc>
          <w:tcPr>
            <w:tcW w:type="dxa" w:w="459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本文件包含“已确认 / 默认规范 / 暂定假设 / 需甲方确认”四类信息。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/>
          <w:sz w:val="22"/>
        </w:rPr>
        <w:t>使用提示：</w:t>
      </w:r>
      <w:r>
        <w:rPr>
          <w:rFonts w:ascii="宋体" w:hAnsi="宋体" w:eastAsia="宋体"/>
          <w:b w:val="0"/>
          <w:sz w:val="22"/>
        </w:rPr>
        <w:t>正文中所有带“【需甲方确认】”标签或位于黄色高亮区域的内容，均不应由 Claude 自行臆断实现；应按本文件的保守占位方案先实现为可配置结构，待甲方确认后再固化。</w:t>
      </w:r>
    </w:p>
    <w:p>
      <w:r>
        <w:br w:type="page"/>
      </w:r>
    </w:p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1. 编制原则与文档使用规则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1.1 编制目标。</w:t>
      </w:r>
      <w:r>
        <w:rPr>
          <w:rFonts w:ascii="宋体" w:hAnsi="宋体" w:eastAsia="宋体"/>
          <w:b w:val="0"/>
          <w:sz w:val="22"/>
        </w:rPr>
        <w:t xml:space="preserve"> 本文件将已有附件重构为可供代码代理直接执行的开发规格书。目标是把“做什么”转化为“页面怎么做、字段怎么定义、接口怎么约束、验收怎么验证”。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将高风险缺失信息显式冻结，避免代码代理对业务规则进行隐式拍板。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在不影响启动开发的前提下，优先采用可配置、可回退、低耦合方案。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1.2 信息状态定义。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306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306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开发执行规则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已确认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两份源文档已明确出现，且冲突可消解。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可直接作为实现依据。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默认规范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原文未写明，但属于通用、低风险、工程化约定。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可先实现；后续如有意见再参数化调整。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暂定假设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为保证开发推进而设定的保守占位方案。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实现时不得写死，应保留后台配置或代码扩展点。</w:t>
            </w:r>
          </w:p>
        </w:tc>
      </w:tr>
      <w:tr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需甲方确认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会直接影响页面结构、权限、对外展示口径或业务流程。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必须高亮提示；Claude 不得自行编造具体规则。</w:t>
            </w:r>
          </w:p>
        </w:tc>
      </w:tr>
    </w:tbl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2. 项目目标、范围与阶段划分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2.1 项目定位。</w:t>
      </w:r>
      <w:r>
        <w:rPr>
          <w:rFonts w:ascii="宋体" w:hAnsi="宋体" w:eastAsia="宋体"/>
          <w:b w:val="0"/>
          <w:sz w:val="22"/>
        </w:rPr>
        <w:t xml:space="preserve"> 门户网站是研究院官方对外窗口，承担机构形象展示、新闻信息发布、业务引导、资源入口聚合和基础在线服务承接等职责。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2.2 本期建设目标（V1.0 必做）。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完成面向公众的门户前台网站及面向运营人员的后台管理端。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支持机构概况、新闻动态、成功案例、关于我们等基础展示能力。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支持账号密码登录与手机号验证码登录，并支持个人用户注册、机构账号后台分配、用户审核激活。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满足 SEO、多端适配、HTTPS、RBAC、文件上传、内容发布等基础要求。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满足可部署、可测试、可验收、可运维的交付要求。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2.3 扩展目标（V2.0 预留）。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研究所管理、成果孵化、共性平台、人才服务、产学研合作、在线服务、全站搜索、数据统计与推荐等模块。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本文件会为 V2.0 预留数据模型与导航入口，但不纳入本期强制交付范围。</w:t>
      </w:r>
    </w:p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3. 技术架构与实施原则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4"/>
        </w:rPr>
        <w:t>3.1 推荐技术栈。</w:t>
      </w:r>
      <w:r>
        <w:rPr>
          <w:rFonts w:ascii="宋体" w:hAnsi="宋体" w:eastAsia="宋体"/>
          <w:b w:val="0"/>
          <w:sz w:val="22"/>
        </w:rPr>
        <w:t xml:space="preserve"> 前端采用 Nuxt 4（SSG/ISR）建设门户前台，后台管理端采用 Vue 3 + Element Plus；后端采用 FastAPI；数据库采用 PostgreSQL；缓存采用 Redis；反向代理采用 Nginx；部署方式采用 Docker / Docker Compose。</w:t>
      </w:r>
    </w:p>
    <w:p>
      <w:r>
        <w:drawing>
          <wp:inline xmlns:a="http://schemas.openxmlformats.org/drawingml/2006/main" xmlns:pic="http://schemas.openxmlformats.org/drawingml/2006/picture">
            <wp:extent cx="5580000" cy="3045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 1  平台总体技术架构图（保留以说明门户所处系统位置）</w:t>
      </w:r>
    </w:p>
    <w:p>
      <w:r>
        <w:drawing>
          <wp:inline xmlns:a="http://schemas.openxmlformats.org/drawingml/2006/main" xmlns:pic="http://schemas.openxmlformats.org/drawingml/2006/picture">
            <wp:extent cx="5580000" cy="3045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 2  门户网站功能模块架构图（作为前后端职责参考）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3.2 实施原则。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前后端分离，前台强调 SEO 与访问性能，后台强调内容管理效率。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结构优先配置化：栏目、分类、标签、研究所、案例、页脚信息等尽量后台可配置。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低风险默认规范先行：分页、字段长度、API 返回格式等先统一制定，减少代理自由发挥。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高风险业务规则显式冻结：凡涉及公开口径、审批层级、用户身份边界的事项，均列入待确认清单。</w:t>
      </w:r>
    </w:p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4. 信息架构与页面清单</w:t>
      </w:r>
    </w:p>
    <w:p>
      <w:pPr>
        <w:spacing w:after="120" w:line="324" w:lineRule="auto"/>
      </w:pPr>
      <w:r>
        <w:rPr>
          <w:rFonts w:ascii="宋体" w:hAnsi="宋体" w:eastAsia="宋体"/>
          <w:b/>
          <w:sz w:val="24"/>
        </w:rPr>
        <w:t>4.1 前台一级导航建议。</w:t>
      </w:r>
      <w:r>
        <w:rPr>
          <w:rFonts w:ascii="宋体" w:hAnsi="宋体" w:eastAsia="宋体"/>
          <w:b w:val="0"/>
          <w:sz w:val="22"/>
        </w:rPr>
        <w:t xml:space="preserve"> 基于现有材料，建议本期前台一级导航至少包含：首页、新闻动态、成功案例、关于我们、研究所展示（可先隐藏或标记建设中）、人才服务（可先展示基础信息）、在线服务。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页面/路由</w:t>
            </w:r>
          </w:p>
        </w:tc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本期状态</w:t>
            </w:r>
          </w:p>
        </w:tc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主要内容</w:t>
            </w:r>
          </w:p>
        </w:tc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来源判断</w:t>
            </w:r>
          </w:p>
        </w:tc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实现要求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首屏 Banner、机构概况摘要、新闻动态摘要、成功案例摘要、数据统计摘要、快速入口、页脚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已确认+默认规范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必须完成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/news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新闻列表、分类筛选、关键词搜索、分页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必须完成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/news/:slug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新闻详情、发布时间、来源、封面、正文、相关推荐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已确认+默认规范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必须完成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/cases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案例列表、筛选、详情入口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必须完成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/cases/:slug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案例详情、合作方、成果简介、阶段/成效、相关图片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已确认+默认规范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必须完成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/about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机构介绍、使命愿景、组织架构、联系方式、领导团队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必须完成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/institutes</w:t>
            </w:r>
          </w:p>
        </w:tc>
        <w:tc>
          <w:tcPr>
            <w:tcW w:type="dxa" w:w="1837"/>
            <w:vAlign w:val="center"/>
            <w:shd w:fill="E2F0D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V2.0预留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研究所列表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本期可做只读占位或隐藏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/institutes/:slug</w:t>
            </w:r>
          </w:p>
        </w:tc>
        <w:tc>
          <w:tcPr>
            <w:tcW w:type="dxa" w:w="1837"/>
            <w:vAlign w:val="center"/>
            <w:shd w:fill="E2F0D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V2.0预留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研究所详情、方向、团队、成果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保留数据模型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/talent</w:t>
            </w:r>
          </w:p>
        </w:tc>
        <w:tc>
          <w:tcPr>
            <w:tcW w:type="dxa" w:w="1837"/>
            <w:vAlign w:val="center"/>
            <w:shd w:fill="E2F0D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V2.0预留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人才政策、招聘信息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可先做静态内容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/service</w:t>
            </w:r>
          </w:p>
        </w:tc>
        <w:tc>
          <w:tcPr>
            <w:tcW w:type="dxa" w:w="1837"/>
            <w:vAlign w:val="center"/>
            <w:shd w:fill="E2F0D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V2.0预留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在线咨询、服务预约、下载中心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本期建议先做入口页</w:t>
            </w:r>
          </w:p>
        </w:tc>
      </w:tr>
    </w:tbl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4.2 首页模块建议（默认规范）。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模块顺序建议：Banner → 机构概况 → 新闻动态 → 成功案例 → 数据统计 → 快速入口 → 页脚。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首页所有模块均应支持后台开关、排序、标题文案编辑和封面图替换。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Banner 建议支持 1–5 条轮播项，字段包括标题、副标题、按钮文案、跳转链接、背景图。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4.3 首页需确认事项。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事项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当前暂定方案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对开发影响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标记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首页最终栏目顺序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按“Banner—概况—新闻—案例—统计—入口—页脚”实现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影响前端首页布局与后台排序默认值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【需甲方确认】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首页核心视觉风格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先按简洁政产学研门户风格实现，不锁定品牌视觉系统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影响 UI 设计深度与素材准备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【需甲方确认】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首页展示的核心统计指标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先预留 3–6 个统计卡片字段，后台手工录入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影响首页信息架构与后台字段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【需甲方确认】</w:t>
            </w:r>
          </w:p>
        </w:tc>
      </w:tr>
    </w:tbl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5. 页面级开发规格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5.1 新闻模块。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新闻列表字段：标题、封面图、摘要、所属分类、发布日期、来源、置顶状态、发布状态。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支持列表分页、分类筛选、关键词搜索、置顶优先排序、发布时间倒序。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新闻详情页字段：标题、副标题（可选）、作者/来源（可选）、发布时间、正文（富文本）、附件列表、相关推荐。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后台需支持草稿、发布、下线、预发布时间、SEO 标题/描述/关键词。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5.2 成功案例模块。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案例字段建议：案例标题、案例封面、所属研究方向、合作方、案例简介、项目阶段、成果亮点、经济/社会效益、正文详情、相关图片。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案例列表支持标签或分类筛选；本期可不做复杂多条件检索。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案例详情页结构建议：概览区、项目背景、合作信息、转化成果、相关图片、相关推荐。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5.3 关于我们模块。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机构介绍页内容以单页内容管理方式实现，不建议硬编码。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领导团队建议采用后台可配置卡片列表，字段包含姓名、职务、头像、简介、排序。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联系方式建议包含地址、电话、邮箱、邮编、地图占位图或图片。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5.4 登录、注册与用户入口。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首页右上角保留登录入口；支持账号密码登录与手机号验证码登录。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机构用户账号由后台分配；个人用户支持自行注册，经审核通过后激活。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注册表单最小字段集建议：姓名、单位、手机号、邮箱（可选）、专业领域、申请说明（可选）。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用户中心本期建议只做基础资料维护，不做复杂工单、消息中心或深度个人工作台。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5.5 需甲方确认的页面问题。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保守占位方案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风险等级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标记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“成功案例”是否需要对外展示经济效益等敏感信息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字段保留但默认后台可关闭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【需甲方确认】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领导团队信息是否完整公开、是否附照片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采用可配置卡片，支持仅展示姓名/职务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【需甲方确认】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研究所页面在本期是否公开上线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先做导航预留与数据模型，不在主导航强曝光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【需甲方确认】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人才服务页面是否需要在线投递简历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本期只做职位展示与联系方式，不做完整 ATS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【需甲方确认】</w:t>
            </w:r>
          </w:p>
        </w:tc>
      </w:tr>
    </w:tbl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6. 后台管理端规格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6.1 后台功能菜单建议。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仪表盘：站点概览、内容统计、快捷入口。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内容管理：新闻、案例、单页内容、导航菜单、Banner、友情链接、文件库。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组织信息：机构概况、领导团队、研究所（预留）、合作伙伴（预留）。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用户与权限：用户列表、角色管理、审核管理、登录日志。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系统设置：站点基础信息、SEO 默认设置、页脚信息、短信配置、文件上传限制。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6.2 后台操作要求（默认规范）。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列表页统一支持分页、搜索、筛选、批量发布/下线/删除。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富文本编辑器需支持图片上传、附件上传、标题层级、表格、超链接。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删除操作默认走软删除或回收站机制，避免直接物理删除导致运营误操作。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所有发布时间、创建时间、更新时间统一存储；后台展示采用北京时间。</w:t>
      </w:r>
    </w:p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7. 数据模型建议（供 Claude 直接落库）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7.1 总体原则。</w:t>
      </w:r>
      <w:r>
        <w:rPr>
          <w:rFonts w:ascii="宋体" w:hAnsi="宋体" w:eastAsia="宋体"/>
          <w:b w:val="0"/>
          <w:sz w:val="22"/>
        </w:rPr>
        <w:t xml:space="preserve"> 优先采用可扩展、后台驱动的数据模型，避免把栏目和页面写死在代码中。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2296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296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关键字段（示意）</w:t>
            </w:r>
          </w:p>
        </w:tc>
        <w:tc>
          <w:tcPr>
            <w:tcW w:type="dxa" w:w="2296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门户用户表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username, phone, password_hash, real_name, organization, expertise, status, role_id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roles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角色表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name, code, description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articles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新闻文章表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title, slug, summary, cover_file_id, content_html, category_id, source, publish_at, status, seo_title, seo_desc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categories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分类表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name, code, type, parent_id, sort_order, is_enabled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tags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name, slug, type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article_tags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文章标签关联表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article_id, tag_id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cases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成功案例表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title, slug, summary, cover_file_id, partner_name, stage, highlights, benefits, content_html, status, publish_at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pages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单页内容表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page_key, title, content_html, seo_title, seo_desc, status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leaders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领导团队表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name, title, photo_file_id, intro, sort_order, is_visible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institutes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研究所表（预留）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name, slug, intro, directions, contact, status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banners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首页轮播表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title, subtitle, button_text, button_url, image_file_id, sort_order, is_enabled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site_settings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站点配置表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site_name, logo_file_id, contact_phone, contact_email, footer_text, icp_no, analytics_code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files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文件表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origin_name, storage_path, mime_type, size, owner_id, created_at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audit_logs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操作日志表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user_id, module, action, object_type, object_id, detail_json, created_at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已确认/默认规范</w:t>
            </w:r>
          </w:p>
        </w:tc>
      </w:tr>
    </w:tbl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7.2 关键待确认字段。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实体</w:t>
            </w:r>
          </w:p>
        </w:tc>
        <w:tc>
          <w:tcPr>
            <w:tcW w:type="dxa" w:w="3061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待确认字段/规则</w:t>
            </w:r>
          </w:p>
        </w:tc>
        <w:tc>
          <w:tcPr>
            <w:tcW w:type="dxa" w:w="3061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原因</w:t>
            </w:r>
          </w:p>
        </w:tc>
      </w:tr>
      <w:tr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users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个人用户注册是否必须填写邮箱；机构用户是否区分多种机构类型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影响注册表单、审核逻辑与数据质量要求</w:t>
            </w:r>
          </w:p>
        </w:tc>
      </w:tr>
      <w:tr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cases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合作方名称、经济效益、专利信息是否全部对外公开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影响字段必填性和展示策略</w:t>
            </w:r>
          </w:p>
        </w:tc>
      </w:tr>
      <w:tr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institutes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研究所是否固定为 8 个、是否允许后台新增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影响信息架构是否写死</w:t>
            </w:r>
          </w:p>
        </w:tc>
      </w:tr>
      <w:tr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site_settings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ICP备案号、公安备案号、统计代码是否由甲方提供</w:t>
            </w:r>
          </w:p>
        </w:tc>
        <w:tc>
          <w:tcPr>
            <w:tcW w:type="dxa" w:w="3061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影响上线前合规配置</w:t>
            </w:r>
          </w:p>
        </w:tc>
      </w:tr>
    </w:tbl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8. API 与权限规范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8.1 API 统一规范（默认规范）。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接口前缀建议：/api/v1。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返回结构建议：{code, message, data}；分页结构建议：{items, page, page_size, total}。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后台接口统一使用 JWT 鉴权；前台公开内容接口默认匿名可读。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文件上传默认限制：jpg/png/webp/pdf/doc/docx/xls/xlsx，单文件 ≤ 50MB。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接口组</w:t>
            </w:r>
          </w:p>
        </w:tc>
        <w:tc>
          <w:tcPr>
            <w:tcW w:type="dxa" w:w="2296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建议路由</w:t>
            </w:r>
          </w:p>
        </w:tc>
        <w:tc>
          <w:tcPr>
            <w:tcW w:type="dxa" w:w="2296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主要能力</w:t>
            </w:r>
          </w:p>
        </w:tc>
        <w:tc>
          <w:tcPr>
            <w:tcW w:type="dxa" w:w="2296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/auth/login, /auth/sms-login, /auth/register, /auth/me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登录、注册、用户信息、审核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已确认+默认规范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新闻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/articles, /articles/{id}, /admin/articles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前台查询与后台 CRUD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案例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/cases, /cases/{id}, /admin/cases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前台查询与后台 CRUD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单页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/pages/{key}, /admin/pages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关于我们等单页内容管理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Banner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/banners, /admin/banners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首页轮播配置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/files/upload, /files/{id}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上传、预览、下载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已确认+默认规范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/admin/settings/site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站点基础信息设置</w:t>
            </w:r>
          </w:p>
        </w:tc>
        <w:tc>
          <w:tcPr>
            <w:tcW w:type="dxa" w:w="2296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默认规范</w:t>
            </w:r>
          </w:p>
        </w:tc>
      </w:tr>
    </w:tbl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8.2 权限矩阵建议。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153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查看前台</w:t>
            </w:r>
          </w:p>
        </w:tc>
        <w:tc>
          <w:tcPr>
            <w:tcW w:type="dxa" w:w="153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管理内容</w:t>
            </w:r>
          </w:p>
        </w:tc>
        <w:tc>
          <w:tcPr>
            <w:tcW w:type="dxa" w:w="153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审核注册</w:t>
            </w:r>
          </w:p>
        </w:tc>
        <w:tc>
          <w:tcPr>
            <w:tcW w:type="dxa" w:w="153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系统设置</w:t>
            </w:r>
          </w:p>
        </w:tc>
        <w:tc>
          <w:tcPr>
            <w:tcW w:type="dxa" w:w="1531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超级管理员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全权限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内容编辑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管理新闻、案例、单页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审核员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审核用户注册/内容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机构用户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有限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本期建议仅保留基础用户能力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个人用户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注册后可维护个人信息</w:t>
            </w:r>
          </w:p>
        </w:tc>
      </w:tr>
    </w:tbl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8.3 权限待确认事项。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  <w:highlight w:val="yellow"/>
        </w:rPr>
        <w:t>【需甲方确认】</w:t>
      </w:r>
      <w:r>
        <w:rPr>
          <w:rFonts w:ascii="宋体" w:hAnsi="宋体" w:eastAsia="宋体"/>
          <w:b w:val="0"/>
          <w:sz w:val="22"/>
        </w:rPr>
        <w:t xml:space="preserve"> “机构用户”在门户网站中的实际权限边界尚不明确。保守方案为：本期不开放复杂机构工作台，仅允许管理员在后台代为维护机构相关展示信息。</w:t>
      </w:r>
    </w:p>
    <w:p>
      <w:pPr>
        <w:spacing w:after="160" w:line="324" w:lineRule="auto"/>
      </w:pPr>
      <w:r>
        <w:rPr>
          <w:rFonts w:ascii="宋体" w:hAnsi="宋体" w:eastAsia="宋体"/>
          <w:b/>
          <w:sz w:val="24"/>
          <w:highlight w:val="yellow"/>
        </w:rPr>
        <w:t>【需甲方确认】</w:t>
      </w:r>
      <w:r>
        <w:rPr>
          <w:rFonts w:ascii="宋体" w:hAnsi="宋体" w:eastAsia="宋体"/>
          <w:b w:val="0"/>
          <w:sz w:val="22"/>
        </w:rPr>
        <w:t xml:space="preserve"> 个人用户注册后是否拥有任何前台提交类功能（如咨询、活动报名、简历投递）尚未确认。本期建议默认关闭提交型业务，仅保留注册与资料维护。</w:t>
      </w:r>
    </w:p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9. 非功能需求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性能：普通页面加载及查询操作 ≤ 2 秒；支持不少于 100 个用户同时在线进行核心业务操作。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安全：HTTPS、密码加密存储、RBAC、操作日志、基础防火墙与漏洞修复。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兼容：PC、平板、手机响应式适配；主流现代浏览器兼容。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部署：提供 Docker 镜像、Compose 编排、Nginx 配置、部署文档。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可维护：代码结构清晰，必要注释完整，前后端配置分离。</w:t>
      </w:r>
    </w:p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10. 验收需求与测试清单</w:t>
      </w:r>
    </w:p>
    <w:p>
      <w:pPr>
        <w:spacing w:after="80" w:line="324" w:lineRule="auto"/>
      </w:pPr>
      <w:r>
        <w:rPr>
          <w:rFonts w:ascii="宋体" w:hAnsi="宋体" w:eastAsia="宋体"/>
          <w:b/>
          <w:sz w:val="24"/>
        </w:rPr>
        <w:t>10.1 验收原则。</w:t>
      </w:r>
      <w:r>
        <w:rPr>
          <w:rFonts w:ascii="宋体" w:hAnsi="宋体" w:eastAsia="宋体"/>
          <w:b w:val="0"/>
          <w:sz w:val="22"/>
        </w:rPr>
        <w:t xml:space="preserve"> 验收不能只停留在“有页面”，应按测试用例逐条核验。以下清单可直接转化为测试报告目录。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验收标准</w:t>
            </w:r>
          </w:p>
        </w:tc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837"/>
            <w:vAlign w:val="center"/>
            <w:shd w:fill="BFD7EE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A-01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首页可访问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输入域名后可打开首页，无明显报错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A-02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首页模块展示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Banner、机构概况、新闻、案例、页脚正常展示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A-03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新闻列表筛选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可按分类筛选并分页显示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新闻详情展示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正文、发布时间、封面、相关推荐正常显示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A-05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案例列表/详情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案例可列表展示并进入详情页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A-06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后台登录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管理员可通过账号密码登录后台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A-07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内容发布流程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新闻/案例支持创建、保存草稿、发布、下线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A-08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文件上传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支持图片与附件上传，超格式/超大小能正确报错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A-09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用户注册审核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个人用户注册后进入待审核，审核通过后可登录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如启用注册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A-10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权限隔离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非授权角色不能访问系统设置或管理内容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A-11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页面性能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普通页面加载或查询操作 ≤ 2 秒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压测报告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A-12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并发能力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 用户并发下核心操作可用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压测报告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A-13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全站启用 HTTPS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A-14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密码安全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密码非明文存储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  <w:tr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A-15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部署文档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运维人员可按文档完成部署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交付</w:t>
            </w:r>
          </w:p>
        </w:tc>
        <w:tc>
          <w:tcPr>
            <w:tcW w:type="dxa" w:w="18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必测</w:t>
            </w:r>
          </w:p>
        </w:tc>
      </w:tr>
    </w:tbl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11. 开发推进建议（供乙方内部排产）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第 1 周：补齐待确认事项、冻结 IA、确定 UI 风格与素材清单。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第 2–3 周：完成原型与数据库/API 初版，交由 Claude 生成项目骨架。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第 4–8 周：完成前台 V1 页面与后台内容管理核心功能。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第 9–10 周：完成注册审核、系统设置、SEO、文件上传、日志等通用能力。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第 11–12 周：联调、压测、安全整改、内容初始化。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第 13–16 周：UAT、培训、试运行、验收。</w:t>
      </w:r>
    </w:p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12. 乙方需优先向甲方确认的信息（高亮汇总）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以下事项建议在项目启动后第一周内完成确认；若未确认，开发应按照“暂定方案”执行，且保持可配置、可替换。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需确认事项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暂定方案</w:t>
            </w:r>
          </w:p>
        </w:tc>
        <w:tc>
          <w:tcPr>
            <w:tcW w:type="dxa" w:w="2296"/>
            <w:vAlign w:val="center"/>
            <w:shd w:fill="F4B18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建议确认时点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首页栏目顺序与视觉风格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按标准信息型门户实现，模块支持后台排序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周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首页核心统计指标口径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先预留 3–6 个后台录入指标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周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成功案例可公开字段范围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敏感字段默认可关闭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周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研究所页面是否在本期上线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先预留，不强曝光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周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人才服务是否需要在线投递简历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本期仅做展示页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1–2 周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注册用户的真实业务权限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默认仅可登录和维护资料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周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机构用户类型与账号分配规则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默认后台创建，不开放复杂机构工作台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周</w:t>
            </w:r>
          </w:p>
        </w:tc>
      </w:tr>
      <w:tr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备案号、地图、联系方式、正式素材是否齐备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缺失内容先用可替换占位</w:t>
            </w:r>
          </w:p>
        </w:tc>
        <w:tc>
          <w:tcPr>
            <w:tcW w:type="dxa" w:w="2296"/>
            <w:vAlign w:val="center"/>
            <w:shd w:fill="FFF2CC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上线前</w:t>
            </w:r>
          </w:p>
        </w:tc>
      </w:tr>
    </w:tbl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附录 A. 默认规范清单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列表页默认分页大小 10 或 12 条，可后台配置。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slug 默认采用英文或拼音短标识；如甲方不提供，则后台自动生成。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图片建议比例：Banner 1920×640；列表封面 16:9；人物头像 1:1。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富文本正文图片默认居中显示，宽度不超过内容区。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前台异常页至少包含 404、500、无数据三类状态页。</w:t>
      </w:r>
    </w:p>
    <w:p>
      <w:pPr>
        <w:pStyle w:val="Heading1"/>
        <w:spacing w:before="0" w:after="120" w:line="324" w:lineRule="auto"/>
      </w:pPr>
      <w:r>
        <w:rPr>
          <w:rFonts w:ascii="黑体" w:hAnsi="黑体" w:eastAsia="黑体"/>
          <w:b w:val="0"/>
          <w:sz w:val="24"/>
        </w:rPr>
        <w:t>附录 B. 开发执行提示（给 Claude）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不得对黄色高亮事项自行做业务拍板；应按可配置方式保留扩展点。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优先完成门户 V1.0 的前台页面、后台内容管理、认证与部署闭环。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V2.0 模块只需预留菜单、数据模型或路由，不要求在本期实现完整闭环。</w:t>
      </w:r>
    </w:p>
    <w:p>
      <w:pPr>
        <w:spacing w:after="60"/>
        <w:ind w:left="420" w:hanging="283"/>
      </w:pPr>
      <w:r>
        <w:rPr>
          <w:rFonts w:ascii="宋体" w:hAnsi="宋体" w:eastAsia="宋体"/>
          <w:b w:val="0"/>
          <w:sz w:val="22"/>
        </w:rPr>
        <w:t>• 所有代码输出均应与本规格书中的实体、权限与验收清单保持一致。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