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rFonts w:ascii="Times New Roman" w:hAnsi="Times New Roman" w:eastAsia="黑体"/>
        </w:rPr>
        <w:t>门户网站项目</w:t>
        <w:br/>
        <w:t>需甲方确认事项清单</w:t>
      </w:r>
    </w:p>
    <w:p>
      <w:pPr>
        <w:pStyle w:val="SubTitleCN"/>
        <w:jc w:val="center"/>
      </w:pPr>
      <w:r>
        <w:br/>
        <w:t>（乙方内部整理版，可直接用于与甲方沟通确认）</w:t>
      </w:r>
    </w:p>
    <w:p/>
    <w:p/>
    <w:p/>
    <w:p>
      <w:pPr>
        <w:pStyle w:val="BodyCN"/>
        <w:ind w:firstLine="420"/>
      </w:pPr>
      <w:r>
        <w:t>适用对象：乙方项目经理、产品经理、技术负责人，与甲方进行需求澄清、范围冻结、上线及验收准备时使用。</w:t>
      </w:r>
    </w:p>
    <w:p>
      <w:pPr>
        <w:pStyle w:val="BodyCN"/>
        <w:ind w:firstLine="420"/>
      </w:pPr>
      <w:r>
        <w:t>整理依据：《附件1：门户网站系统建设需求方案与交付清单》及《北京怀柔科学城生命科学产业创新研究院信息化平台开发方案》中门户网站相关内容。</w:t>
      </w:r>
    </w:p>
    <w:p>
      <w:pPr>
        <w:pStyle w:val="BodyCN"/>
        <w:ind w:firstLine="420"/>
      </w:pPr>
      <w:r>
        <w:t>使用原则：凡涉及业务规则、内容口径、对外公开边界、账号权限、第三方对接、上线条件和验收口径的事项，均不建议由开发团队自行假设，应由甲方书面确认。</w:t>
      </w:r>
    </w:p>
    <w:p>
      <w:r>
        <w:br w:type="page"/>
      </w:r>
    </w:p>
    <w:p>
      <w:pPr>
        <w:pStyle w:val="Heading1CN"/>
      </w:pPr>
      <w:r>
        <w:t>一、文档说明</w:t>
      </w:r>
    </w:p>
    <w:p>
      <w:pPr>
        <w:pStyle w:val="BodyCN"/>
        <w:ind w:firstLine="420"/>
      </w:pPr>
      <w:r>
        <w:t>本清单将门户网站项目中仍需甲方明确确认的事项单独抽取出来，并对每项事项补充“需要什么、为什么需要、会对什么产生影响、建议何时确认”。</w:t>
      </w:r>
    </w:p>
    <w:p>
      <w:pPr>
        <w:pStyle w:val="BodyCN"/>
        <w:ind w:firstLine="420"/>
      </w:pPr>
      <w:r>
        <w:t>目的不是增加沟通负担，而是尽量将高风险决策前置，避免后续在页面结构、数据库设计、接口设计、内容整理、联调测试和验收环节发生返工。</w:t>
      </w:r>
    </w:p>
    <w:p>
      <w:pPr>
        <w:pStyle w:val="BodyCN"/>
        <w:ind w:firstLine="420"/>
      </w:pPr>
      <w:r>
        <w:t>建议将本清单作为需求确认会、原型评审会、上线准备会和验收准备会的标准议题清单。</w:t>
      </w:r>
    </w:p>
    <w:p>
      <w:pPr>
        <w:pStyle w:val="Heading1CN"/>
      </w:pPr>
      <w:r>
        <w:t>二、优先级说明</w:t>
      </w:r>
    </w:p>
    <w:p>
      <w:pPr>
        <w:pStyle w:val="BodyCN"/>
      </w:pPr>
      <w:r>
        <w:rPr>
          <w:b/>
          <w:highlight w:val="yellow"/>
        </w:rPr>
        <w:t>A类（开发前必须确认）：</w:t>
      </w:r>
      <w:r>
        <w:t>不确认将直接影响信息架构、数据结构、权限模型、页面与接口设计，开发团队不宜自行决定。</w:t>
      </w:r>
    </w:p>
    <w:p>
      <w:pPr>
        <w:pStyle w:val="BodyCN"/>
      </w:pPr>
      <w:r>
        <w:rPr>
          <w:b/>
          <w:highlight w:val="yellow"/>
        </w:rPr>
        <w:t>B类（开发中需确认）：</w:t>
      </w:r>
      <w:r>
        <w:t>不确认不会阻塞项目启动，但会影响中期联调、内容填充、对外展示效果和业务流程闭环。</w:t>
      </w:r>
    </w:p>
    <w:p>
      <w:pPr>
        <w:pStyle w:val="BodyCN"/>
      </w:pPr>
      <w:r>
        <w:rPr>
          <w:b/>
          <w:highlight w:val="yellow"/>
        </w:rPr>
        <w:t>C类（上线及验收前确认）：</w:t>
      </w:r>
      <w:r>
        <w:t>不确认不会影响主体开发，但会影响正式上线、对外运营、测试验收和责任边界。</w:t>
      </w:r>
    </w:p>
    <w:p>
      <w:pPr>
        <w:pStyle w:val="Heading1CN"/>
      </w:pPr>
      <w:r>
        <w:t>三、事项总览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确认事项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建议确认时点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A01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首页与导航结构冻结</w:t>
            </w:r>
          </w:p>
        </w:tc>
        <w:tc>
          <w:tcPr>
            <w:tcW w:type="dxa" w:w="2408"/>
          </w:tcPr>
          <w:p>
            <w:r>
              <w:rPr>
                <w:sz w:val="18"/>
                <w:highlight w:val="yellow"/>
              </w:rPr>
              <w:t>A类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开发前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A02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栏目范围与V1/V2边界</w:t>
            </w:r>
          </w:p>
        </w:tc>
        <w:tc>
          <w:tcPr>
            <w:tcW w:type="dxa" w:w="2408"/>
          </w:tcPr>
          <w:p>
            <w:r>
              <w:rPr>
                <w:sz w:val="18"/>
                <w:highlight w:val="yellow"/>
              </w:rPr>
              <w:t>A类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开发前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A03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研究所/平台/案例等基础台账口径</w:t>
            </w:r>
          </w:p>
        </w:tc>
        <w:tc>
          <w:tcPr>
            <w:tcW w:type="dxa" w:w="2408"/>
          </w:tcPr>
          <w:p>
            <w:r>
              <w:rPr>
                <w:sz w:val="18"/>
                <w:highlight w:val="yellow"/>
              </w:rPr>
              <w:t>A类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开发前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A04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对外公开字段与内容边界</w:t>
            </w:r>
          </w:p>
        </w:tc>
        <w:tc>
          <w:tcPr>
            <w:tcW w:type="dxa" w:w="2408"/>
          </w:tcPr>
          <w:p>
            <w:r>
              <w:rPr>
                <w:sz w:val="18"/>
                <w:highlight w:val="yellow"/>
              </w:rPr>
              <w:t>A类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开发前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A05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用户类型、注册方式与审核流程</w:t>
            </w:r>
          </w:p>
        </w:tc>
        <w:tc>
          <w:tcPr>
            <w:tcW w:type="dxa" w:w="2408"/>
          </w:tcPr>
          <w:p>
            <w:r>
              <w:rPr>
                <w:sz w:val="18"/>
                <w:highlight w:val="yellow"/>
              </w:rPr>
              <w:t>A类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开发前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A06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后台角色与权限矩阵</w:t>
            </w:r>
          </w:p>
        </w:tc>
        <w:tc>
          <w:tcPr>
            <w:tcW w:type="dxa" w:w="2408"/>
          </w:tcPr>
          <w:p>
            <w:r>
              <w:rPr>
                <w:sz w:val="18"/>
                <w:highlight w:val="yellow"/>
              </w:rPr>
              <w:t>A类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开发前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A07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在线服务是否仅表单收集还是流程化办理</w:t>
            </w:r>
          </w:p>
        </w:tc>
        <w:tc>
          <w:tcPr>
            <w:tcW w:type="dxa" w:w="2408"/>
          </w:tcPr>
          <w:p>
            <w:r>
              <w:rPr>
                <w:sz w:val="18"/>
                <w:highlight w:val="yellow"/>
              </w:rPr>
              <w:t>A类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开发前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A08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第三方系统对接范围与方式</w:t>
            </w:r>
          </w:p>
        </w:tc>
        <w:tc>
          <w:tcPr>
            <w:tcW w:type="dxa" w:w="2408"/>
          </w:tcPr>
          <w:p>
            <w:r>
              <w:rPr>
                <w:sz w:val="18"/>
                <w:highlight w:val="yellow"/>
              </w:rPr>
              <w:t>A类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开发前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B01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设计风格、品牌素材与图片版权来源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B类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第2-4周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B02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新闻、案例、研究所等内容供稿与审核责任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B类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第2-5周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B03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搜索范围、推荐规则与统计口径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B类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第4-8周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B04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移动端范围与关键页面适配深度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B类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第3-6周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B05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SEO、双语与外部传播要求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B类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第3-6周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B06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下载资料、报名、预约等功能的访问控制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B类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第5-8周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B07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日志留存、隐私条款与合规展示要求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B类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第6-10周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C01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域名、部署环境、备案与证书准备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C类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上线前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C02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上线初始数据、正式素材与迁移安排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C类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上线前</w:t>
            </w:r>
          </w:p>
        </w:tc>
      </w:tr>
      <w:tr>
        <w:tc>
          <w:tcPr>
            <w:tcW w:type="dxa" w:w="2408"/>
          </w:tcPr>
          <w:p>
            <w:r>
              <w:rPr>
                <w:sz w:val="18"/>
              </w:rPr>
              <w:t>C03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UAT测试组织方式与验收签署口径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C类</w:t>
            </w:r>
          </w:p>
        </w:tc>
        <w:tc>
          <w:tcPr>
            <w:tcW w:type="dxa" w:w="2408"/>
          </w:tcPr>
          <w:p>
            <w:r>
              <w:rPr>
                <w:sz w:val="18"/>
              </w:rPr>
              <w:t>验收前</w:t>
            </w:r>
          </w:p>
        </w:tc>
      </w:tr>
    </w:tbl>
    <w:p>
      <w:r>
        <w:br w:type="page"/>
      </w:r>
    </w:p>
    <w:p>
      <w:pPr>
        <w:pStyle w:val="Heading1CN"/>
      </w:pPr>
      <w:r>
        <w:t>四、详细确认事项</w:t>
      </w:r>
    </w:p>
    <w:p>
      <w:pPr>
        <w:pStyle w:val="Heading2CN"/>
      </w:pPr>
      <w:r>
        <w:t>（一）A类：开发前必须确认的事项</w:t>
      </w:r>
    </w:p>
    <w:p>
      <w:pPr>
        <w:pStyle w:val="BlockTitle"/>
        <w:spacing w:before="160" w:after="60"/>
      </w:pPr>
      <w:r>
        <w:rPr>
          <w:highlight w:val="yellow"/>
        </w:rPr>
        <w:t>【A01】首页与导航结构冻结（开发前必须确认）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首页首屏的主视觉区、一级导航名称、二级导航层级、首页栏目顺序、页脚栏目、是否需要“关于我们/研究所/案例/合作/人才/服务”等固定入口。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首页与导航一旦进入设计和前端开发，就会牵引路由结构、CMS栏目模型、菜单权限和SEO链接结构；后期改动成本高。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影响网站信息架构、页面原型、前端路由、后台栏目配置、SEO收录路径和后续内容填充工作量。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在UI原型定稿前由甲方完成书面确认。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暂按“机构概况、新闻动态、成功案例、研究所展示、人才服务、产学研合作、在线服务”组织首页与导航。</w:t>
      </w:r>
    </w:p>
    <w:p>
      <w:pPr>
        <w:pStyle w:val="BlockTitle"/>
        <w:spacing w:before="160" w:after="60"/>
      </w:pPr>
      <w:r>
        <w:rPr>
          <w:highlight w:val="yellow"/>
        </w:rPr>
        <w:t>【A02】栏目范围与V1/V2边界（开发前必须确认）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哪些模块属于本期V1必须上线，哪些仅做预留；尤其需明确研究所管理、成果孵化、共性平台、专家库、活动报名、在线预约、资源下载、智能推荐等模块是否进入当前开发范围。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原始材料同时存在V1与2.0扩展描述，但未完全冻结到可开发粒度；若不确认，开发团队容易在范围上过度实现或漏做。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影响排期、工作量评估、数据库字段设计、菜单结构、测试范围和最终验收边界。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在开发排期拆分前确认，并形成版本范围清单。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暂按“V1以门户展示为主、扩展功能以预留接口和后台配置位为主”处理。</w:t>
      </w:r>
    </w:p>
    <w:p>
      <w:pPr>
        <w:pStyle w:val="BlockTitle"/>
        <w:spacing w:before="160" w:after="60"/>
      </w:pPr>
      <w:r>
        <w:rPr>
          <w:highlight w:val="yellow"/>
        </w:rPr>
        <w:t>【A03】研究所、平台、案例等基础台账口径（开发前必须确认）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研究所数量与正式名称是否固定为8个；共性平台清单是否固定；成功案例、合作伙伴、领导团队、核心数据统计项分别有哪些正式口径和数据来源。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这些对象会直接形成基础数据实体；若名称、数量和分类频繁变动，数据库和页面模板需要反复调整。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影响数据模型、详情页模板、筛选分类、后台录入表单、首页统计模块和内容导入清单。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在数据库设计和详情页模板设计前确认。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暂按现有方案中的研究所与平台示例作为可配置台账对象设计。</w:t>
      </w:r>
    </w:p>
    <w:p>
      <w:pPr>
        <w:pStyle w:val="BlockTitle"/>
        <w:spacing w:before="160" w:after="60"/>
      </w:pPr>
      <w:r>
        <w:rPr>
          <w:highlight w:val="yellow"/>
        </w:rPr>
        <w:t>【A04】对外公开字段与内容边界（开发前必须确认）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新闻、案例、专家、研究所、合作项目、联系方式等模块分别哪些字段可对外公开，哪些仅内部管理使用；是否允许公开手机号、邮箱、合作联系人、经济效益等信息。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门户网站是外网公开系统，对外字段一旦设计并发布，涉及信息安全、合规与对外口径，乙方不应自行判断。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影响数据库字段拆分、前台展示模板、后台表单权限、审稿流程、隐私与合规风险。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在详细字段字典评审前确认。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暂按“公开字段与后台管理字段分离”的方式设计，并默认隐藏敏感联系人信息。</w:t>
      </w:r>
    </w:p>
    <w:p>
      <w:pPr>
        <w:pStyle w:val="BlockTitle"/>
        <w:spacing w:before="160" w:after="60"/>
      </w:pPr>
      <w:r>
        <w:rPr>
          <w:highlight w:val="yellow"/>
        </w:rPr>
        <w:t>【A05】用户类型、注册方式与审核流程（开发前必须确认）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是否开放个人用户注册；哪些用户由管理员创建，哪些允许自注册；机构用户、专家用户、科研人员、产业专班等角色的注册字段、审核节点、激活规则和禁用规则分别是什么。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原始材料仅给出示例性描述，未明确可执行的用户体系。账号体系一旦开发完成，后期切换代价高。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影响登录页、注册页、用户表结构、短信验证码、审核流程、权限模型和测试账号准备。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在账号与权限模块开发前确认。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暂按“管理员创建机构用户，个人用户可注册后审核激活”设计。</w:t>
      </w:r>
    </w:p>
    <w:p>
      <w:pPr>
        <w:pStyle w:val="BlockTitle"/>
        <w:spacing w:before="160" w:after="60"/>
      </w:pPr>
      <w:r>
        <w:rPr>
          <w:highlight w:val="yellow"/>
        </w:rPr>
        <w:t>【A06】后台角色与权限矩阵（开发前必须确认）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请甲方确认后台最少需要哪些角色，例如超级管理员、内容编辑、审核员、研究所管理员、数据查看人员等；每类角色分别能查看、编辑、发布、删除哪些模块。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仅有RBAC原则不足以支撑开发，必须落到角色—菜单—按钮—数据范围的矩阵层面。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影响后台菜单、接口鉴权、中间件设计、操作日志、测试用例和验收标准。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在后台原型和接口清单冻结前确认。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暂按“超级管理员/内容编辑/审核发布/只读查看”四级权限做初版设计。</w:t>
      </w:r>
    </w:p>
    <w:p>
      <w:pPr>
        <w:pStyle w:val="BlockTitle"/>
        <w:spacing w:before="160" w:after="60"/>
      </w:pPr>
      <w:r>
        <w:rPr>
          <w:highlight w:val="yellow"/>
        </w:rPr>
        <w:t>【A07】在线服务的业务深度（开发前必须确认）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在线咨询、服务预约、活动报名等功能究竟只需表单收集和邮件通知，还是需要申请单、审核、状态流转、短信通知、结果回写等完整流程。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同样叫“在线服务”，实现复杂度可能相差数倍；不先确认会导致排期和实现方式严重偏差。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影响表单设计、流程引擎需求、短信/邮件服务、后台处理台账、状态字段和验收方式。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在服务模块设计前确认。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暂按“先实现表单提交+后台查看+导出”的轻量模式预估。</w:t>
      </w:r>
    </w:p>
    <w:p>
      <w:pPr>
        <w:pStyle w:val="BlockTitle"/>
        <w:spacing w:before="160" w:after="60"/>
      </w:pPr>
      <w:r>
        <w:rPr>
          <w:highlight w:val="yellow"/>
        </w:rPr>
        <w:t>【A08】第三方系统对接范围与方式（开发前必须确认）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成果转化资源对接系统、培训业务系统、WPS协同办公等，是仅提供跳转入口、单点登录、数据接口对接，还是需要双向同步；接口协议、责任边界和联调方是谁。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原始材料提到相关业务系统模块，但未明确到可开发程度。跨系统对接若后置确认，极易卡住联调。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影响接口预留、认证方式、页面入口、联调计划、安全评审和上线时间。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在总体技术方案冻结前确认。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暂按“门户先保留入口位与接口适配层，不绑定具体对接协议”设计。</w:t>
      </w:r>
    </w:p>
    <w:p>
      <w:pPr>
        <w:pStyle w:val="Heading2CN"/>
      </w:pPr>
      <w:r>
        <w:t>（二）B类：开发中需确认的事项</w:t>
      </w:r>
    </w:p>
    <w:p>
      <w:pPr>
        <w:pStyle w:val="BlockTitle"/>
        <w:spacing w:before="160" w:after="60"/>
      </w:pPr>
      <w:r>
        <w:rPr>
          <w:highlight w:val="yellow"/>
        </w:rPr>
        <w:t>【B01】设计风格、品牌素材与图片版权来源（开发中需确认）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甲方需提供Logo源文件、标准色、字体/VI规范、首页Banner图、研究所/平台配图、领导照片、案例配图，以及素材是否有合法使用授权。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视觉风格可以先做占位稿，但正式UI与上线发布必须依赖品牌与版权材料。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影响UI定稿、切图与前端资源、页面完成度、版权风险和上线时间。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在视觉稿评审与前端切图前确认。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暂以低风险占位图和通用科研机构风格进行原型设计。</w:t>
      </w:r>
    </w:p>
    <w:p>
      <w:pPr>
        <w:pStyle w:val="BlockTitle"/>
        <w:spacing w:before="160" w:after="60"/>
      </w:pPr>
      <w:r>
        <w:rPr>
          <w:highlight w:val="yellow"/>
        </w:rPr>
        <w:t>【B02】内容供稿与审核责任划分（开发中需确认）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新闻、机构介绍、研究所详情、案例、合作伙伴、招聘信息等内容由谁提供、谁审核、谁最终确认发布；是否存在多部门协同供稿。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多数门户项目延期并非因代码，而是因内容迟迟未齐或审核责任不清。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影响内容初始化、后台培训对象、发布流程、上线计划和试运行效果。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在内容迁移计划启动前确认。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暂按“甲方提供正式内容，乙方仅做格式化导入与展示实现”边界执行。</w:t>
      </w:r>
    </w:p>
    <w:p>
      <w:pPr>
        <w:pStyle w:val="BlockTitle"/>
        <w:spacing w:before="160" w:after="60"/>
      </w:pPr>
      <w:r>
        <w:rPr>
          <w:highlight w:val="yellow"/>
        </w:rPr>
        <w:t>【B03】搜索、推荐与统计口径（开发中需确认）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全站搜索要覆盖哪些模块；是否需要按标题、正文、标签、研究方向等筛选；热门内容、推荐内容、访问统计和业务统计分别按什么规则计算。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若不确认，开发只能实现非常基础的关键词搜索与浏览量统计，可能与甲方预期不一致。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影响搜索索引、筛选项设计、推荐位、统计看板、埋点方案和验收用例。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在搜索与数据模块开发前确认。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暂按“关键词搜索+基础分类筛选+PV/UV统计”设计。</w:t>
      </w:r>
    </w:p>
    <w:p>
      <w:pPr>
        <w:pStyle w:val="BlockTitle"/>
        <w:spacing w:before="160" w:after="60"/>
      </w:pPr>
      <w:r>
        <w:rPr>
          <w:highlight w:val="yellow"/>
        </w:rPr>
        <w:t>【B04】移动端范围与关键页面适配深度（开发中需确认）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移动端是否要求全部页面完整适配，还是仅首页、新闻、研究所、案例、联系等核心页面适配；报名、下载、后台功能是否需要在手机端可用。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响应式适配的深度会明显影响前端工作量与测试矩阵。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影响页面布局方案、组件设计、测试设备范围和上线质量标准。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在前端组件库定稿前确认。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暂按“门户前台核心页面全响应式、后台仅PC优先”处理。</w:t>
      </w:r>
    </w:p>
    <w:p>
      <w:pPr>
        <w:pStyle w:val="BlockTitle"/>
        <w:spacing w:before="160" w:after="60"/>
      </w:pPr>
      <w:r>
        <w:rPr>
          <w:highlight w:val="yellow"/>
        </w:rPr>
        <w:t>【B05】SEO、双语与外部传播要求（开发中需确认）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是否需要英文版或中英文双语；是否需要自定义SEO标题、描述、关键词；是否要求百度/微信传播适配、结构化数据、站点地图等。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这类要求若在开发后期追加，通常会改动页面模板、字段结构和发布流程。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影响CMS字段、前端Meta策略、路由规划、内容翻译工作量和上线检查表。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在内容模型评审前确认。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暂按“中文站点+基础SEO能力”建设。</w:t>
      </w:r>
    </w:p>
    <w:p>
      <w:pPr>
        <w:pStyle w:val="BlockTitle"/>
        <w:spacing w:before="160" w:after="60"/>
      </w:pPr>
      <w:r>
        <w:rPr>
          <w:highlight w:val="yellow"/>
        </w:rPr>
        <w:t>【B06】下载、报名、预约等功能的访问控制（开发中需确认）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资源下载是否需登录；活动报名是否对外开放；预约申请是否只限特定用户；是否需要验证码、防刷、数量限制和导出名单。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同一功能在公开与半公开场景下，数据结构和安全策略差异较大。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影响权限判断、表单校验、防滥用机制、数据导出和合规提示。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在功能原型评审时确认。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暂按“公开浏览、部分提交动作登录后进行”处理。</w:t>
      </w:r>
    </w:p>
    <w:p>
      <w:pPr>
        <w:pStyle w:val="BlockTitle"/>
        <w:spacing w:before="160" w:after="60"/>
      </w:pPr>
      <w:r>
        <w:rPr>
          <w:highlight w:val="yellow"/>
        </w:rPr>
        <w:t>【B07】日志留存、隐私条款与合规展示要求（开发中需确认）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是否需要在前台展示隐私政策、用户协议、Cookie/统计提示；后台操作日志需保存多久；是否有特定审计、留痕或删改记录要求。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合规要求通常不在早期材料中写透，但上线前一定会被问到；提前明确可减少补丁式开发。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影响前台法务页面、日志表结构、存储容量、管理员操作记录和验收材料。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在安全与上线准备阶段前确认。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暂按“基础操作日志+前台隐私政策页预留”设计。</w:t>
      </w:r>
    </w:p>
    <w:p>
      <w:pPr>
        <w:pStyle w:val="Heading2CN"/>
      </w:pPr>
      <w:r>
        <w:t>（三）C类：上线及验收前确认的事项</w:t>
      </w:r>
    </w:p>
    <w:p>
      <w:pPr>
        <w:pStyle w:val="BlockTitle"/>
        <w:spacing w:before="160" w:after="60"/>
      </w:pPr>
      <w:r>
        <w:rPr>
          <w:highlight w:val="yellow"/>
        </w:rPr>
        <w:t>【C01】域名、部署环境、备案与证书准备（上线及验收前确认）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正式域名、DNS管理方、ICP备案/公安备案责任主体、HTTPS证书采购方式、正式服务器/云资源由谁提供，以及测试环境与生产环境的访问策略。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主体开发可以先进行，但正式上线必须依赖这些条件；很多项目实际卡在非代码问题上。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影响部署计划、联调地址、正式上线时间、SEO生效和外网可访问性。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在部署方案落地前确认。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暂按“容器化部署，支持测试/生产双环境”准备。</w:t>
      </w:r>
    </w:p>
    <w:p>
      <w:pPr>
        <w:pStyle w:val="BlockTitle"/>
        <w:spacing w:before="160" w:after="60"/>
      </w:pPr>
      <w:r>
        <w:rPr>
          <w:highlight w:val="yellow"/>
        </w:rPr>
        <w:t>【C02】初始数据、正式素材与迁移安排（上线及验收前确认）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甲方需明确上线首批新闻、介绍、案例、研究所、专家、图片、下载资料等正式内容的提供时间、格式和责任人；历史内容是否需要迁移。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没有首批内容，门户虽可上线但无法达到对外展示要求，且UAT无法按真实场景验证。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影响数据导入、联调测试、页面完成度、培训安排和上线观感。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在UAT前确认并形成清单。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暂支持Excel/表格化导入和后台人工录入两种方式。</w:t>
      </w:r>
    </w:p>
    <w:p>
      <w:pPr>
        <w:pStyle w:val="BlockTitle"/>
        <w:spacing w:before="160" w:after="60"/>
      </w:pPr>
      <w:r>
        <w:rPr>
          <w:highlight w:val="yellow"/>
        </w:rPr>
        <w:t>【C03】UAT组织方式与验收签署口径（上线及验收前确认）</w:t>
      </w:r>
    </w:p>
    <w:p>
      <w:pPr>
        <w:pStyle w:val="BodyCN"/>
        <w:ind w:left="198" w:hanging="198"/>
      </w:pPr>
      <w:r>
        <w:rPr>
          <w:b/>
          <w:highlight w:val="yellow"/>
        </w:rPr>
        <w:t>需要甲方确认：</w:t>
      </w:r>
      <w:r>
        <w:t>由甲方哪些部门参与UAT；验收按页面、功能、性能还是业务场景签署；发现问题后是一次性整改还是分批闭环；最终谁有签字权。</w:t>
      </w:r>
    </w:p>
    <w:p>
      <w:pPr>
        <w:pStyle w:val="BodyCN"/>
        <w:ind w:left="198" w:hanging="198"/>
      </w:pPr>
      <w:r>
        <w:rPr>
          <w:b/>
        </w:rPr>
        <w:t>为什么需要确认：</w:t>
      </w:r>
      <w:r>
        <w:t>如果验收口径不明确，项目即使完成开发，也可能在试运行和结项阶段长期拉扯。</w:t>
      </w:r>
    </w:p>
    <w:p>
      <w:pPr>
        <w:pStyle w:val="BodyCN"/>
        <w:ind w:left="198" w:hanging="198"/>
      </w:pPr>
      <w:r>
        <w:rPr>
          <w:b/>
        </w:rPr>
        <w:t>将产生的影响：</w:t>
      </w:r>
      <w:r>
        <w:t>影响测试报告格式、问题单闭环方式、交付顺序、回款节奏和项目责任边界。</w:t>
      </w:r>
    </w:p>
    <w:p>
      <w:pPr>
        <w:pStyle w:val="BodyCN"/>
        <w:ind w:left="198" w:hanging="198"/>
      </w:pPr>
      <w:r>
        <w:rPr>
          <w:b/>
        </w:rPr>
        <w:t>建议确认时点：</w:t>
      </w:r>
      <w:r>
        <w:t>建议在UAT启动前正式确认。</w:t>
      </w:r>
    </w:p>
    <w:p>
      <w:pPr>
        <w:pStyle w:val="BodyCN"/>
        <w:ind w:left="198" w:hanging="198"/>
      </w:pPr>
      <w:r>
        <w:rPr>
          <w:b/>
        </w:rPr>
        <w:t>当前乙方暂定方案：</w:t>
      </w:r>
      <w:r>
        <w:t>暂按“功能测试+性能测试+UAT签字”三段式验收准备。</w:t>
      </w:r>
    </w:p>
    <w:p>
      <w:pPr>
        <w:pStyle w:val="Heading1CN"/>
      </w:pPr>
      <w:r>
        <w:t>五、建议的沟通与确认方式</w:t>
      </w:r>
    </w:p>
    <w:p>
      <w:pPr>
        <w:pStyle w:val="BodyCN"/>
        <w:ind w:left="420" w:hanging="227"/>
      </w:pPr>
      <w:r>
        <w:t xml:space="preserve">• </w:t>
      </w:r>
      <w:r>
        <w:t>对于A类事项，建议甲方通过会议纪要、确认邮件或盖章版需求确认单进行书面确认，不建议仅通过口头沟通留存。</w:t>
      </w:r>
    </w:p>
    <w:p>
      <w:pPr>
        <w:pStyle w:val="BodyCN"/>
        <w:ind w:left="420" w:hanging="227"/>
      </w:pPr>
      <w:r>
        <w:t xml:space="preserve">• </w:t>
      </w:r>
      <w:r>
        <w:t>对于B类事项，建议与原型评审、视觉评审、内容迁移计划和联调计划绑定确认，避免确认后再次分散返工。</w:t>
      </w:r>
    </w:p>
    <w:p>
      <w:pPr>
        <w:pStyle w:val="BodyCN"/>
        <w:ind w:left="420" w:hanging="227"/>
      </w:pPr>
      <w:r>
        <w:t xml:space="preserve">• </w:t>
      </w:r>
      <w:r>
        <w:t>对于C类事项，建议形成单独的上线准备清单和验收清单，由甲方指定责任人逐项勾选。</w:t>
      </w:r>
    </w:p>
    <w:p>
      <w:pPr>
        <w:pStyle w:val="BodyCN"/>
        <w:ind w:left="420" w:hanging="227"/>
      </w:pPr>
      <w:r>
        <w:t xml:space="preserve">• </w:t>
      </w:r>
      <w:r>
        <w:t>若甲方暂时无法明确某事项，建议乙方在开发规格书中显式标注“暂定假设”，并在代码实现上优先采用可配置、可回退方案。</w:t>
      </w:r>
    </w:p>
    <w:sectPr w:rsidR="00FC693F" w:rsidRPr="0006063C" w:rsidSect="00034616">
      <w:footerReference w:type="default" r:id="rId9"/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rPr>
      <w:rFonts w:ascii="Times New Roman" w:hAnsi="Times New Roman" w:eastAsia="黑体"/>
      <w:b/>
      <w:sz w:val="36"/>
    </w:rPr>
  </w:style>
  <w:style w:type="paragraph" w:customStyle="1" w:styleId="SubTitleCN">
    <w:name w:val="SubTitleCN"/>
    <w:basedOn w:val="Normal"/>
    <w:rPr>
      <w:rFonts w:ascii="Times New Roman" w:hAnsi="Times New Roman" w:eastAsia="宋体"/>
      <w:b w:val="0"/>
      <w:sz w:val="22"/>
    </w:rPr>
  </w:style>
  <w:style w:type="paragraph" w:customStyle="1" w:styleId="Heading1CN">
    <w:name w:val="Heading1CN"/>
    <w:basedOn w:val="Normal"/>
    <w:rPr>
      <w:rFonts w:ascii="Times New Roman" w:hAnsi="Times New Roman" w:eastAsia="黑体"/>
      <w:b/>
      <w:sz w:val="28"/>
    </w:rPr>
  </w:style>
  <w:style w:type="paragraph" w:customStyle="1" w:styleId="Heading2CN">
    <w:name w:val="Heading2CN"/>
    <w:basedOn w:val="Normal"/>
    <w:rPr>
      <w:rFonts w:ascii="Times New Roman" w:hAnsi="Times New Roman" w:eastAsia="黑体"/>
      <w:b/>
      <w:sz w:val="24"/>
    </w:rPr>
  </w:style>
  <w:style w:type="paragraph" w:customStyle="1" w:styleId="BodyCN">
    <w:name w:val="BodyCN"/>
    <w:basedOn w:val="Normal"/>
    <w:rPr>
      <w:rFonts w:ascii="Times New Roman" w:hAnsi="Times New Roman" w:eastAsia="宋体"/>
      <w:b w:val="0"/>
      <w:sz w:val="21"/>
    </w:rPr>
  </w:style>
  <w:style w:type="paragraph" w:customStyle="1" w:styleId="SmallCN">
    <w:name w:val="SmallCN"/>
    <w:basedOn w:val="Normal"/>
    <w:rPr>
      <w:rFonts w:ascii="Times New Roman" w:hAnsi="Times New Roman" w:eastAsia="宋体"/>
      <w:b w:val="0"/>
      <w:sz w:val="18"/>
    </w:rPr>
  </w:style>
  <w:style w:type="paragraph" w:customStyle="1" w:styleId="BlockTitle">
    <w:name w:val="BlockTitle"/>
    <w:basedOn w:val="Normal"/>
    <w:rPr>
      <w:rFonts w:ascii="Times New Roman" w:hAnsi="Times New Roman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