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8"/>
        <w:gridCol w:w="3348"/>
      </w:tblGrid>
      <w:tr w:rsidR="00E25506" w:rsidTr="00E00638">
        <w:tc>
          <w:tcPr>
            <w:tcW w:w="11268" w:type="dxa"/>
          </w:tcPr>
          <w:p w:rsidR="00E25506" w:rsidRDefault="00E00638">
            <w:pPr>
              <w:rPr>
                <w:noProof/>
              </w:rPr>
            </w:pPr>
            <w:r>
              <w:rPr>
                <w:noProof/>
              </w:rPr>
              <w:drawing>
                <wp:inline distT="0" distB="0" distL="0" distR="0" wp14:anchorId="38079F6C" wp14:editId="71FCAC59">
                  <wp:extent cx="6981825" cy="57721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3348" w:type="dxa"/>
          </w:tcPr>
          <w:p w:rsidR="00E25506" w:rsidRDefault="00E25506">
            <w:pPr>
              <w:rPr>
                <w:noProof/>
              </w:rPr>
            </w:pPr>
            <w:r>
              <w:rPr>
                <w:noProof/>
              </w:rPr>
              <w:t>This graph shows four estimates for the service life of Beckett battery modules in HyGen.  The darkest curve, at the bottom, is the most conservative, and is based on Beckett’s spec for their modules, 3000 cycles at 80% depth of discharge (DOD) and 0.5C charge rate.  End of Life (EOL) for the battery is defined when battery capacity has fallen to 80% of original nameplate capacity.</w:t>
            </w:r>
          </w:p>
          <w:p w:rsidR="00E25506" w:rsidRDefault="00E25506">
            <w:pPr>
              <w:rPr>
                <w:noProof/>
              </w:rPr>
            </w:pPr>
          </w:p>
          <w:p w:rsidR="00E25506" w:rsidRDefault="00E25506">
            <w:pPr>
              <w:rPr>
                <w:noProof/>
              </w:rPr>
            </w:pPr>
            <w:r>
              <w:rPr>
                <w:noProof/>
              </w:rPr>
              <w:t>Next up, the red curve, is PPI’s estimate of 7500 cycles, achieved by limiting DOD to 50%, still using an 0.5C charge rate and 80% EOL.  The 7500 cycle number is a guesstimate made by Michael Holder (7000) and Bill Marty (7500).</w:t>
            </w:r>
          </w:p>
          <w:p w:rsidR="00E25506" w:rsidRDefault="00E25506">
            <w:pPr>
              <w:rPr>
                <w:noProof/>
              </w:rPr>
            </w:pPr>
          </w:p>
          <w:p w:rsidR="00E25506" w:rsidRDefault="00E25506">
            <w:pPr>
              <w:rPr>
                <w:noProof/>
              </w:rPr>
            </w:pPr>
            <w:r>
              <w:rPr>
                <w:noProof/>
              </w:rPr>
              <w:t>Beckett does not specify, or have data on the cycle life of their modules at 50% DOD.  The darker pink curve is Boston Power’s estimate of 10,000 cycles at 50% DOD and 25C operation.  Still at 80% EOL.</w:t>
            </w:r>
          </w:p>
          <w:p w:rsidR="00E25506" w:rsidRDefault="00E25506">
            <w:pPr>
              <w:rPr>
                <w:noProof/>
              </w:rPr>
            </w:pPr>
          </w:p>
          <w:p w:rsidR="00E25506" w:rsidRDefault="00E25506">
            <w:pPr>
              <w:rPr>
                <w:noProof/>
              </w:rPr>
            </w:pPr>
            <w:r>
              <w:rPr>
                <w:noProof/>
              </w:rPr>
              <w:t>The light pink curve is an extrapolation of Boston Power’s 10,000 cycles if we run to 70% EOL.</w:t>
            </w:r>
          </w:p>
        </w:tc>
      </w:tr>
    </w:tbl>
    <w:p w:rsidR="00E25506" w:rsidRDefault="00E25506">
      <w:pPr>
        <w:rPr>
          <w:noProof/>
        </w:rPr>
      </w:pPr>
    </w:p>
    <w:p w:rsidR="00A83F90" w:rsidRDefault="00A83F90"/>
    <w:p w:rsidR="00A83F90" w:rsidRDefault="00A83F9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gridCol w:w="3600"/>
      </w:tblGrid>
      <w:tr w:rsidR="00A83F90" w:rsidTr="00EC2DAA">
        <w:tc>
          <w:tcPr>
            <w:tcW w:w="7308" w:type="dxa"/>
          </w:tcPr>
          <w:p w:rsidR="00A83F90" w:rsidRDefault="00A83F90">
            <w:r>
              <w:rPr>
                <w:noProof/>
              </w:rPr>
              <w:lastRenderedPageBreak/>
              <w:drawing>
                <wp:inline distT="0" distB="0" distL="0" distR="0" wp14:anchorId="5B295450" wp14:editId="5B945787">
                  <wp:extent cx="6848475" cy="55340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7308" w:type="dxa"/>
          </w:tcPr>
          <w:p w:rsidR="00A83F90" w:rsidRDefault="00ED3764">
            <w:r>
              <w:t>Perkins specifies the engine to have a 15,000 hour service life.  There are nearly 9,000 hours in a year, which is why non-hybrid generators tend to have around a 2 year service life.</w:t>
            </w:r>
          </w:p>
          <w:p w:rsidR="00ED3764" w:rsidRDefault="00ED3764"/>
          <w:p w:rsidR="00ED3764" w:rsidRDefault="00ED3764">
            <w:r>
              <w:t xml:space="preserve">Because the engine in </w:t>
            </w:r>
            <w:proofErr w:type="spellStart"/>
            <w:r>
              <w:t>HyGen</w:t>
            </w:r>
            <w:proofErr w:type="spellEnd"/>
            <w:r>
              <w:t xml:space="preserve"> cycles on and off, our service life is considerably longer than 2 years.</w:t>
            </w:r>
          </w:p>
          <w:p w:rsidR="00ED3764" w:rsidRDefault="00ED3764"/>
          <w:p w:rsidR="00ED3764" w:rsidRDefault="00ED3764">
            <w:r>
              <w:t>People in our industry tell us that the Perkins spec of 15,000 hours is pretty conservative.  The lighter blue lines show our engine life if we assume longer than 15,000 hours of operation.</w:t>
            </w:r>
          </w:p>
        </w:tc>
      </w:tr>
    </w:tbl>
    <w:p w:rsidR="00A83F90" w:rsidRDefault="00A83F9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6"/>
        <w:gridCol w:w="3480"/>
      </w:tblGrid>
      <w:tr w:rsidR="00ED3764" w:rsidTr="00E00638">
        <w:tc>
          <w:tcPr>
            <w:tcW w:w="7308" w:type="dxa"/>
          </w:tcPr>
          <w:p w:rsidR="00ED3764" w:rsidRDefault="00E00638">
            <w:r>
              <w:rPr>
                <w:noProof/>
              </w:rPr>
              <w:lastRenderedPageBreak/>
              <w:drawing>
                <wp:inline distT="0" distB="0" distL="0" distR="0" wp14:anchorId="0B307045" wp14:editId="5C4FC4CE">
                  <wp:extent cx="6915150" cy="543877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7308" w:type="dxa"/>
          </w:tcPr>
          <w:p w:rsidR="00ED3764" w:rsidRDefault="00ED3764">
            <w:r>
              <w:t xml:space="preserve">This plot shows </w:t>
            </w:r>
            <w:proofErr w:type="spellStart"/>
            <w:r>
              <w:t>shows</w:t>
            </w:r>
            <w:proofErr w:type="spellEnd"/>
            <w:r>
              <w:t xml:space="preserve"> battery and engine life superimposed on the same axes.</w:t>
            </w:r>
          </w:p>
          <w:p w:rsidR="00ED3764" w:rsidRDefault="00ED3764"/>
          <w:p w:rsidR="00ED3764" w:rsidRDefault="00ED3764">
            <w:r>
              <w:t xml:space="preserve">Pick the battery life estimate line and engine life estimate line that you are comfortable with.   Where your two lines cross is theoretically the point where both engine and battery expire at the same time. To the left of the crossover point, </w:t>
            </w:r>
            <w:proofErr w:type="spellStart"/>
            <w:r>
              <w:t>HyGen</w:t>
            </w:r>
            <w:proofErr w:type="spellEnd"/>
            <w:r>
              <w:t xml:space="preserve"> life is battery-limited.  To the right of the crossover point, </w:t>
            </w:r>
            <w:proofErr w:type="spellStart"/>
            <w:r>
              <w:t>HyGen</w:t>
            </w:r>
            <w:proofErr w:type="spellEnd"/>
            <w:r>
              <w:t xml:space="preserve"> is engine-limited.</w:t>
            </w:r>
          </w:p>
        </w:tc>
      </w:tr>
    </w:tbl>
    <w:p w:rsidR="0021007D" w:rsidRDefault="0021007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6"/>
        <w:gridCol w:w="4790"/>
      </w:tblGrid>
      <w:tr w:rsidR="0060496B" w:rsidTr="0060496B">
        <w:tc>
          <w:tcPr>
            <w:tcW w:w="7308" w:type="dxa"/>
          </w:tcPr>
          <w:tbl>
            <w:tblPr>
              <w:tblW w:w="9580" w:type="dxa"/>
              <w:tblLook w:val="04A0" w:firstRow="1" w:lastRow="0" w:firstColumn="1" w:lastColumn="0" w:noHBand="0" w:noVBand="1"/>
            </w:tblPr>
            <w:tblGrid>
              <w:gridCol w:w="4220"/>
              <w:gridCol w:w="1340"/>
              <w:gridCol w:w="1340"/>
              <w:gridCol w:w="1370"/>
              <w:gridCol w:w="1340"/>
            </w:tblGrid>
            <w:tr w:rsidR="00E00638" w:rsidRPr="00E00638" w:rsidTr="00E00638">
              <w:trPr>
                <w:trHeight w:val="300"/>
              </w:trPr>
              <w:tc>
                <w:tcPr>
                  <w:tcW w:w="422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b/>
                      <w:bCs/>
                      <w:color w:val="E26B0A"/>
                    </w:rPr>
                  </w:pPr>
                  <w:bookmarkStart w:id="0" w:name="RANGE!F13:J31"/>
                  <w:r w:rsidRPr="00E00638">
                    <w:rPr>
                      <w:rFonts w:ascii="Calibri" w:eastAsia="Times New Roman" w:hAnsi="Calibri" w:cs="Times New Roman"/>
                      <w:b/>
                      <w:bCs/>
                      <w:color w:val="E26B0A"/>
                    </w:rPr>
                    <w:lastRenderedPageBreak/>
                    <w:t>Battery Parameters</w:t>
                  </w:r>
                  <w:bookmarkEnd w:id="0"/>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b/>
                      <w:bCs/>
                      <w:color w:val="E26B0A"/>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center"/>
                    <w:rPr>
                      <w:rFonts w:ascii="Calibri" w:eastAsia="Times New Roman" w:hAnsi="Calibri" w:cs="Times New Roman"/>
                      <w:b/>
                      <w:bCs/>
                      <w:color w:val="E26B0A"/>
                    </w:rPr>
                  </w:pPr>
                  <w:r w:rsidRPr="00E00638">
                    <w:rPr>
                      <w:rFonts w:ascii="Calibri" w:eastAsia="Times New Roman" w:hAnsi="Calibri" w:cs="Times New Roman"/>
                      <w:b/>
                      <w:bCs/>
                      <w:color w:val="E26B0A"/>
                    </w:rPr>
                    <w:t>4 sets of assumptions</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Beckett module nominal energy, kWh</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1.1</w:t>
                  </w:r>
                </w:p>
              </w:tc>
            </w:tr>
            <w:tr w:rsidR="00E00638" w:rsidRPr="00E00638" w:rsidTr="00E00638">
              <w:trPr>
                <w:trHeight w:val="300"/>
              </w:trPr>
              <w:tc>
                <w:tcPr>
                  <w:tcW w:w="422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Stack height</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11</w:t>
                  </w: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Batt bank energy, kWh</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12.1</w:t>
                  </w:r>
                </w:p>
              </w:tc>
            </w:tr>
            <w:tr w:rsidR="00E00638" w:rsidRPr="00E00638" w:rsidTr="00E00638">
              <w:trPr>
                <w:trHeight w:val="6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Batt end of life definition, capacity degradation</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80%</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70%</w:t>
                  </w: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proofErr w:type="spellStart"/>
                  <w:r w:rsidRPr="00E00638">
                    <w:rPr>
                      <w:rFonts w:ascii="Calibri" w:eastAsia="Times New Roman" w:hAnsi="Calibri" w:cs="Times New Roman"/>
                      <w:color w:val="000000"/>
                    </w:rPr>
                    <w:t>Avg</w:t>
                  </w:r>
                  <w:proofErr w:type="spellEnd"/>
                  <w:r w:rsidRPr="00E00638">
                    <w:rPr>
                      <w:rFonts w:ascii="Calibri" w:eastAsia="Times New Roman" w:hAnsi="Calibri" w:cs="Times New Roman"/>
                      <w:color w:val="000000"/>
                    </w:rPr>
                    <w:t xml:space="preserve"> bank energy over lifetime</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90%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90%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90%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85%</w:t>
                  </w: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Depth of Discharge, %</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50%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50%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50%</w:t>
                  </w:r>
                </w:p>
              </w:tc>
            </w:tr>
            <w:tr w:rsidR="00E00638" w:rsidRPr="00E00638" w:rsidTr="00E00638">
              <w:trPr>
                <w:trHeight w:val="300"/>
              </w:trPr>
              <w:tc>
                <w:tcPr>
                  <w:tcW w:w="422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Cycle energy, kWh</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7.92</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4.95</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4.95</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5.14</w:t>
                  </w:r>
                </w:p>
              </w:tc>
            </w:tr>
            <w:tr w:rsidR="00E00638" w:rsidRPr="00E00638" w:rsidTr="00E00638">
              <w:trPr>
                <w:trHeight w:val="300"/>
              </w:trPr>
              <w:tc>
                <w:tcPr>
                  <w:tcW w:w="422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Batt Cycles 80% DOD</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3000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3000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3000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3000</w:t>
                  </w:r>
                </w:p>
              </w:tc>
            </w:tr>
            <w:tr w:rsidR="00E00638" w:rsidRPr="00E00638" w:rsidTr="00E00638">
              <w:trPr>
                <w:trHeight w:val="6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Batt Cycles 50% DOD, 0.5C charge, estimated by Boston Power</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7500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7500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10000</w:t>
                  </w:r>
                </w:p>
              </w:tc>
            </w:tr>
            <w:tr w:rsidR="00E00638" w:rsidRPr="00E00638" w:rsidTr="00E00638">
              <w:trPr>
                <w:trHeight w:val="6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Batt Cycles, projected based on end of life extension</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3000</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7500</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10000</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15000</w:t>
                  </w: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b/>
                      <w:bCs/>
                      <w:color w:val="E26B0A"/>
                    </w:rPr>
                  </w:pPr>
                  <w:r w:rsidRPr="00E00638">
                    <w:rPr>
                      <w:rFonts w:ascii="Calibri" w:eastAsia="Times New Roman" w:hAnsi="Calibri" w:cs="Times New Roman"/>
                      <w:b/>
                      <w:bCs/>
                      <w:color w:val="E26B0A"/>
                    </w:rPr>
                    <w:t>Engine Parameters</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Engine spec'd life, h</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15000</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15000</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20000</w:t>
                  </w:r>
                </w:p>
              </w:tc>
              <w:tc>
                <w:tcPr>
                  <w:tcW w:w="1340" w:type="dxa"/>
                  <w:tcBorders>
                    <w:top w:val="nil"/>
                    <w:left w:val="nil"/>
                    <w:bottom w:val="nil"/>
                    <w:right w:val="nil"/>
                  </w:tcBorders>
                  <w:shd w:val="clear" w:color="000000" w:fill="FDE9D9"/>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25000</w:t>
                  </w:r>
                </w:p>
              </w:tc>
            </w:tr>
            <w:tr w:rsidR="00E00638" w:rsidRPr="00E00638" w:rsidTr="00E00638">
              <w:trPr>
                <w:trHeight w:val="300"/>
              </w:trPr>
              <w:tc>
                <w:tcPr>
                  <w:tcW w:w="422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Hours in a year, h</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8760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8760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8760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8760</w:t>
                  </w: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Engine service interval, h</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w:t>
                  </w: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SFC, l/kWh</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0.38</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0.38</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0.38</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0.38</w:t>
                  </w:r>
                </w:p>
              </w:tc>
            </w:tr>
            <w:tr w:rsidR="00E00638" w:rsidRPr="00E00638" w:rsidTr="00E00638">
              <w:trPr>
                <w:trHeight w:val="300"/>
              </w:trPr>
              <w:tc>
                <w:tcPr>
                  <w:tcW w:w="422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Fuel Tank Capacity, l</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1000</w:t>
                  </w:r>
                </w:p>
              </w:tc>
            </w:tr>
            <w:tr w:rsidR="00E00638" w:rsidRPr="00E00638" w:rsidTr="00E00638">
              <w:trPr>
                <w:trHeight w:val="300"/>
              </w:trPr>
              <w:tc>
                <w:tcPr>
                  <w:tcW w:w="4220" w:type="dxa"/>
                  <w:tcBorders>
                    <w:top w:val="nil"/>
                    <w:left w:val="nil"/>
                    <w:bottom w:val="nil"/>
                    <w:right w:val="nil"/>
                  </w:tcBorders>
                  <w:shd w:val="clear" w:color="auto" w:fill="auto"/>
                  <w:vAlign w:val="bottom"/>
                  <w:hideMark/>
                </w:tcPr>
                <w:p w:rsidR="00E00638" w:rsidRPr="00E00638" w:rsidRDefault="00E00638" w:rsidP="00E00638">
                  <w:pPr>
                    <w:spacing w:after="0" w:line="240" w:lineRule="auto"/>
                    <w:rPr>
                      <w:rFonts w:ascii="Calibri" w:eastAsia="Times New Roman" w:hAnsi="Calibri" w:cs="Times New Roman"/>
                      <w:color w:val="000000"/>
                    </w:rPr>
                  </w:pPr>
                  <w:r w:rsidRPr="00E00638">
                    <w:rPr>
                      <w:rFonts w:ascii="Calibri" w:eastAsia="Times New Roman" w:hAnsi="Calibri" w:cs="Times New Roman"/>
                      <w:color w:val="000000"/>
                    </w:rPr>
                    <w:t>Diesel cost, $/l</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w:t>
                  </w:r>
                </w:p>
              </w:tc>
              <w:tc>
                <w:tcPr>
                  <w:tcW w:w="1340" w:type="dxa"/>
                  <w:tcBorders>
                    <w:top w:val="nil"/>
                    <w:left w:val="nil"/>
                    <w:bottom w:val="nil"/>
                    <w:right w:val="nil"/>
                  </w:tcBorders>
                  <w:shd w:val="clear" w:color="auto" w:fill="auto"/>
                  <w:noWrap/>
                  <w:vAlign w:val="bottom"/>
                  <w:hideMark/>
                </w:tcPr>
                <w:p w:rsidR="00E00638" w:rsidRPr="00E00638" w:rsidRDefault="00E00638" w:rsidP="00E00638">
                  <w:pPr>
                    <w:spacing w:after="0" w:line="240" w:lineRule="auto"/>
                    <w:jc w:val="right"/>
                    <w:rPr>
                      <w:rFonts w:ascii="Calibri" w:eastAsia="Times New Roman" w:hAnsi="Calibri" w:cs="Times New Roman"/>
                      <w:color w:val="000000"/>
                    </w:rPr>
                  </w:pPr>
                  <w:r w:rsidRPr="00E00638">
                    <w:rPr>
                      <w:rFonts w:ascii="Calibri" w:eastAsia="Times New Roman" w:hAnsi="Calibri" w:cs="Times New Roman"/>
                      <w:color w:val="000000"/>
                    </w:rPr>
                    <w:t>1.00</w:t>
                  </w:r>
                </w:p>
              </w:tc>
            </w:tr>
          </w:tbl>
          <w:p w:rsidR="0060496B" w:rsidRDefault="0060496B"/>
        </w:tc>
        <w:tc>
          <w:tcPr>
            <w:tcW w:w="7308" w:type="dxa"/>
          </w:tcPr>
          <w:p w:rsidR="0060496B" w:rsidRDefault="0060496B">
            <w:r>
              <w:t>This table shows the variables and assumptions that produced the curves above.</w:t>
            </w:r>
          </w:p>
          <w:p w:rsidR="0060496B" w:rsidRDefault="0060496B"/>
          <w:p w:rsidR="0060496B" w:rsidRDefault="0060496B">
            <w:r>
              <w:t>Beige highlighted cells show where the assumptions changed.</w:t>
            </w:r>
          </w:p>
          <w:p w:rsidR="00493B0F" w:rsidRDefault="00493B0F"/>
          <w:p w:rsidR="00493B0F" w:rsidRDefault="00493B0F">
            <w:r>
              <w:t>The four columns of assumptions correspond to the four battery lines.  The 3 engine lines were taken from the right 3 columns.</w:t>
            </w:r>
          </w:p>
          <w:p w:rsidR="00493B0F" w:rsidRDefault="00493B0F"/>
          <w:p w:rsidR="00493B0F" w:rsidRDefault="00493B0F">
            <w:r>
              <w:t>The rightmost column of assumptions is the most optimistic case for both battery and engine life.  These are the assumptions required to get us to 5 year service life, barely, for customer loads 4kW and below.</w:t>
            </w:r>
          </w:p>
          <w:p w:rsidR="00493B0F" w:rsidRDefault="00493B0F"/>
          <w:p w:rsidR="00493B0F" w:rsidRDefault="00493B0F">
            <w:r>
              <w:t>Above 4kW average load, none of our assumptions will get us to 5 year life.</w:t>
            </w:r>
          </w:p>
          <w:p w:rsidR="00493B0F" w:rsidRDefault="00493B0F"/>
          <w:p w:rsidR="00493B0F" w:rsidRDefault="00493B0F">
            <w:r>
              <w:t xml:space="preserve">We could get to 5 year life by increasing the energy storage of our battery, thus reducing the number of battery cycles.  This option is not cheap.  It does offer an added benefit, though:  If we had two BMS’s and two battery stacks, </w:t>
            </w:r>
            <w:proofErr w:type="spellStart"/>
            <w:r>
              <w:t>HyGen</w:t>
            </w:r>
            <w:proofErr w:type="spellEnd"/>
            <w:r>
              <w:t xml:space="preserve"> would survive the failure of one battery stack, so the design would be more fault tolerant.</w:t>
            </w:r>
          </w:p>
        </w:tc>
      </w:tr>
    </w:tbl>
    <w:p w:rsidR="0021007D" w:rsidRDefault="0021007D">
      <w:r>
        <w:br w:type="page"/>
      </w:r>
    </w:p>
    <w:p w:rsidR="00932E05" w:rsidRDefault="00932E05">
      <w:r>
        <w:rPr>
          <w:noProof/>
        </w:rPr>
        <w:lastRenderedPageBreak/>
        <w:drawing>
          <wp:inline distT="0" distB="0" distL="0" distR="0" wp14:anchorId="3FE6DA93" wp14:editId="59B1B8FF">
            <wp:extent cx="8124825" cy="4095750"/>
            <wp:effectExtent l="0" t="0" r="952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B1944" w:rsidRDefault="00932E05">
      <w:r>
        <w:rPr>
          <w:noProof/>
        </w:rPr>
        <w:drawing>
          <wp:inline distT="0" distB="0" distL="0" distR="0" wp14:anchorId="70C555C4" wp14:editId="5D783F94">
            <wp:extent cx="4057650" cy="2470572"/>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063546" cy="2474162"/>
                    </a:xfrm>
                    <a:prstGeom prst="rect">
                      <a:avLst/>
                    </a:prstGeom>
                  </pic:spPr>
                </pic:pic>
              </a:graphicData>
            </a:graphic>
          </wp:inline>
        </w:drawing>
      </w:r>
      <w:bookmarkStart w:id="1" w:name="_GoBack"/>
      <w:bookmarkEnd w:id="1"/>
    </w:p>
    <w:sectPr w:rsidR="005B1944" w:rsidSect="0021007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07D"/>
    <w:rsid w:val="00073EEF"/>
    <w:rsid w:val="0021007D"/>
    <w:rsid w:val="0042729A"/>
    <w:rsid w:val="00493B0F"/>
    <w:rsid w:val="0060496B"/>
    <w:rsid w:val="00743C9D"/>
    <w:rsid w:val="00932E05"/>
    <w:rsid w:val="00A83F90"/>
    <w:rsid w:val="00E00638"/>
    <w:rsid w:val="00E25506"/>
    <w:rsid w:val="00EC2DAA"/>
    <w:rsid w:val="00ED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07D"/>
    <w:rPr>
      <w:rFonts w:ascii="Tahoma" w:hAnsi="Tahoma" w:cs="Tahoma"/>
      <w:sz w:val="16"/>
      <w:szCs w:val="16"/>
    </w:rPr>
  </w:style>
  <w:style w:type="table" w:styleId="TableGrid">
    <w:name w:val="Table Grid"/>
    <w:basedOn w:val="TableNormal"/>
    <w:uiPriority w:val="59"/>
    <w:rsid w:val="00E2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07D"/>
    <w:rPr>
      <w:rFonts w:ascii="Tahoma" w:hAnsi="Tahoma" w:cs="Tahoma"/>
      <w:sz w:val="16"/>
      <w:szCs w:val="16"/>
    </w:rPr>
  </w:style>
  <w:style w:type="table" w:styleId="TableGrid">
    <w:name w:val="Table Grid"/>
    <w:basedOn w:val="TableNormal"/>
    <w:uiPriority w:val="59"/>
    <w:rsid w:val="00E2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7519">
      <w:bodyDiv w:val="1"/>
      <w:marLeft w:val="0"/>
      <w:marRight w:val="0"/>
      <w:marTop w:val="0"/>
      <w:marBottom w:val="0"/>
      <w:divBdr>
        <w:top w:val="none" w:sz="0" w:space="0" w:color="auto"/>
        <w:left w:val="none" w:sz="0" w:space="0" w:color="auto"/>
        <w:bottom w:val="none" w:sz="0" w:space="0" w:color="auto"/>
        <w:right w:val="none" w:sz="0" w:space="0" w:color="auto"/>
      </w:divBdr>
    </w:div>
    <w:div w:id="155230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marty\Documents\PPI_Cdocs\Control%20and%20Data%20Systems\BMs%20Hygen%20System%20Design%20Calc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marty\Documents\PPI\PPI_Cdocs\Control%20and%20Data%20Systems\BMs%20Hygen%20System%20Design%20Cal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marty\Documents\PPI_Cdocs\Control%20and%20Data%20Systems\BMs%20Hygen%20System%20Design%20Calc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marty\Documents\PPI_Cdocs\Control%20and%20Data%20Systems\BMs%20Hygen%20System%20Design%20Cal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HyGen Battery Life</a:t>
            </a:r>
          </a:p>
        </c:rich>
      </c:tx>
      <c:layout>
        <c:manualLayout>
          <c:xMode val="edge"/>
          <c:yMode val="edge"/>
          <c:x val="0.44040243138621465"/>
          <c:y val="9.3800045756119894E-3"/>
        </c:manualLayout>
      </c:layout>
      <c:overlay val="1"/>
    </c:title>
    <c:autoTitleDeleted val="0"/>
    <c:plotArea>
      <c:layout>
        <c:manualLayout>
          <c:layoutTarget val="inner"/>
          <c:xMode val="edge"/>
          <c:yMode val="edge"/>
          <c:x val="0.13067957104489797"/>
          <c:y val="9.2522060512247276E-2"/>
          <c:w val="0.82038607282198306"/>
          <c:h val="0.7405269111309406"/>
        </c:manualLayout>
      </c:layout>
      <c:scatterChart>
        <c:scatterStyle val="smoothMarker"/>
        <c:varyColors val="0"/>
        <c:ser>
          <c:idx val="1"/>
          <c:order val="0"/>
          <c:tx>
            <c:v>Battery Life in Years</c:v>
          </c:tx>
          <c:spPr>
            <a:ln>
              <a:solidFill>
                <a:schemeClr val="accent2">
                  <a:lumMod val="75000"/>
                </a:schemeClr>
              </a:solidFill>
            </a:ln>
          </c:spP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projections'!$H$121:$H$127</c:f>
              <c:numCache>
                <c:formatCode>0.00</c:formatCode>
                <c:ptCount val="7"/>
                <c:pt idx="0">
                  <c:v>9.090349428722968</c:v>
                </c:pt>
                <c:pt idx="1">
                  <c:v>4.9030746961438485</c:v>
                </c:pt>
                <c:pt idx="2">
                  <c:v>2.9156653729259774</c:v>
                </c:pt>
                <c:pt idx="3">
                  <c:v>2.4058535982664453</c:v>
                </c:pt>
                <c:pt idx="4">
                  <c:v>2.3779194749886452</c:v>
                </c:pt>
                <c:pt idx="5">
                  <c:v>2.8079742619164745</c:v>
                </c:pt>
                <c:pt idx="6">
                  <c:v>4.527083434894946</c:v>
                </c:pt>
              </c:numCache>
            </c:numRef>
          </c:yVal>
          <c:smooth val="1"/>
        </c:ser>
        <c:ser>
          <c:idx val="2"/>
          <c:order val="1"/>
          <c:tx>
            <c:v> </c:v>
          </c:tx>
          <c:spPr>
            <a:ln>
              <a:solidFill>
                <a:schemeClr val="accent2">
                  <a:lumMod val="60000"/>
                  <a:lumOff val="40000"/>
                </a:schemeClr>
              </a:solidFill>
            </a:ln>
          </c:spPr>
          <c:marker>
            <c:symbol val="square"/>
            <c:size val="7"/>
            <c:spPr>
              <a:solidFill>
                <a:schemeClr val="accent2">
                  <a:lumMod val="60000"/>
                  <a:lumOff val="4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projections'!$I$121:$I$127</c:f>
              <c:numCache>
                <c:formatCode>0.00</c:formatCode>
                <c:ptCount val="7"/>
                <c:pt idx="0">
                  <c:v>12.120465904963957</c:v>
                </c:pt>
                <c:pt idx="1">
                  <c:v>6.537432928191798</c:v>
                </c:pt>
                <c:pt idx="2">
                  <c:v>3.8875538305679695</c:v>
                </c:pt>
                <c:pt idx="3">
                  <c:v>3.2078047976885942</c:v>
                </c:pt>
                <c:pt idx="4">
                  <c:v>3.17055929998486</c:v>
                </c:pt>
                <c:pt idx="5">
                  <c:v>3.7439656825552996</c:v>
                </c:pt>
                <c:pt idx="6">
                  <c:v>6.0361112465265947</c:v>
                </c:pt>
              </c:numCache>
            </c:numRef>
          </c:yVal>
          <c:smooth val="1"/>
        </c:ser>
        <c:ser>
          <c:idx val="3"/>
          <c:order val="2"/>
          <c:tx>
            <c:v> </c:v>
          </c:tx>
          <c:spPr>
            <a:ln>
              <a:solidFill>
                <a:schemeClr val="accent2">
                  <a:lumMod val="40000"/>
                  <a:lumOff val="60000"/>
                </a:schemeClr>
              </a:solidFill>
            </a:ln>
          </c:spPr>
          <c:marker>
            <c:symbol val="square"/>
            <c:size val="7"/>
            <c:spPr>
              <a:solidFill>
                <a:schemeClr val="accent2">
                  <a:lumMod val="40000"/>
                  <a:lumOff val="6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projections'!$J$121:$J$127</c:f>
              <c:numCache>
                <c:formatCode>0.00</c:formatCode>
                <c:ptCount val="7"/>
                <c:pt idx="0">
                  <c:v>18.887726035235506</c:v>
                </c:pt>
                <c:pt idx="1">
                  <c:v>10.187499646432221</c:v>
                </c:pt>
                <c:pt idx="2">
                  <c:v>6.0581047193017543</c:v>
                </c:pt>
                <c:pt idx="3">
                  <c:v>4.998829143064726</c:v>
                </c:pt>
                <c:pt idx="4">
                  <c:v>4.9407882424764082</c:v>
                </c:pt>
                <c:pt idx="5">
                  <c:v>5.8343465219820096</c:v>
                </c:pt>
                <c:pt idx="6">
                  <c:v>9.406273359170612</c:v>
                </c:pt>
              </c:numCache>
            </c:numRef>
          </c:yVal>
          <c:smooth val="1"/>
        </c:ser>
        <c:ser>
          <c:idx val="0"/>
          <c:order val="3"/>
          <c:tx>
            <c:v> </c:v>
          </c:tx>
          <c:spPr>
            <a:ln>
              <a:solidFill>
                <a:schemeClr val="accent2">
                  <a:lumMod val="50000"/>
                </a:schemeClr>
              </a:solidFill>
            </a:ln>
          </c:spPr>
          <c:marker>
            <c:symbol val="square"/>
            <c:size val="7"/>
            <c:spPr>
              <a:solidFill>
                <a:schemeClr val="accent2">
                  <a:lumMod val="5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projections'!$G$121:$G$127</c:f>
              <c:numCache>
                <c:formatCode>0.00</c:formatCode>
                <c:ptCount val="7"/>
                <c:pt idx="0">
                  <c:v>5.8178236343826999</c:v>
                </c:pt>
                <c:pt idx="1">
                  <c:v>3.1379678055320634</c:v>
                </c:pt>
                <c:pt idx="2">
                  <c:v>1.8660258386726254</c:v>
                </c:pt>
                <c:pt idx="3">
                  <c:v>1.5397463028905254</c:v>
                </c:pt>
                <c:pt idx="4">
                  <c:v>1.5218684639927331</c:v>
                </c:pt>
                <c:pt idx="5">
                  <c:v>1.7971035276265439</c:v>
                </c:pt>
                <c:pt idx="6">
                  <c:v>2.8973333983327652</c:v>
                </c:pt>
              </c:numCache>
            </c:numRef>
          </c:yVal>
          <c:smooth val="1"/>
        </c:ser>
        <c:dLbls>
          <c:showLegendKey val="0"/>
          <c:showVal val="0"/>
          <c:showCatName val="0"/>
          <c:showSerName val="0"/>
          <c:showPercent val="0"/>
          <c:showBubbleSize val="0"/>
        </c:dLbls>
        <c:axId val="42871808"/>
        <c:axId val="42898944"/>
      </c:scatterChart>
      <c:valAx>
        <c:axId val="42871808"/>
        <c:scaling>
          <c:orientation val="minMax"/>
        </c:scaling>
        <c:delete val="0"/>
        <c:axPos val="b"/>
        <c:majorGridlines>
          <c:spPr>
            <a:ln>
              <a:solidFill>
                <a:schemeClr val="tx1">
                  <a:tint val="75000"/>
                  <a:shade val="95000"/>
                  <a:satMod val="105000"/>
                </a:schemeClr>
              </a:solidFill>
              <a:prstDash val="sysDot"/>
            </a:ln>
          </c:spPr>
        </c:majorGridlines>
        <c:title>
          <c:tx>
            <c:rich>
              <a:bodyPr/>
              <a:lstStyle/>
              <a:p>
                <a:pPr>
                  <a:defRPr/>
                </a:pPr>
                <a:r>
                  <a:rPr lang="en-US"/>
                  <a:t>Customer Load, kW </a:t>
                </a:r>
              </a:p>
            </c:rich>
          </c:tx>
          <c:overlay val="0"/>
        </c:title>
        <c:numFmt formatCode="#,##0" sourceLinked="0"/>
        <c:majorTickMark val="out"/>
        <c:minorTickMark val="none"/>
        <c:tickLblPos val="nextTo"/>
        <c:crossAx val="42898944"/>
        <c:crosses val="autoZero"/>
        <c:crossBetween val="midCat"/>
      </c:valAx>
      <c:valAx>
        <c:axId val="42898944"/>
        <c:scaling>
          <c:orientation val="minMax"/>
          <c:max val="10"/>
        </c:scaling>
        <c:delete val="0"/>
        <c:axPos val="l"/>
        <c:majorGridlines>
          <c:spPr>
            <a:ln>
              <a:prstDash val="sysDot"/>
            </a:ln>
          </c:spPr>
        </c:majorGridlines>
        <c:title>
          <c:tx>
            <c:rich>
              <a:bodyPr rot="-5400000" vert="horz"/>
              <a:lstStyle/>
              <a:p>
                <a:pPr>
                  <a:defRPr/>
                </a:pPr>
                <a:r>
                  <a:rPr lang="en-US"/>
                  <a:t>Years</a:t>
                </a:r>
              </a:p>
            </c:rich>
          </c:tx>
          <c:overlay val="0"/>
        </c:title>
        <c:numFmt formatCode="0" sourceLinked="0"/>
        <c:majorTickMark val="out"/>
        <c:minorTickMark val="none"/>
        <c:tickLblPos val="nextTo"/>
        <c:crossAx val="42871808"/>
        <c:crosses val="autoZero"/>
        <c:crossBetween val="midCat"/>
        <c:majorUnit val="1"/>
        <c:minorUnit val="1"/>
      </c:valAx>
    </c:plotArea>
    <c:legend>
      <c:legendPos val="b"/>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HyGen Engine Life</a:t>
            </a:r>
          </a:p>
        </c:rich>
      </c:tx>
      <c:layout>
        <c:manualLayout>
          <c:xMode val="edge"/>
          <c:yMode val="edge"/>
          <c:x val="0.44040243138621465"/>
          <c:y val="9.3800045756119894E-3"/>
        </c:manualLayout>
      </c:layout>
      <c:overlay val="1"/>
    </c:title>
    <c:autoTitleDeleted val="0"/>
    <c:plotArea>
      <c:layout>
        <c:manualLayout>
          <c:layoutTarget val="inner"/>
          <c:xMode val="edge"/>
          <c:yMode val="edge"/>
          <c:x val="0.13067957104489797"/>
          <c:y val="9.2522060512247276E-2"/>
          <c:w val="0.82038607282198306"/>
          <c:h val="0.7405269111309406"/>
        </c:manualLayout>
      </c:layout>
      <c:scatterChart>
        <c:scatterStyle val="smoothMarker"/>
        <c:varyColors val="0"/>
        <c:ser>
          <c:idx val="0"/>
          <c:order val="0"/>
          <c:tx>
            <c:v>Engine Life in Years</c:v>
          </c:tx>
          <c:spPr>
            <a:ln>
              <a:solidFill>
                <a:schemeClr val="accent1">
                  <a:lumMod val="75000"/>
                </a:schemeClr>
              </a:solidFill>
            </a:ln>
          </c:spPr>
          <c:marker>
            <c:symbol val="circle"/>
            <c:size val="7"/>
            <c:spPr>
              <a:solidFill>
                <a:schemeClr val="accent1">
                  <a:lumMod val="75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projections'!$H$112:$H$118</c:f>
              <c:numCache>
                <c:formatCode>0.00</c:formatCode>
                <c:ptCount val="7"/>
                <c:pt idx="0">
                  <c:v>25.337959625090125</c:v>
                </c:pt>
                <c:pt idx="1">
                  <c:v>12.623918529199711</c:v>
                </c:pt>
                <c:pt idx="2">
                  <c:v>6.2668979812545045</c:v>
                </c:pt>
                <c:pt idx="3">
                  <c:v>4.1478911319394376</c:v>
                </c:pt>
                <c:pt idx="4">
                  <c:v>3.0883877072819033</c:v>
                </c:pt>
                <c:pt idx="5">
                  <c:v>2.452685652487383</c:v>
                </c:pt>
                <c:pt idx="6">
                  <c:v>2.0288842826243689</c:v>
                </c:pt>
              </c:numCache>
            </c:numRef>
          </c:yVal>
          <c:smooth val="1"/>
        </c:ser>
        <c:ser>
          <c:idx val="4"/>
          <c:order val="1"/>
          <c:tx>
            <c:v> </c:v>
          </c:tx>
          <c:spPr>
            <a:ln>
              <a:solidFill>
                <a:schemeClr val="accent1">
                  <a:lumMod val="60000"/>
                  <a:lumOff val="40000"/>
                </a:schemeClr>
              </a:solidFill>
            </a:ln>
          </c:spPr>
          <c:marker>
            <c:symbol val="circle"/>
            <c:size val="7"/>
            <c:spPr>
              <a:solidFill>
                <a:schemeClr val="accent1">
                  <a:lumMod val="60000"/>
                  <a:lumOff val="40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projections'!$I$112:$I$118</c:f>
              <c:numCache>
                <c:formatCode>0.00</c:formatCode>
                <c:ptCount val="7"/>
                <c:pt idx="0">
                  <c:v>33.783946166786833</c:v>
                </c:pt>
                <c:pt idx="1">
                  <c:v>16.831891372266284</c:v>
                </c:pt>
                <c:pt idx="2">
                  <c:v>8.3558639750060077</c:v>
                </c:pt>
                <c:pt idx="3">
                  <c:v>5.5305215092525835</c:v>
                </c:pt>
                <c:pt idx="4">
                  <c:v>4.1178502763758713</c:v>
                </c:pt>
                <c:pt idx="5">
                  <c:v>3.270247536649844</c:v>
                </c:pt>
                <c:pt idx="6">
                  <c:v>2.7051790434991587</c:v>
                </c:pt>
              </c:numCache>
            </c:numRef>
          </c:yVal>
          <c:smooth val="1"/>
        </c:ser>
        <c:ser>
          <c:idx val="5"/>
          <c:order val="2"/>
          <c:tx>
            <c:v> </c:v>
          </c:tx>
          <c:spPr>
            <a:ln>
              <a:solidFill>
                <a:schemeClr val="accent1">
                  <a:lumMod val="40000"/>
                  <a:lumOff val="60000"/>
                </a:schemeClr>
              </a:solidFill>
            </a:ln>
          </c:spPr>
          <c:marker>
            <c:symbol val="circle"/>
            <c:size val="7"/>
            <c:spPr>
              <a:solidFill>
                <a:schemeClr val="accent1">
                  <a:lumMod val="40000"/>
                  <a:lumOff val="60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projections'!$J$112:$J$118</c:f>
              <c:numCache>
                <c:formatCode>0.00</c:formatCode>
                <c:ptCount val="7"/>
                <c:pt idx="0">
                  <c:v>42.229932708483538</c:v>
                </c:pt>
                <c:pt idx="1">
                  <c:v>21.039864215332852</c:v>
                </c:pt>
                <c:pt idx="2">
                  <c:v>10.444829968757508</c:v>
                </c:pt>
                <c:pt idx="3">
                  <c:v>6.9131518865657293</c:v>
                </c:pt>
                <c:pt idx="4">
                  <c:v>5.1473128454698385</c:v>
                </c:pt>
                <c:pt idx="5">
                  <c:v>4.0878094208123041</c:v>
                </c:pt>
                <c:pt idx="6">
                  <c:v>3.3814738043739485</c:v>
                </c:pt>
              </c:numCache>
            </c:numRef>
          </c:yVal>
          <c:smooth val="1"/>
        </c:ser>
        <c:dLbls>
          <c:showLegendKey val="0"/>
          <c:showVal val="0"/>
          <c:showCatName val="0"/>
          <c:showSerName val="0"/>
          <c:showPercent val="0"/>
          <c:showBubbleSize val="0"/>
        </c:dLbls>
        <c:axId val="42988288"/>
        <c:axId val="42990592"/>
      </c:scatterChart>
      <c:valAx>
        <c:axId val="42988288"/>
        <c:scaling>
          <c:orientation val="minMax"/>
        </c:scaling>
        <c:delete val="0"/>
        <c:axPos val="b"/>
        <c:majorGridlines>
          <c:spPr>
            <a:ln>
              <a:solidFill>
                <a:schemeClr val="tx1">
                  <a:tint val="75000"/>
                  <a:shade val="95000"/>
                  <a:satMod val="105000"/>
                </a:schemeClr>
              </a:solidFill>
              <a:prstDash val="sysDot"/>
            </a:ln>
          </c:spPr>
        </c:majorGridlines>
        <c:title>
          <c:tx>
            <c:rich>
              <a:bodyPr/>
              <a:lstStyle/>
              <a:p>
                <a:pPr>
                  <a:defRPr/>
                </a:pPr>
                <a:r>
                  <a:rPr lang="en-US"/>
                  <a:t>Customer Load, kW </a:t>
                </a:r>
              </a:p>
            </c:rich>
          </c:tx>
          <c:overlay val="0"/>
        </c:title>
        <c:numFmt formatCode="#,##0" sourceLinked="0"/>
        <c:majorTickMark val="out"/>
        <c:minorTickMark val="none"/>
        <c:tickLblPos val="nextTo"/>
        <c:crossAx val="42990592"/>
        <c:crosses val="autoZero"/>
        <c:crossBetween val="midCat"/>
      </c:valAx>
      <c:valAx>
        <c:axId val="42990592"/>
        <c:scaling>
          <c:orientation val="minMax"/>
          <c:max val="10"/>
        </c:scaling>
        <c:delete val="0"/>
        <c:axPos val="l"/>
        <c:majorGridlines>
          <c:spPr>
            <a:ln>
              <a:prstDash val="sysDot"/>
            </a:ln>
          </c:spPr>
        </c:majorGridlines>
        <c:title>
          <c:tx>
            <c:rich>
              <a:bodyPr rot="-5400000" vert="horz"/>
              <a:lstStyle/>
              <a:p>
                <a:pPr>
                  <a:defRPr/>
                </a:pPr>
                <a:r>
                  <a:rPr lang="en-US"/>
                  <a:t>Years</a:t>
                </a:r>
              </a:p>
            </c:rich>
          </c:tx>
          <c:overlay val="0"/>
        </c:title>
        <c:numFmt formatCode="0" sourceLinked="0"/>
        <c:majorTickMark val="out"/>
        <c:minorTickMark val="none"/>
        <c:tickLblPos val="nextTo"/>
        <c:crossAx val="42988288"/>
        <c:crosses val="autoZero"/>
        <c:crossBetween val="midCat"/>
        <c:majorUnit val="1"/>
        <c:minorUnit val="1"/>
      </c:valAx>
    </c:plotArea>
    <c:legend>
      <c:legendPos val="b"/>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HyGen Life</a:t>
            </a:r>
          </a:p>
        </c:rich>
      </c:tx>
      <c:layout>
        <c:manualLayout>
          <c:xMode val="edge"/>
          <c:yMode val="edge"/>
          <c:x val="0.44040243138621465"/>
          <c:y val="9.3800045756119894E-3"/>
        </c:manualLayout>
      </c:layout>
      <c:overlay val="1"/>
    </c:title>
    <c:autoTitleDeleted val="0"/>
    <c:plotArea>
      <c:layout>
        <c:manualLayout>
          <c:layoutTarget val="inner"/>
          <c:xMode val="edge"/>
          <c:yMode val="edge"/>
          <c:x val="0.13067957104489797"/>
          <c:y val="9.2522060512247276E-2"/>
          <c:w val="0.82038607282198306"/>
          <c:h val="0.7405269111309406"/>
        </c:manualLayout>
      </c:layout>
      <c:scatterChart>
        <c:scatterStyle val="smoothMarker"/>
        <c:varyColors val="0"/>
        <c:ser>
          <c:idx val="0"/>
          <c:order val="0"/>
          <c:tx>
            <c:v>Engine Life in Years</c:v>
          </c:tx>
          <c:spPr>
            <a:ln>
              <a:solidFill>
                <a:schemeClr val="accent1">
                  <a:lumMod val="75000"/>
                </a:schemeClr>
              </a:solidFill>
            </a:ln>
          </c:spPr>
          <c:marker>
            <c:symbol val="circle"/>
            <c:size val="7"/>
            <c:spPr>
              <a:solidFill>
                <a:schemeClr val="accent1">
                  <a:lumMod val="75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projections'!$H$112:$H$118</c:f>
              <c:numCache>
                <c:formatCode>0.00</c:formatCode>
                <c:ptCount val="7"/>
                <c:pt idx="0">
                  <c:v>25.337959625090125</c:v>
                </c:pt>
                <c:pt idx="1">
                  <c:v>12.623918529199711</c:v>
                </c:pt>
                <c:pt idx="2">
                  <c:v>6.2668979812545045</c:v>
                </c:pt>
                <c:pt idx="3">
                  <c:v>4.1478911319394376</c:v>
                </c:pt>
                <c:pt idx="4">
                  <c:v>3.0883877072819033</c:v>
                </c:pt>
                <c:pt idx="5">
                  <c:v>2.452685652487383</c:v>
                </c:pt>
                <c:pt idx="6">
                  <c:v>2.0288842826243689</c:v>
                </c:pt>
              </c:numCache>
            </c:numRef>
          </c:yVal>
          <c:smooth val="1"/>
        </c:ser>
        <c:ser>
          <c:idx val="1"/>
          <c:order val="1"/>
          <c:tx>
            <c:v>Battery Life in Years</c:v>
          </c:tx>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projections'!$H$121:$H$127</c:f>
              <c:numCache>
                <c:formatCode>0.00</c:formatCode>
                <c:ptCount val="7"/>
                <c:pt idx="0">
                  <c:v>9.090349428722968</c:v>
                </c:pt>
                <c:pt idx="1">
                  <c:v>4.9030746961438485</c:v>
                </c:pt>
                <c:pt idx="2">
                  <c:v>2.9156653729259774</c:v>
                </c:pt>
                <c:pt idx="3">
                  <c:v>2.4058535982664453</c:v>
                </c:pt>
                <c:pt idx="4">
                  <c:v>2.3779194749886452</c:v>
                </c:pt>
                <c:pt idx="5">
                  <c:v>2.8079742619164745</c:v>
                </c:pt>
                <c:pt idx="6">
                  <c:v>4.527083434894946</c:v>
                </c:pt>
              </c:numCache>
            </c:numRef>
          </c:yVal>
          <c:smooth val="1"/>
        </c:ser>
        <c:ser>
          <c:idx val="2"/>
          <c:order val="2"/>
          <c:tx>
            <c:v> </c:v>
          </c:tx>
          <c:spPr>
            <a:ln>
              <a:solidFill>
                <a:schemeClr val="accent2">
                  <a:lumMod val="60000"/>
                  <a:lumOff val="40000"/>
                </a:schemeClr>
              </a:solidFill>
            </a:ln>
          </c:spPr>
          <c:marker>
            <c:symbol val="square"/>
            <c:size val="7"/>
            <c:spPr>
              <a:solidFill>
                <a:schemeClr val="accent2">
                  <a:lumMod val="60000"/>
                  <a:lumOff val="4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projections'!$I$121:$I$127</c:f>
              <c:numCache>
                <c:formatCode>0.00</c:formatCode>
                <c:ptCount val="7"/>
                <c:pt idx="0">
                  <c:v>12.120465904963957</c:v>
                </c:pt>
                <c:pt idx="1">
                  <c:v>6.537432928191798</c:v>
                </c:pt>
                <c:pt idx="2">
                  <c:v>3.8875538305679695</c:v>
                </c:pt>
                <c:pt idx="3">
                  <c:v>3.2078047976885942</c:v>
                </c:pt>
                <c:pt idx="4">
                  <c:v>3.17055929998486</c:v>
                </c:pt>
                <c:pt idx="5">
                  <c:v>3.7439656825552996</c:v>
                </c:pt>
                <c:pt idx="6">
                  <c:v>6.0361112465265947</c:v>
                </c:pt>
              </c:numCache>
            </c:numRef>
          </c:yVal>
          <c:smooth val="1"/>
        </c:ser>
        <c:ser>
          <c:idx val="3"/>
          <c:order val="3"/>
          <c:tx>
            <c:v> </c:v>
          </c:tx>
          <c:spPr>
            <a:ln>
              <a:solidFill>
                <a:schemeClr val="accent2">
                  <a:lumMod val="40000"/>
                  <a:lumOff val="60000"/>
                </a:schemeClr>
              </a:solidFill>
            </a:ln>
          </c:spPr>
          <c:marker>
            <c:symbol val="square"/>
            <c:size val="7"/>
            <c:spPr>
              <a:solidFill>
                <a:schemeClr val="accent2">
                  <a:lumMod val="40000"/>
                  <a:lumOff val="6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projections'!$J$121:$J$127</c:f>
              <c:numCache>
                <c:formatCode>0.00</c:formatCode>
                <c:ptCount val="7"/>
                <c:pt idx="0">
                  <c:v>18.887726035235506</c:v>
                </c:pt>
                <c:pt idx="1">
                  <c:v>10.187499646432221</c:v>
                </c:pt>
                <c:pt idx="2">
                  <c:v>6.0581047193017543</c:v>
                </c:pt>
                <c:pt idx="3">
                  <c:v>4.998829143064726</c:v>
                </c:pt>
                <c:pt idx="4">
                  <c:v>4.9407882424764082</c:v>
                </c:pt>
                <c:pt idx="5">
                  <c:v>5.8343465219820096</c:v>
                </c:pt>
                <c:pt idx="6">
                  <c:v>9.406273359170612</c:v>
                </c:pt>
              </c:numCache>
            </c:numRef>
          </c:yVal>
          <c:smooth val="1"/>
        </c:ser>
        <c:ser>
          <c:idx val="4"/>
          <c:order val="4"/>
          <c:tx>
            <c:v> </c:v>
          </c:tx>
          <c:spPr>
            <a:ln>
              <a:solidFill>
                <a:schemeClr val="accent1">
                  <a:lumMod val="60000"/>
                  <a:lumOff val="40000"/>
                </a:schemeClr>
              </a:solidFill>
            </a:ln>
          </c:spPr>
          <c:marker>
            <c:symbol val="circle"/>
            <c:size val="7"/>
            <c:spPr>
              <a:solidFill>
                <a:schemeClr val="accent1">
                  <a:lumMod val="60000"/>
                  <a:lumOff val="40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projections'!$I$112:$I$118</c:f>
              <c:numCache>
                <c:formatCode>0.00</c:formatCode>
                <c:ptCount val="7"/>
                <c:pt idx="0">
                  <c:v>33.783946166786833</c:v>
                </c:pt>
                <c:pt idx="1">
                  <c:v>16.831891372266284</c:v>
                </c:pt>
                <c:pt idx="2">
                  <c:v>8.3558639750060077</c:v>
                </c:pt>
                <c:pt idx="3">
                  <c:v>5.5305215092525835</c:v>
                </c:pt>
                <c:pt idx="4">
                  <c:v>4.1178502763758713</c:v>
                </c:pt>
                <c:pt idx="5">
                  <c:v>3.270247536649844</c:v>
                </c:pt>
                <c:pt idx="6">
                  <c:v>2.7051790434991587</c:v>
                </c:pt>
              </c:numCache>
            </c:numRef>
          </c:yVal>
          <c:smooth val="1"/>
        </c:ser>
        <c:ser>
          <c:idx val="5"/>
          <c:order val="5"/>
          <c:tx>
            <c:v> </c:v>
          </c:tx>
          <c:spPr>
            <a:ln>
              <a:solidFill>
                <a:schemeClr val="accent1">
                  <a:lumMod val="40000"/>
                  <a:lumOff val="60000"/>
                </a:schemeClr>
              </a:solidFill>
            </a:ln>
          </c:spPr>
          <c:marker>
            <c:symbol val="circle"/>
            <c:size val="7"/>
            <c:spPr>
              <a:solidFill>
                <a:schemeClr val="accent1">
                  <a:lumMod val="40000"/>
                  <a:lumOff val="60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projections'!$J$112:$J$118</c:f>
              <c:numCache>
                <c:formatCode>0.00</c:formatCode>
                <c:ptCount val="7"/>
                <c:pt idx="0">
                  <c:v>42.229932708483538</c:v>
                </c:pt>
                <c:pt idx="1">
                  <c:v>21.039864215332852</c:v>
                </c:pt>
                <c:pt idx="2">
                  <c:v>10.444829968757508</c:v>
                </c:pt>
                <c:pt idx="3">
                  <c:v>6.9131518865657293</c:v>
                </c:pt>
                <c:pt idx="4">
                  <c:v>5.1473128454698385</c:v>
                </c:pt>
                <c:pt idx="5">
                  <c:v>4.0878094208123041</c:v>
                </c:pt>
                <c:pt idx="6">
                  <c:v>3.3814738043739485</c:v>
                </c:pt>
              </c:numCache>
            </c:numRef>
          </c:yVal>
          <c:smooth val="1"/>
        </c:ser>
        <c:ser>
          <c:idx val="6"/>
          <c:order val="6"/>
          <c:tx>
            <c:v> </c:v>
          </c:tx>
          <c:spPr>
            <a:ln>
              <a:solidFill>
                <a:schemeClr val="accent2">
                  <a:lumMod val="50000"/>
                </a:schemeClr>
              </a:solidFill>
            </a:ln>
          </c:spPr>
          <c:marker>
            <c:symbol val="square"/>
            <c:size val="7"/>
            <c:spPr>
              <a:solidFill>
                <a:schemeClr val="accent2">
                  <a:lumMod val="5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projections'!$G$121:$G$127</c:f>
              <c:numCache>
                <c:formatCode>0.00</c:formatCode>
                <c:ptCount val="7"/>
                <c:pt idx="0">
                  <c:v>5.8178236343826999</c:v>
                </c:pt>
                <c:pt idx="1">
                  <c:v>3.1379678055320634</c:v>
                </c:pt>
                <c:pt idx="2">
                  <c:v>1.8660258386726254</c:v>
                </c:pt>
                <c:pt idx="3">
                  <c:v>1.5397463028905254</c:v>
                </c:pt>
                <c:pt idx="4">
                  <c:v>1.5218684639927331</c:v>
                </c:pt>
                <c:pt idx="5">
                  <c:v>1.7971035276265439</c:v>
                </c:pt>
                <c:pt idx="6">
                  <c:v>2.8973333983327652</c:v>
                </c:pt>
              </c:numCache>
            </c:numRef>
          </c:yVal>
          <c:smooth val="1"/>
        </c:ser>
        <c:dLbls>
          <c:showLegendKey val="0"/>
          <c:showVal val="0"/>
          <c:showCatName val="0"/>
          <c:showSerName val="0"/>
          <c:showPercent val="0"/>
          <c:showBubbleSize val="0"/>
        </c:dLbls>
        <c:axId val="43021440"/>
        <c:axId val="43023744"/>
      </c:scatterChart>
      <c:valAx>
        <c:axId val="43021440"/>
        <c:scaling>
          <c:orientation val="minMax"/>
        </c:scaling>
        <c:delete val="0"/>
        <c:axPos val="b"/>
        <c:majorGridlines>
          <c:spPr>
            <a:ln>
              <a:solidFill>
                <a:schemeClr val="tx1">
                  <a:tint val="75000"/>
                  <a:shade val="95000"/>
                  <a:satMod val="105000"/>
                </a:schemeClr>
              </a:solidFill>
              <a:prstDash val="sysDot"/>
            </a:ln>
          </c:spPr>
        </c:majorGridlines>
        <c:title>
          <c:tx>
            <c:rich>
              <a:bodyPr/>
              <a:lstStyle/>
              <a:p>
                <a:pPr>
                  <a:defRPr/>
                </a:pPr>
                <a:r>
                  <a:rPr lang="en-US"/>
                  <a:t>Customer Load, kW </a:t>
                </a:r>
              </a:p>
            </c:rich>
          </c:tx>
          <c:overlay val="0"/>
        </c:title>
        <c:numFmt formatCode="#,##0" sourceLinked="0"/>
        <c:majorTickMark val="out"/>
        <c:minorTickMark val="none"/>
        <c:tickLblPos val="nextTo"/>
        <c:crossAx val="43023744"/>
        <c:crosses val="autoZero"/>
        <c:crossBetween val="midCat"/>
      </c:valAx>
      <c:valAx>
        <c:axId val="43023744"/>
        <c:scaling>
          <c:orientation val="minMax"/>
          <c:max val="10"/>
        </c:scaling>
        <c:delete val="0"/>
        <c:axPos val="l"/>
        <c:majorGridlines>
          <c:spPr>
            <a:ln>
              <a:prstDash val="sysDot"/>
            </a:ln>
          </c:spPr>
        </c:majorGridlines>
        <c:title>
          <c:tx>
            <c:rich>
              <a:bodyPr rot="-5400000" vert="horz"/>
              <a:lstStyle/>
              <a:p>
                <a:pPr>
                  <a:defRPr/>
                </a:pPr>
                <a:r>
                  <a:rPr lang="en-US"/>
                  <a:t>Years</a:t>
                </a:r>
              </a:p>
            </c:rich>
          </c:tx>
          <c:overlay val="0"/>
        </c:title>
        <c:numFmt formatCode="0" sourceLinked="0"/>
        <c:majorTickMark val="out"/>
        <c:minorTickMark val="none"/>
        <c:tickLblPos val="nextTo"/>
        <c:crossAx val="43021440"/>
        <c:crosses val="autoZero"/>
        <c:crossBetween val="midCat"/>
        <c:majorUnit val="1"/>
        <c:minorUnit val="1"/>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strRef>
              <c:f>'Boston Power Life'!$E$30</c:f>
              <c:strCache>
                <c:ptCount val="1"/>
                <c:pt idx="0">
                  <c:v>BP 50% DOD Projected</c:v>
                </c:pt>
              </c:strCache>
            </c:strRef>
          </c:tx>
          <c:spPr>
            <a:ln>
              <a:solidFill>
                <a:schemeClr val="accent2"/>
              </a:solidFill>
            </a:ln>
          </c:spPr>
          <c:marker>
            <c:spPr>
              <a:ln>
                <a:solidFill>
                  <a:schemeClr val="accent2"/>
                </a:solidFill>
              </a:ln>
            </c:spPr>
          </c:marker>
          <c:xVal>
            <c:numRef>
              <c:f>'Boston Power Life'!$C$31:$C$40</c:f>
              <c:numCache>
                <c:formatCode>General</c:formatCode>
                <c:ptCount val="10"/>
                <c:pt idx="0">
                  <c:v>0</c:v>
                </c:pt>
                <c:pt idx="1">
                  <c:v>500</c:v>
                </c:pt>
                <c:pt idx="2">
                  <c:v>1000</c:v>
                </c:pt>
                <c:pt idx="3">
                  <c:v>1500</c:v>
                </c:pt>
                <c:pt idx="4">
                  <c:v>2000</c:v>
                </c:pt>
                <c:pt idx="5">
                  <c:v>2500</c:v>
                </c:pt>
                <c:pt idx="6">
                  <c:v>3000</c:v>
                </c:pt>
                <c:pt idx="7">
                  <c:v>3500</c:v>
                </c:pt>
                <c:pt idx="8">
                  <c:v>10000</c:v>
                </c:pt>
              </c:numCache>
            </c:numRef>
          </c:xVal>
          <c:yVal>
            <c:numRef>
              <c:f>'Boston Power Life'!$E$31:$E$40</c:f>
              <c:numCache>
                <c:formatCode>General</c:formatCode>
                <c:ptCount val="10"/>
                <c:pt idx="0">
                  <c:v>100</c:v>
                </c:pt>
                <c:pt idx="1">
                  <c:v>92.1</c:v>
                </c:pt>
                <c:pt idx="2">
                  <c:v>88.9</c:v>
                </c:pt>
                <c:pt idx="3">
                  <c:v>87.3</c:v>
                </c:pt>
                <c:pt idx="4">
                  <c:v>86.1</c:v>
                </c:pt>
                <c:pt idx="5">
                  <c:v>85.3</c:v>
                </c:pt>
                <c:pt idx="6">
                  <c:v>84.5</c:v>
                </c:pt>
                <c:pt idx="7">
                  <c:v>84.1</c:v>
                </c:pt>
                <c:pt idx="8">
                  <c:v>80</c:v>
                </c:pt>
              </c:numCache>
            </c:numRef>
          </c:yVal>
          <c:smooth val="1"/>
        </c:ser>
        <c:ser>
          <c:idx val="2"/>
          <c:order val="1"/>
          <c:tx>
            <c:strRef>
              <c:f>'Boston Power Life'!$K$30</c:f>
              <c:strCache>
                <c:ptCount val="1"/>
                <c:pt idx="0">
                  <c:v>PPI 50% DOD guestimate</c:v>
                </c:pt>
              </c:strCache>
            </c:strRef>
          </c:tx>
          <c:xVal>
            <c:numRef>
              <c:f>'Boston Power Life'!$J$31:$J$33</c:f>
              <c:numCache>
                <c:formatCode>General</c:formatCode>
                <c:ptCount val="3"/>
                <c:pt idx="0">
                  <c:v>0</c:v>
                </c:pt>
                <c:pt idx="1">
                  <c:v>1000</c:v>
                </c:pt>
                <c:pt idx="2">
                  <c:v>7500</c:v>
                </c:pt>
              </c:numCache>
            </c:numRef>
          </c:xVal>
          <c:yVal>
            <c:numRef>
              <c:f>'Boston Power Life'!$K$31:$K$33</c:f>
              <c:numCache>
                <c:formatCode>General</c:formatCode>
                <c:ptCount val="3"/>
                <c:pt idx="0">
                  <c:v>100</c:v>
                </c:pt>
                <c:pt idx="1">
                  <c:v>88.9</c:v>
                </c:pt>
                <c:pt idx="2">
                  <c:v>80</c:v>
                </c:pt>
              </c:numCache>
            </c:numRef>
          </c:yVal>
          <c:smooth val="1"/>
        </c:ser>
        <c:ser>
          <c:idx val="3"/>
          <c:order val="2"/>
          <c:tx>
            <c:strRef>
              <c:f>'Boston Power Life'!$H$30</c:f>
              <c:strCache>
                <c:ptCount val="1"/>
                <c:pt idx="0">
                  <c:v>PPI 70% EOL</c:v>
                </c:pt>
              </c:strCache>
            </c:strRef>
          </c:tx>
          <c:xVal>
            <c:numRef>
              <c:f>'Boston Power Life'!$G$31:$G$39</c:f>
              <c:numCache>
                <c:formatCode>General</c:formatCode>
                <c:ptCount val="9"/>
                <c:pt idx="0">
                  <c:v>0</c:v>
                </c:pt>
                <c:pt idx="1">
                  <c:v>500</c:v>
                </c:pt>
                <c:pt idx="2">
                  <c:v>1000</c:v>
                </c:pt>
                <c:pt idx="3">
                  <c:v>1500</c:v>
                </c:pt>
                <c:pt idx="4">
                  <c:v>2000</c:v>
                </c:pt>
                <c:pt idx="5">
                  <c:v>2500</c:v>
                </c:pt>
                <c:pt idx="6">
                  <c:v>3000</c:v>
                </c:pt>
                <c:pt idx="7">
                  <c:v>3500</c:v>
                </c:pt>
                <c:pt idx="8">
                  <c:v>15000</c:v>
                </c:pt>
              </c:numCache>
            </c:numRef>
          </c:xVal>
          <c:yVal>
            <c:numRef>
              <c:f>'Boston Power Life'!$H$31:$H$39</c:f>
              <c:numCache>
                <c:formatCode>General</c:formatCode>
                <c:ptCount val="9"/>
                <c:pt idx="0">
                  <c:v>100</c:v>
                </c:pt>
                <c:pt idx="1">
                  <c:v>92.1</c:v>
                </c:pt>
                <c:pt idx="2">
                  <c:v>88.9</c:v>
                </c:pt>
                <c:pt idx="3">
                  <c:v>87.3</c:v>
                </c:pt>
                <c:pt idx="4">
                  <c:v>86.1</c:v>
                </c:pt>
                <c:pt idx="5">
                  <c:v>85.3</c:v>
                </c:pt>
                <c:pt idx="6">
                  <c:v>84.5</c:v>
                </c:pt>
                <c:pt idx="7">
                  <c:v>84.1</c:v>
                </c:pt>
                <c:pt idx="8">
                  <c:v>70</c:v>
                </c:pt>
              </c:numCache>
            </c:numRef>
          </c:yVal>
          <c:smooth val="1"/>
        </c:ser>
        <c:ser>
          <c:idx val="0"/>
          <c:order val="3"/>
          <c:tx>
            <c:strRef>
              <c:f>'Boston Power Life'!$D$30</c:f>
              <c:strCache>
                <c:ptCount val="1"/>
                <c:pt idx="0">
                  <c:v>BP Published Graph</c:v>
                </c:pt>
              </c:strCache>
            </c:strRef>
          </c:tx>
          <c:spPr>
            <a:ln>
              <a:solidFill>
                <a:srgbClr val="FF00FF"/>
              </a:solidFill>
            </a:ln>
          </c:spPr>
          <c:marker>
            <c:spPr>
              <a:solidFill>
                <a:srgbClr val="FF00FF"/>
              </a:solidFill>
            </c:spPr>
          </c:marker>
          <c:xVal>
            <c:numRef>
              <c:f>'Boston Power Life'!$C$31:$C$38</c:f>
              <c:numCache>
                <c:formatCode>General</c:formatCode>
                <c:ptCount val="8"/>
                <c:pt idx="0">
                  <c:v>0</c:v>
                </c:pt>
                <c:pt idx="1">
                  <c:v>500</c:v>
                </c:pt>
                <c:pt idx="2">
                  <c:v>1000</c:v>
                </c:pt>
                <c:pt idx="3">
                  <c:v>1500</c:v>
                </c:pt>
                <c:pt idx="4">
                  <c:v>2000</c:v>
                </c:pt>
                <c:pt idx="5">
                  <c:v>2500</c:v>
                </c:pt>
                <c:pt idx="6">
                  <c:v>3000</c:v>
                </c:pt>
                <c:pt idx="7">
                  <c:v>3500</c:v>
                </c:pt>
              </c:numCache>
            </c:numRef>
          </c:xVal>
          <c:yVal>
            <c:numRef>
              <c:f>'Boston Power Life'!$D$31:$D$38</c:f>
              <c:numCache>
                <c:formatCode>General</c:formatCode>
                <c:ptCount val="8"/>
                <c:pt idx="0">
                  <c:v>100</c:v>
                </c:pt>
                <c:pt idx="1">
                  <c:v>92.1</c:v>
                </c:pt>
                <c:pt idx="2">
                  <c:v>88.9</c:v>
                </c:pt>
                <c:pt idx="3">
                  <c:v>87.3</c:v>
                </c:pt>
                <c:pt idx="4">
                  <c:v>86.1</c:v>
                </c:pt>
                <c:pt idx="5">
                  <c:v>85.3</c:v>
                </c:pt>
                <c:pt idx="6">
                  <c:v>84.5</c:v>
                </c:pt>
                <c:pt idx="7">
                  <c:v>84.1</c:v>
                </c:pt>
              </c:numCache>
            </c:numRef>
          </c:yVal>
          <c:smooth val="1"/>
        </c:ser>
        <c:ser>
          <c:idx val="4"/>
          <c:order val="4"/>
          <c:tx>
            <c:strRef>
              <c:f>'Boston Power Life'!$N$30</c:f>
              <c:strCache>
                <c:ptCount val="1"/>
                <c:pt idx="0">
                  <c:v>Beckett Spec</c:v>
                </c:pt>
              </c:strCache>
            </c:strRef>
          </c:tx>
          <c:marker>
            <c:symbol val="circle"/>
            <c:size val="7"/>
          </c:marker>
          <c:xVal>
            <c:numRef>
              <c:f>'Boston Power Life'!$M$31</c:f>
              <c:numCache>
                <c:formatCode>General</c:formatCode>
                <c:ptCount val="1"/>
                <c:pt idx="0">
                  <c:v>3000</c:v>
                </c:pt>
              </c:numCache>
            </c:numRef>
          </c:xVal>
          <c:yVal>
            <c:numRef>
              <c:f>'Boston Power Life'!$N$31</c:f>
              <c:numCache>
                <c:formatCode>General</c:formatCode>
                <c:ptCount val="1"/>
                <c:pt idx="0">
                  <c:v>80</c:v>
                </c:pt>
              </c:numCache>
            </c:numRef>
          </c:yVal>
          <c:smooth val="1"/>
        </c:ser>
        <c:dLbls>
          <c:showLegendKey val="0"/>
          <c:showVal val="0"/>
          <c:showCatName val="0"/>
          <c:showSerName val="0"/>
          <c:showPercent val="0"/>
          <c:showBubbleSize val="0"/>
        </c:dLbls>
        <c:axId val="43060224"/>
        <c:axId val="43062016"/>
      </c:scatterChart>
      <c:valAx>
        <c:axId val="43060224"/>
        <c:scaling>
          <c:orientation val="minMax"/>
        </c:scaling>
        <c:delete val="0"/>
        <c:axPos val="b"/>
        <c:minorGridlines/>
        <c:numFmt formatCode="General" sourceLinked="1"/>
        <c:majorTickMark val="out"/>
        <c:minorTickMark val="none"/>
        <c:tickLblPos val="nextTo"/>
        <c:crossAx val="43062016"/>
        <c:crosses val="autoZero"/>
        <c:crossBetween val="midCat"/>
        <c:minorUnit val="1000"/>
      </c:valAx>
      <c:valAx>
        <c:axId val="43062016"/>
        <c:scaling>
          <c:orientation val="minMax"/>
          <c:max val="100"/>
          <c:min val="60"/>
        </c:scaling>
        <c:delete val="0"/>
        <c:axPos val="l"/>
        <c:majorGridlines/>
        <c:numFmt formatCode="General" sourceLinked="1"/>
        <c:majorTickMark val="out"/>
        <c:minorTickMark val="none"/>
        <c:tickLblPos val="nextTo"/>
        <c:crossAx val="43060224"/>
        <c:crosses val="autoZero"/>
        <c:crossBetween val="midCat"/>
      </c:valAx>
    </c:plotArea>
    <c:legend>
      <c:legendPos val="b"/>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0.84571</cdr:x>
      <cdr:y>0.56675</cdr:y>
    </cdr:from>
    <cdr:to>
      <cdr:x>0.94898</cdr:x>
      <cdr:y>0.70859</cdr:y>
    </cdr:to>
    <cdr:sp macro="" textlink="">
      <cdr:nvSpPr>
        <cdr:cNvPr id="2" name="TextBox 1"/>
        <cdr:cNvSpPr txBox="1"/>
      </cdr:nvSpPr>
      <cdr:spPr>
        <a:xfrm xmlns:a="http://schemas.openxmlformats.org/drawingml/2006/main">
          <a:off x="5856278" y="3244389"/>
          <a:ext cx="715111" cy="81196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Beckett Spec</a:t>
          </a:r>
        </a:p>
        <a:p xmlns:a="http://schemas.openxmlformats.org/drawingml/2006/main">
          <a:r>
            <a:rPr lang="en-US" sz="1100"/>
            <a:t>3000 Cycles</a:t>
          </a:r>
        </a:p>
        <a:p xmlns:a="http://schemas.openxmlformats.org/drawingml/2006/main">
          <a:r>
            <a:rPr lang="en-US" sz="1100"/>
            <a:t>80% DOD</a:t>
          </a:r>
        </a:p>
        <a:p xmlns:a="http://schemas.openxmlformats.org/drawingml/2006/main">
          <a:r>
            <a:rPr lang="en-US" sz="1100"/>
            <a:t>80%</a:t>
          </a:r>
          <a:r>
            <a:rPr lang="en-US" sz="1100" baseline="0"/>
            <a:t> EOL</a:t>
          </a:r>
          <a:endParaRPr lang="en-US" sz="1100"/>
        </a:p>
      </cdr:txBody>
    </cdr:sp>
  </cdr:relSizeAnchor>
  <cdr:relSizeAnchor xmlns:cdr="http://schemas.openxmlformats.org/drawingml/2006/chartDrawing">
    <cdr:from>
      <cdr:x>0.84572</cdr:x>
      <cdr:y>0.4307</cdr:y>
    </cdr:from>
    <cdr:to>
      <cdr:x>0.94898</cdr:x>
      <cdr:y>0.57254</cdr:y>
    </cdr:to>
    <cdr:sp macro="" textlink="">
      <cdr:nvSpPr>
        <cdr:cNvPr id="3" name="TextBox 1"/>
        <cdr:cNvSpPr txBox="1"/>
      </cdr:nvSpPr>
      <cdr:spPr>
        <a:xfrm xmlns:a="http://schemas.openxmlformats.org/drawingml/2006/main">
          <a:off x="5856312" y="2465530"/>
          <a:ext cx="715042" cy="81196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Marty Est</a:t>
          </a:r>
        </a:p>
        <a:p xmlns:a="http://schemas.openxmlformats.org/drawingml/2006/main">
          <a:r>
            <a:rPr lang="en-US" sz="1100"/>
            <a:t>7500 Cycles</a:t>
          </a:r>
        </a:p>
        <a:p xmlns:a="http://schemas.openxmlformats.org/drawingml/2006/main">
          <a:r>
            <a:rPr lang="en-US" sz="1100"/>
            <a:t>50% DOD</a:t>
          </a:r>
        </a:p>
        <a:p xmlns:a="http://schemas.openxmlformats.org/drawingml/2006/main">
          <a:r>
            <a:rPr lang="en-US" sz="1100"/>
            <a:t>80%</a:t>
          </a:r>
          <a:r>
            <a:rPr lang="en-US" sz="1100" baseline="0"/>
            <a:t> EOL</a:t>
          </a:r>
          <a:endParaRPr lang="en-US" sz="1100"/>
        </a:p>
      </cdr:txBody>
    </cdr:sp>
  </cdr:relSizeAnchor>
  <cdr:relSizeAnchor xmlns:cdr="http://schemas.openxmlformats.org/drawingml/2006/chartDrawing">
    <cdr:from>
      <cdr:x>0.84571</cdr:x>
      <cdr:y>0.25461</cdr:y>
    </cdr:from>
    <cdr:to>
      <cdr:x>0.94898</cdr:x>
      <cdr:y>0.40224</cdr:y>
    </cdr:to>
    <cdr:sp macro="" textlink="">
      <cdr:nvSpPr>
        <cdr:cNvPr id="4" name="TextBox 1"/>
        <cdr:cNvSpPr txBox="1"/>
      </cdr:nvSpPr>
      <cdr:spPr>
        <a:xfrm xmlns:a="http://schemas.openxmlformats.org/drawingml/2006/main">
          <a:off x="5856278" y="1457495"/>
          <a:ext cx="715111" cy="84511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Boston Pwr</a:t>
          </a:r>
        </a:p>
        <a:p xmlns:a="http://schemas.openxmlformats.org/drawingml/2006/main">
          <a:r>
            <a:rPr lang="en-US" sz="1100"/>
            <a:t>10000 Cycles</a:t>
          </a:r>
        </a:p>
        <a:p xmlns:a="http://schemas.openxmlformats.org/drawingml/2006/main">
          <a:r>
            <a:rPr lang="en-US" sz="1100"/>
            <a:t>50% DOD</a:t>
          </a:r>
        </a:p>
        <a:p xmlns:a="http://schemas.openxmlformats.org/drawingml/2006/main">
          <a:r>
            <a:rPr lang="en-US" sz="1100"/>
            <a:t>80%</a:t>
          </a:r>
          <a:r>
            <a:rPr lang="en-US" sz="1100" baseline="0"/>
            <a:t> EOL</a:t>
          </a:r>
        </a:p>
        <a:p xmlns:a="http://schemas.openxmlformats.org/drawingml/2006/main">
          <a:r>
            <a:rPr lang="en-US" sz="1100" baseline="0"/>
            <a:t>25C</a:t>
          </a:r>
          <a:endParaRPr lang="en-US" sz="1100"/>
        </a:p>
      </cdr:txBody>
    </cdr:sp>
  </cdr:relSizeAnchor>
  <cdr:relSizeAnchor xmlns:cdr="http://schemas.openxmlformats.org/drawingml/2006/chartDrawing">
    <cdr:from>
      <cdr:x>0.84572</cdr:x>
      <cdr:y>0.05157</cdr:y>
    </cdr:from>
    <cdr:to>
      <cdr:x>0.94898</cdr:x>
      <cdr:y>0.20707</cdr:y>
    </cdr:to>
    <cdr:sp macro="" textlink="">
      <cdr:nvSpPr>
        <cdr:cNvPr id="5" name="TextBox 1"/>
        <cdr:cNvSpPr txBox="1"/>
      </cdr:nvSpPr>
      <cdr:spPr>
        <a:xfrm xmlns:a="http://schemas.openxmlformats.org/drawingml/2006/main">
          <a:off x="5856312" y="295197"/>
          <a:ext cx="715042" cy="8901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Extrapolation</a:t>
          </a:r>
        </a:p>
        <a:p xmlns:a="http://schemas.openxmlformats.org/drawingml/2006/main">
          <a:r>
            <a:rPr lang="en-US" sz="1100"/>
            <a:t>15000 Cycles</a:t>
          </a:r>
        </a:p>
        <a:p xmlns:a="http://schemas.openxmlformats.org/drawingml/2006/main">
          <a:r>
            <a:rPr lang="en-US" sz="1100"/>
            <a:t>50% DOD</a:t>
          </a:r>
        </a:p>
        <a:p xmlns:a="http://schemas.openxmlformats.org/drawingml/2006/main">
          <a:r>
            <a:rPr lang="en-US" sz="1100"/>
            <a:t>70%</a:t>
          </a:r>
          <a:r>
            <a:rPr lang="en-US" sz="1100" baseline="0"/>
            <a:t> EOL</a:t>
          </a:r>
        </a:p>
        <a:p xmlns:a="http://schemas.openxmlformats.org/drawingml/2006/main">
          <a:r>
            <a:rPr lang="en-US" sz="1100" baseline="0"/>
            <a:t>25C</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0.84721</cdr:x>
      <cdr:y>0.67297</cdr:y>
    </cdr:from>
    <cdr:to>
      <cdr:x>1</cdr:x>
      <cdr:y>0.77541</cdr:y>
    </cdr:to>
    <cdr:sp macro="" textlink="">
      <cdr:nvSpPr>
        <cdr:cNvPr id="2" name="TextBox 1"/>
        <cdr:cNvSpPr txBox="1"/>
      </cdr:nvSpPr>
      <cdr:spPr>
        <a:xfrm xmlns:a="http://schemas.openxmlformats.org/drawingml/2006/main">
          <a:off x="5794027" y="3205020"/>
          <a:ext cx="1044923" cy="48787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Perkins</a:t>
          </a:r>
          <a:r>
            <a:rPr lang="en-US" sz="1100" baseline="0"/>
            <a:t> Spec</a:t>
          </a:r>
        </a:p>
        <a:p xmlns:a="http://schemas.openxmlformats.org/drawingml/2006/main">
          <a:r>
            <a:rPr lang="en-US" sz="1100" baseline="0"/>
            <a:t>15,000 hrs</a:t>
          </a:r>
        </a:p>
        <a:p xmlns:a="http://schemas.openxmlformats.org/drawingml/2006/main">
          <a:r>
            <a:rPr lang="en-US" sz="1100" baseline="0"/>
            <a:t>70% load</a:t>
          </a:r>
          <a:endParaRPr lang="en-US" sz="1100"/>
        </a:p>
      </cdr:txBody>
    </cdr:sp>
  </cdr:relSizeAnchor>
  <cdr:relSizeAnchor xmlns:cdr="http://schemas.openxmlformats.org/drawingml/2006/chartDrawing">
    <cdr:from>
      <cdr:x>0.84615</cdr:x>
      <cdr:y>0.61727</cdr:y>
    </cdr:from>
    <cdr:to>
      <cdr:x>0.97354</cdr:x>
      <cdr:y>0.668</cdr:y>
    </cdr:to>
    <cdr:sp macro="" textlink="">
      <cdr:nvSpPr>
        <cdr:cNvPr id="3" name="TextBox 2"/>
        <cdr:cNvSpPr txBox="1"/>
      </cdr:nvSpPr>
      <cdr:spPr>
        <a:xfrm xmlns:a="http://schemas.openxmlformats.org/drawingml/2006/main">
          <a:off x="5786778" y="2939749"/>
          <a:ext cx="871197" cy="24160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20,000 hrs</a:t>
          </a:r>
        </a:p>
      </cdr:txBody>
    </cdr:sp>
  </cdr:relSizeAnchor>
  <cdr:relSizeAnchor xmlns:cdr="http://schemas.openxmlformats.org/drawingml/2006/chartDrawing">
    <cdr:from>
      <cdr:x>0.84861</cdr:x>
      <cdr:y>0.56475</cdr:y>
    </cdr:from>
    <cdr:to>
      <cdr:x>1</cdr:x>
      <cdr:y>0.636</cdr:y>
    </cdr:to>
    <cdr:sp macro="" textlink="">
      <cdr:nvSpPr>
        <cdr:cNvPr id="4" name="TextBox 1"/>
        <cdr:cNvSpPr txBox="1"/>
      </cdr:nvSpPr>
      <cdr:spPr>
        <a:xfrm xmlns:a="http://schemas.openxmlformats.org/drawingml/2006/main">
          <a:off x="5803601" y="2689622"/>
          <a:ext cx="1035349" cy="33932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25,000 hrs</a:t>
          </a:r>
        </a:p>
      </cdr:txBody>
    </cdr:sp>
  </cdr:relSizeAnchor>
</c:userShapes>
</file>

<file path=word/drawings/drawing3.xml><?xml version="1.0" encoding="utf-8"?>
<c:userShapes xmlns:c="http://schemas.openxmlformats.org/drawingml/2006/chart">
  <cdr:relSizeAnchor xmlns:cdr="http://schemas.openxmlformats.org/drawingml/2006/chartDrawing">
    <cdr:from>
      <cdr:x>0.4165</cdr:x>
      <cdr:y>0.28288</cdr:y>
    </cdr:from>
    <cdr:to>
      <cdr:x>0.57093</cdr:x>
      <cdr:y>0.40698</cdr:y>
    </cdr:to>
    <cdr:sp macro="" textlink="">
      <cdr:nvSpPr>
        <cdr:cNvPr id="2" name="TextBox 1"/>
        <cdr:cNvSpPr txBox="1"/>
      </cdr:nvSpPr>
      <cdr:spPr>
        <a:xfrm xmlns:a="http://schemas.openxmlformats.org/drawingml/2006/main">
          <a:off x="3383952" y="1158609"/>
          <a:ext cx="1254723" cy="50826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All these lines are 50% DOD</a:t>
          </a:r>
        </a:p>
      </cdr:txBody>
    </cdr:sp>
  </cdr:relSizeAnchor>
  <cdr:relSizeAnchor xmlns:cdr="http://schemas.openxmlformats.org/drawingml/2006/chartDrawing">
    <cdr:from>
      <cdr:x>0.13959</cdr:x>
      <cdr:y>0.44453</cdr:y>
    </cdr:from>
    <cdr:to>
      <cdr:x>0.3205</cdr:x>
      <cdr:y>0.56744</cdr:y>
    </cdr:to>
    <cdr:sp macro="" textlink="">
      <cdr:nvSpPr>
        <cdr:cNvPr id="3" name="TextBox 2"/>
        <cdr:cNvSpPr txBox="1"/>
      </cdr:nvSpPr>
      <cdr:spPr>
        <a:xfrm xmlns:a="http://schemas.openxmlformats.org/drawingml/2006/main">
          <a:off x="1134161" y="1820691"/>
          <a:ext cx="1469862" cy="50340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Beckett Spec</a:t>
          </a:r>
        </a:p>
        <a:p xmlns:a="http://schemas.openxmlformats.org/drawingml/2006/main">
          <a:r>
            <a:rPr lang="en-US" sz="1100"/>
            <a:t>80% DOD, 80% EOL</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5</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Marty</dc:creator>
  <cp:lastModifiedBy>Bill Marty</cp:lastModifiedBy>
  <cp:revision>5</cp:revision>
  <dcterms:created xsi:type="dcterms:W3CDTF">2016-05-12T00:31:00Z</dcterms:created>
  <dcterms:modified xsi:type="dcterms:W3CDTF">2016-05-18T16:11:00Z</dcterms:modified>
</cp:coreProperties>
</file>