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F1F35"/>
          <w:sz w:val="40"/>
          <w:szCs w:val="40"/>
        </w:rPr>
        <w:t xml:space="preserve">TALK Platform Migration</w:t>
      </w:r>
    </w:p>
    <w:p>
      <w:pPr>
        <w:spacing w:after="240"/>
      </w:pPr>
      <w:r>
        <w:rPr>
          <w:color w:val="5A7090"/>
          <w:sz w:val="26"/>
          <w:szCs w:val="26"/>
        </w:rPr>
        <w:t xml:space="preserve">Phased Rollout Plan</w:t>
      </w:r>
    </w:p>
    <w:p>
      <w:pPr>
        <w:spacing w:after="160"/>
      </w:pPr>
      <w:r>
        <w:rPr>
          <w:i/>
          <w:iCs/>
          <w:color w:val="5A7090"/>
        </w:rPr>
        <w:t xml:space="preserve">Pilot complete. This covers the full-community rollout over the four weeks starting Monday, July 13.</w:t>
      </w:r>
    </w:p>
    <w:p>
      <w:pPr>
        <w:pStyle w:val="Heading1"/>
      </w:pPr>
      <w:r>
        <w:t xml:space="preserve">1. Audience</w:t>
      </w:r>
    </w:p>
    <w:p>
      <w:pPr>
        <w:spacing w:after="160"/>
      </w:pPr>
      <w:r>
        <w:t xml:space="preserve">Source: TALK Members July 6.xlsx (13,097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2"/>
              <w:left w:val="single" w:color="CCCCCC" w:sz="2"/>
              <w:bottom w:val="single" w:color="CCCCCC" w:sz="2"/>
              <w:right w:val="single" w:color="CCCCCC" w:sz="2"/>
            </w:tcBorders>
            <w:shd w:fill="0F1F35" w:val="clear"/>
            <w:tcMar>
              <w:top w:type="dxa" w:w="80"/>
              <w:left w:type="dxa" w:w="120"/>
              <w:bottom w:type="dxa" w:w="80"/>
              <w:right w:type="dxa" w:w="120"/>
            </w:tcMar>
          </w:tcPr>
          <w:p>
            <w:r>
              <w:rPr>
                <w:b/>
                <w:bCs/>
                <w:color w:val="FFFFFF"/>
                <w:sz w:val="20"/>
                <w:szCs w:val="20"/>
              </w:rPr>
              <w:t xml:space="preserve">Segment</w:t>
            </w:r>
          </w:p>
        </w:tc>
        <w:tc>
          <w:tcPr>
            <w:tcW w:type="dxa" w:w="2360"/>
            <w:tcBorders>
              <w:top w:val="single" w:color="CCCCCC" w:sz="2"/>
              <w:left w:val="single" w:color="CCCCCC" w:sz="2"/>
              <w:bottom w:val="single" w:color="CCCCCC" w:sz="2"/>
              <w:right w:val="single" w:color="CCCCCC" w:sz="2"/>
            </w:tcBorders>
            <w:shd w:fill="0F1F35" w:val="clear"/>
            <w:tcMar>
              <w:top w:type="dxa" w:w="80"/>
              <w:left w:type="dxa" w:w="120"/>
              <w:bottom w:type="dxa" w:w="80"/>
              <w:right w:type="dxa" w:w="120"/>
            </w:tcMar>
          </w:tcPr>
          <w:p>
            <w:r>
              <w:rPr>
                <w:b/>
                <w:bCs/>
                <w:color w:val="FFFFFF"/>
                <w:sz w:val="20"/>
                <w:szCs w:val="20"/>
              </w:rPr>
              <w:t xml:space="preserve">Count</w:t>
            </w:r>
          </w:p>
        </w:tc>
      </w:tr>
      <w:tr>
        <w:tc>
          <w:tcPr>
            <w:tcW w:type="dxa" w:w="7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Total members in export</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13,097</w:t>
            </w:r>
          </w:p>
        </w:tc>
      </w:tr>
      <w:tr>
        <w:tc>
          <w:tcPr>
            <w:tcW w:type="dxa" w:w="7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Excluded — bounced email (email_reported_failed)</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1,791</w:t>
            </w:r>
          </w:p>
        </w:tc>
      </w:tr>
      <w:tr>
        <w:tc>
          <w:tcPr>
            <w:tcW w:type="dxa" w:w="7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Excluded — disabled account</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256</w:t>
            </w:r>
          </w:p>
        </w:tc>
      </w:tr>
      <w:tr>
        <w:tc>
          <w:tcPr>
            <w:tcW w:type="dxa" w:w="7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Excluded — duplicate email address</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54</w:t>
            </w:r>
          </w:p>
        </w:tc>
      </w:tr>
      <w:tr>
        <w:tc>
          <w:tcPr>
            <w:tcW w:type="dxa" w:w="7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Excluded — admin account</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8</w:t>
            </w:r>
          </w:p>
        </w:tc>
      </w:tr>
      <w:tr>
        <w:tc>
          <w:tcPr>
            <w:tcW w:type="dxa" w:w="7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Excluded — missing email</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1</w:t>
            </w:r>
          </w:p>
        </w:tc>
      </w:tr>
      <w:tr>
        <w:tc>
          <w:tcPr>
            <w:tcW w:type="dxa" w:w="7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Clean send list</w:t>
            </w:r>
          </w:p>
        </w:tc>
        <w:tc>
          <w:tcPr>
            <w:tcW w:type="dxa" w:w="2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10,987</w:t>
            </w:r>
          </w:p>
        </w:tc>
      </w:tr>
    </w:tbl>
    <w:p>
      <w:pPr>
        <w:spacing w:after="160"/>
      </w:pPr>
      <w:r>
        <w:t xml:space="preserve"/>
      </w:r>
    </w:p>
    <w:p>
      <w:pPr>
        <w:spacing w:after="160"/>
      </w:pPr>
      <w:r>
        <w:t xml:space="preserve">Note: the export’s sign_in_count / last_sign_in_at columns are carried over from the old talktalent.com system, not the new platform — they’re not used to decide who gets an email. Instead, the send script checks each address live against Supabase right before sending and automatically skips anyone who has already signed into the new platform, so it’s safe even if someone slips through early.</w:t>
      </w:r>
    </w:p>
    <w:p>
      <w:pPr>
        <w:spacing w:after="160"/>
      </w:pPr>
      <w:r>
        <w:t xml:space="preserve">Bounced and disabled accounts are excluded from this campaign but not deleted — worth a separate short pass later to figure out which bounces are typos vs. dead addresses.</w:t>
      </w:r>
    </w:p>
    <w:p>
      <w:pPr>
        <w:pStyle w:val="Heading1"/>
      </w:pPr>
      <w:r>
        <w:t xml:space="preserve">2. Wave schedule</w:t>
      </w:r>
    </w:p>
    <w:p>
      <w:pPr>
        <w:spacing w:after="160"/>
      </w:pPr>
      <w:r>
        <w:t xml:space="preserve">Random even split of the clean list into 4 waves, so no chapter or company is disproportionately represented in any one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2"/>
              <w:left w:val="single" w:color="CCCCCC" w:sz="2"/>
              <w:bottom w:val="single" w:color="CCCCCC" w:sz="2"/>
              <w:right w:val="single" w:color="CCCCCC" w:sz="2"/>
            </w:tcBorders>
            <w:shd w:fill="0F1F35" w:val="clear"/>
            <w:tcMar>
              <w:top w:type="dxa" w:w="80"/>
              <w:left w:type="dxa" w:w="120"/>
              <w:bottom w:type="dxa" w:w="80"/>
              <w:right w:type="dxa" w:w="120"/>
            </w:tcMar>
          </w:tcPr>
          <w:p>
            <w:r>
              <w:rPr>
                <w:b/>
                <w:bCs/>
                <w:color w:val="FFFFFF"/>
                <w:sz w:val="20"/>
                <w:szCs w:val="20"/>
              </w:rPr>
              <w:t xml:space="preserve">Wave</w:t>
            </w:r>
          </w:p>
        </w:tc>
        <w:tc>
          <w:tcPr>
            <w:tcW w:type="dxa" w:w="2680"/>
            <w:tcBorders>
              <w:top w:val="single" w:color="CCCCCC" w:sz="2"/>
              <w:left w:val="single" w:color="CCCCCC" w:sz="2"/>
              <w:bottom w:val="single" w:color="CCCCCC" w:sz="2"/>
              <w:right w:val="single" w:color="CCCCCC" w:sz="2"/>
            </w:tcBorders>
            <w:shd w:fill="0F1F35" w:val="clear"/>
            <w:tcMar>
              <w:top w:type="dxa" w:w="80"/>
              <w:left w:type="dxa" w:w="120"/>
              <w:bottom w:type="dxa" w:w="80"/>
              <w:right w:type="dxa" w:w="120"/>
            </w:tcMar>
          </w:tcPr>
          <w:p>
            <w:r>
              <w:rPr>
                <w:b/>
                <w:bCs/>
                <w:color w:val="FFFFFF"/>
                <w:sz w:val="20"/>
                <w:szCs w:val="20"/>
              </w:rPr>
              <w:t xml:space="preserve">Size</w:t>
            </w:r>
          </w:p>
        </w:tc>
        <w:tc>
          <w:tcPr>
            <w:tcW w:type="dxa" w:w="4680"/>
            <w:tcBorders>
              <w:top w:val="single" w:color="CCCCCC" w:sz="2"/>
              <w:left w:val="single" w:color="CCCCCC" w:sz="2"/>
              <w:bottom w:val="single" w:color="CCCCCC" w:sz="2"/>
              <w:right w:val="single" w:color="CCCCCC" w:sz="2"/>
            </w:tcBorders>
            <w:shd w:fill="0F1F35" w:val="clear"/>
            <w:tcMar>
              <w:top w:type="dxa" w:w="80"/>
              <w:left w:type="dxa" w:w="120"/>
              <w:bottom w:type="dxa" w:w="80"/>
              <w:right w:type="dxa" w:w="120"/>
            </w:tcMar>
          </w:tcPr>
          <w:p>
            <w:r>
              <w:rPr>
                <w:b/>
                <w:bCs/>
                <w:color w:val="FFFFFF"/>
                <w:sz w:val="20"/>
                <w:szCs w:val="20"/>
              </w:rPr>
              <w:t xml:space="preserve">Planned send date</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Wave 1</w:t>
            </w:r>
          </w:p>
        </w:tc>
        <w:tc>
          <w:tcPr>
            <w:tcW w:type="dxa" w:w="2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2,747</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Mon, Jul 13</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Wave 2</w:t>
            </w:r>
          </w:p>
        </w:tc>
        <w:tc>
          <w:tcPr>
            <w:tcW w:type="dxa" w:w="2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2,747</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Mon, Jul 20</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Wave 3</w:t>
            </w:r>
          </w:p>
        </w:tc>
        <w:tc>
          <w:tcPr>
            <w:tcW w:type="dxa" w:w="2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2,747</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Mon, Jul 27</w:t>
            </w:r>
          </w:p>
        </w:tc>
      </w:tr>
      <w:tr>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Wave 4</w:t>
            </w:r>
          </w:p>
        </w:tc>
        <w:tc>
          <w:tcPr>
            <w:tcW w:type="dxa" w:w="2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2,746</w:t>
            </w:r>
          </w:p>
        </w:tc>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Mon, Aug 3</w:t>
            </w:r>
          </w:p>
        </w:tc>
      </w:tr>
    </w:tbl>
    <w:p>
      <w:pPr>
        <w:spacing w:after="160"/>
      </w:pPr>
      <w:r>
        <w:t xml:space="preserve"/>
      </w:r>
    </w:p>
    <w:p>
      <w:pPr>
        <w:spacing w:after="160"/>
      </w:pPr>
      <w:r>
        <w:t xml:space="preserve">One wave per week — enough time to catch problems (bounce spikes, login errors, support volume) and send a reminder to non-claimers before the next batch goes out.</w:t>
      </w:r>
    </w:p>
    <w:p>
      <w:pPr>
        <w:pStyle w:val="Heading1"/>
      </w:pPr>
      <w:r>
        <w:t xml:space="preserve">3. Email</w:t>
      </w:r>
    </w:p>
    <w:p>
      <w:pPr>
        <w:spacing w:after="160"/>
      </w:pPr>
      <w:r>
        <w:t xml:space="preserve">Reusing the existing claim-account email template already used by the single-invite flow — no need for new copy:</w:t>
      </w:r>
    </w:p>
    <w:p>
      <w:pPr>
        <w:pBdr>
          <w:left w:val="single" w:color="E8503A" w:sz="18" w:space="8"/>
        </w:pBdr>
        <w:shd w:fill="F2F5F9" w:val="clear"/>
        <w:spacing w:after="200" w:before="120"/>
        <w:ind w:left="200"/>
      </w:pPr>
      <w:r>
        <w:t xml:space="preserve">Welcome to the new TALK 👋</w:t>
      </w:r>
      <w:r>
        <w:br/>
        <w:t xml:space="preserve">Hi {first name}, the TALK community has a brand-new home — and your account is ready. Click below to set your password and get in. Your profile, posts, and history have all moved with you.</w:t>
      </w:r>
      <w:r>
        <w:br/>
        <w:t xml:space="preserve">[ Claim your account ]</w:t>
      </w:r>
      <w:r>
        <w:br/>
        <w:t xml:space="preserve">This link is valid for 24 hours. If you didn’t request it, you can safely ignore this email.</w:t>
      </w:r>
    </w:p>
    <w:p>
      <w:pPr>
        <w:spacing w:after="160"/>
      </w:pPr>
      <w:r>
        <w:t xml:space="preserve">The link is a Supabase recovery link (set-password flow), the same mechanism as the pilot — so any fixes made after the pilot’s login issues carry through automatically.</w:t>
      </w:r>
    </w:p>
    <w:p>
      <w:pPr>
        <w:pStyle w:val="Heading1"/>
      </w:pPr>
      <w:r>
        <w:t xml:space="preserve">4. Sending mechanism</w:t>
      </w:r>
    </w:p>
    <w:p>
      <w:pPr>
        <w:spacing w:after="160"/>
      </w:pPr>
      <w:r>
        <w:t xml:space="preserve">New script: scripts/send-migration-wave.ts (in the repo, follows the same pattern as migrate-legacy.ts).</w:t>
      </w:r>
    </w:p>
    <w:p>
      <w:pPr>
        <w:pStyle w:val="ListParagraph"/>
        <w:numPr>
          <w:ilvl w:val="0"/>
          <w:numId w:val="2"/>
        </w:numPr>
        <w:spacing w:after="80"/>
      </w:pPr>
      <w:r>
        <w:t xml:space="preserve">Dry run first, always — prints what would be sent, sends nothing: npx tsx scripts/send-migration-wave.ts --wave=1</w:t>
      </w:r>
    </w:p>
    <w:p>
      <w:pPr>
        <w:pStyle w:val="ListParagraph"/>
        <w:numPr>
          <w:ilvl w:val="0"/>
          <w:numId w:val="2"/>
        </w:numPr>
        <w:spacing w:after="80"/>
      </w:pPr>
      <w:r>
        <w:t xml:space="preserve">Small live test before the full wave: npx tsx scripts/send-migration-wave.ts --wave=1 --send --limit=25</w:t>
      </w:r>
    </w:p>
    <w:p>
      <w:pPr>
        <w:pStyle w:val="ListParagraph"/>
        <w:numPr>
          <w:ilvl w:val="0"/>
          <w:numId w:val="2"/>
        </w:numPr>
        <w:spacing w:after="80"/>
      </w:pPr>
      <w:r>
        <w:t xml:space="preserve">Full wave: npx tsx scripts/send-migration-wave.ts --wave=1 --send</w:t>
      </w:r>
    </w:p>
    <w:p>
      <w:pPr>
        <w:spacing w:after="160"/>
      </w:pPr>
      <w:r>
        <w:t xml:space="preserve"/>
      </w:r>
    </w:p>
    <w:p>
      <w:pPr>
        <w:spacing w:after="160"/>
      </w:pPr>
      <w:r>
        <w:t xml:space="preserve">Each run:</w:t>
      </w:r>
    </w:p>
    <w:p>
      <w:pPr>
        <w:pStyle w:val="ListParagraph"/>
        <w:numPr>
          <w:ilvl w:val="0"/>
          <w:numId w:val="2"/>
        </w:numPr>
        <w:spacing w:after="80"/>
      </w:pPr>
      <w:r>
        <w:t xml:space="preserve">Re-checks every address live against Supabase (skips anyone already signed in on the new platform, so it’s safe to re-run).</w:t>
      </w:r>
    </w:p>
    <w:p>
      <w:pPr>
        <w:pStyle w:val="ListParagraph"/>
        <w:numPr>
          <w:ilvl w:val="0"/>
          <w:numId w:val="2"/>
        </w:numPr>
        <w:spacing w:after="80"/>
      </w:pPr>
      <w:r>
        <w:t xml:space="preserve">Throttles sends (~150ms apart) to stay well under Resend rate limits.</w:t>
      </w:r>
    </w:p>
    <w:p>
      <w:pPr>
        <w:pStyle w:val="ListParagraph"/>
        <w:numPr>
          <w:ilvl w:val="0"/>
          <w:numId w:val="2"/>
        </w:numPr>
        <w:spacing w:after="80"/>
      </w:pPr>
      <w:r>
        <w:t xml:space="preserve">Writes a log to scripts/data/wave-&lt;N&gt;-log-&lt;timestamp&gt;.csv with per-email outcome (claim_sent, already_active, not_found, error) — use this to spot bounce/error spikes before moving to the next wave.</w:t>
      </w:r>
    </w:p>
    <w:p>
      <w:pPr>
        <w:spacing w:after="160"/>
      </w:pPr>
      <w:r>
        <w:t xml:space="preserve"/>
      </w:r>
    </w:p>
    <w:p>
      <w:pPr>
        <w:spacing w:after="160"/>
      </w:pPr>
      <w:r>
        <w:t xml:space="preserve">Roster with wave assignments: scripts/data/talk_migration_roster.csv (also mirrored as TALK_migration_roster_waves.xlsx for a readable copy with an exclusions summary tab).</w:t>
      </w:r>
    </w:p>
    <w:p>
      <w:pPr>
        <w:pStyle w:val="Heading1"/>
      </w:pPr>
      <w:r>
        <w:t xml:space="preserve">5. Monitoring each wave</w:t>
      </w:r>
    </w:p>
    <w:p>
      <w:pPr>
        <w:spacing w:after="160"/>
      </w:pPr>
      <w:r>
        <w:t xml:space="preserve">Reuse the pattern from .watch_testers.js (used for the 28-person pilot): after each send, watch last_sign_in_at for the wave’s emails and confirm real claims are coming through, not just deliveries. Suggested cadence:</w:t>
      </w:r>
    </w:p>
    <w:p>
      <w:pPr>
        <w:pStyle w:val="ListParagraph"/>
        <w:numPr>
          <w:ilvl w:val="0"/>
          <w:numId w:val="2"/>
        </w:numPr>
        <w:spacing w:after="80"/>
      </w:pPr>
      <w:r>
        <w:t xml:space="preserve">Day of send: check the wave-N log for not_found or error spikes (signals something’s wrong with the list or the mailer, not the recipients).</w:t>
      </w:r>
    </w:p>
    <w:p>
      <w:pPr>
        <w:pStyle w:val="ListParagraph"/>
        <w:numPr>
          <w:ilvl w:val="0"/>
          <w:numId w:val="2"/>
        </w:numPr>
        <w:spacing w:after="80"/>
      </w:pPr>
      <w:r>
        <w:t xml:space="preserve">+24–48h: pull claim rate for the wave (% with a genuine sign-in since send). If it’s meaningfully below the pilot’s rate, pause before the next wave and investigate.</w:t>
      </w:r>
    </w:p>
    <w:p>
      <w:pPr>
        <w:pStyle w:val="ListParagraph"/>
        <w:numPr>
          <w:ilvl w:val="0"/>
          <w:numId w:val="2"/>
        </w:numPr>
        <w:spacing w:after="80"/>
      </w:pPr>
      <w:r>
        <w:t xml:space="preserve">Day 5–6, just before the next wave: send a short reminder to that wave’s non-claimers only (same claim link still works — no need to regenerate).</w:t>
      </w:r>
    </w:p>
    <w:p>
      <w:pPr>
        <w:pStyle w:val="Heading1"/>
      </w:pPr>
      <w:r>
        <w:t xml:space="preserve">6. Rollback / support plan</w:t>
      </w:r>
    </w:p>
    <w:p>
      <w:pPr>
        <w:pStyle w:val="ListParagraph"/>
        <w:numPr>
          <w:ilvl w:val="0"/>
          <w:numId w:val="2"/>
        </w:numPr>
        <w:spacing w:after="80"/>
      </w:pPr>
      <w:r>
        <w:t xml:space="preserve">Claim links are Supabase recovery links, good for 24 hours; expired links can be regenerated one at a time via the existing “Add a beta tester” flow in /admin, or in bulk by re-running that wave’s script with --send (it automatically skips anyone who already claimed).</w:t>
      </w:r>
    </w:p>
    <w:p>
      <w:pPr>
        <w:pStyle w:val="ListParagraph"/>
        <w:numPr>
          <w:ilvl w:val="0"/>
          <w:numId w:val="2"/>
        </w:numPr>
        <w:spacing w:after="80"/>
      </w:pPr>
      <w:r>
        <w:t xml:space="preserve">Reply-to on all emails is bill@talktalent.com — plan for a bump in replies right after each wave goes out.</w:t>
      </w:r>
    </w:p>
    <w:p>
      <w:pPr>
        <w:pStyle w:val="ListParagraph"/>
        <w:numPr>
          <w:ilvl w:val="0"/>
          <w:numId w:val="2"/>
        </w:numPr>
        <w:spacing w:after="80"/>
      </w:pPr>
      <w:r>
        <w:t xml:space="preserve">If a wave shows a bounce or error rate much higher than expected, pause remaining waves and re-check the source export before continuing — better to lose a day than mail a broken batch to 2,700 more people.</w:t>
      </w:r>
    </w:p>
    <w:p>
      <w:pPr>
        <w:pStyle w:val="Heading1"/>
      </w:pPr>
      <w:r>
        <w:t xml:space="preserve">7. Before Wave 1</w:t>
      </w:r>
    </w:p>
    <w:p>
      <w:pPr>
        <w:pStyle w:val="ListParagraph"/>
        <w:numPr>
          <w:ilvl w:val="0"/>
          <w:numId w:val="3"/>
        </w:numPr>
        <w:spacing w:after="80"/>
      </w:pPr>
      <w:r>
        <w:t xml:space="preserve">Confirm RESEND_API_KEY, FROM_EMAIL, and NEXT_PUBLIC_SITE_URL are set correctly in production env (not just .env.local).</w:t>
      </w:r>
    </w:p>
    <w:p>
      <w:pPr>
        <w:pStyle w:val="ListParagraph"/>
        <w:numPr>
          <w:ilvl w:val="0"/>
          <w:numId w:val="3"/>
        </w:numPr>
        <w:spacing w:after="80"/>
      </w:pPr>
      <w:r>
        <w:t xml:space="preserve">Confirm the sending domain’s SPF/DKIM/DMARC are verified in Resend — at ~2,750 emails per wave, deliverability problems get expensive fast.</w:t>
      </w:r>
    </w:p>
    <w:p>
      <w:pPr>
        <w:pStyle w:val="ListParagraph"/>
        <w:numPr>
          <w:ilvl w:val="0"/>
          <w:numId w:val="3"/>
        </w:numPr>
        <w:spacing w:after="80"/>
      </w:pPr>
      <w:r>
        <w:t xml:space="preserve">Run wave 1 as a dry run, spot-check 5–10 rows against Supabase manually, then do a small --limit=25 live test before the full wave.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503A" w:sz="6" w:space="4"/>
      </w:pBdr>
      <w:spacing w:after="180" w:before="320"/>
      <w:outlineLvl w:val="0"/>
    </w:pPr>
    <w:rPr>
      <w:rFonts w:ascii="Arial" w:cs="Arial" w:eastAsia="Arial" w:hAnsi="Arial"/>
      <w:b/>
      <w:bCs/>
      <w:color w:val="0F1F3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2026-07-09T12:09:23.282Z</dcterms:created>
  <dcterms:modified xsi:type="dcterms:W3CDTF">2026-07-09T12:09:23.286Z</dcterms:modified>
</cp:coreProperties>
</file>

<file path=docProps/custom.xml><?xml version="1.0" encoding="utf-8"?>
<Properties xmlns="http://schemas.openxmlformats.org/officeDocument/2006/custom-properties" xmlns:vt="http://schemas.openxmlformats.org/officeDocument/2006/docPropsVTypes"/>
</file>