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decade-module-overview"/>
    <w:p>
      <w:pPr>
        <w:pStyle w:val="Heading1"/>
      </w:pPr>
      <w:r>
        <w:t xml:space="preserve">1600–1610 Decade Module Overview</w:t>
      </w:r>
    </w:p>
    <w:p>
      <w:pPr>
        <w:pStyle w:val="FirstParagraph"/>
      </w:pPr>
      <w:r>
        <w:t xml:space="preserve">This folder contains a comprehensive module for the years 1600–1610, part of our family history project’s decade-by-decade series. It includes several documents, each with a distinct role, collectively painting a rich “ancestor’s-eye view” of the early 17th century. The materials here are designed to work together as an integrated set, balancing broad historical context with personal, ground-level narratives. This module can also serve as a template for how to organize content for subsequent decades in the project.</w:t>
      </w:r>
    </w:p>
    <w:bookmarkStart w:id="22" w:name="module-contents-and-document-roles"/>
    <w:p>
      <w:pPr>
        <w:pStyle w:val="Heading2"/>
      </w:pPr>
      <w:r>
        <w:t xml:space="preserve">Module Contents and Document Roles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Document</w:t>
            </w:r>
          </w:p>
        </w:tc>
        <w:tc>
          <w:tcPr/>
          <w:p>
            <w:pPr>
              <w:pStyle w:val="Compact"/>
            </w:pPr>
            <w:r>
              <w:rPr>
                <w:b/>
                <w:bCs/>
              </w:rPr>
              <w:t xml:space="preserve">Scope &amp; Function</w:t>
            </w:r>
          </w:p>
        </w:tc>
      </w:tr>
      <w:tr>
        <w:tc>
          <w:tcPr/>
          <w:p>
            <w:pPr>
              <w:pStyle w:val="Compact"/>
            </w:pPr>
            <w:r>
              <w:rPr>
                <w:b/>
                <w:bCs/>
              </w:rPr>
              <w:t xml:space="preserve">1600-1610-life.md</w:t>
            </w:r>
            <w:r>
              <w:t xml:space="preserve">&lt;br&gt;</w:t>
            </w:r>
            <w:r>
              <w:rPr>
                <w:i/>
                <w:iCs/>
              </w:rPr>
              <w:t xml:space="preserve">“Life &amp; Context — 1600–1610”</w:t>
            </w:r>
            <w:r>
              <w:t xml:space="preserve"> </w:t>
            </w:r>
            <w:r>
              <w:t xml:space="preserve">(with source</w:t>
            </w:r>
            <w:r>
              <w:t xml:space="preserve"> </w:t>
            </w:r>
            <w:r>
              <w:rPr>
                <w:b/>
                <w:bCs/>
              </w:rPr>
              <w:t xml:space="preserve">.docx</w:t>
            </w:r>
            <w:r>
              <w:t xml:space="preserve">)</w:t>
            </w:r>
          </w:p>
        </w:tc>
        <w:tc>
          <w:tcPr/>
          <w:p>
            <w:pPr>
              <w:pStyle w:val="Compact"/>
            </w:pPr>
            <w:r>
              <w:rPr>
                <w:b/>
                <w:bCs/>
              </w:rPr>
              <w:t xml:space="preserve">Main narrative of the decade, oriented by family lineage.</w:t>
            </w:r>
            <w:r>
              <w:t xml:space="preserve"> </w:t>
            </w:r>
            <w:r>
              <w:t xml:space="preserve">Provides a vivid, multi-lineage account of what life felt like in 1600–1610 across different regions (England, Wales, the Dutch Republic, Switzerland/German lands), as experienced by ancestors. This is the centerpiece story that ties big-picture events to personal experiences. It is formatted as a website page (with an optional PDF) for readers, featuring short sections for four ancestral lines and links to related Family and Place pages.</w:t>
            </w:r>
          </w:p>
        </w:tc>
      </w:tr>
      <w:tr>
        <w:tc>
          <w:tcPr/>
          <w:p>
            <w:pPr>
              <w:pStyle w:val="Compact"/>
            </w:pPr>
            <w:r>
              <w:rPr>
                <w:b/>
                <w:bCs/>
              </w:rPr>
              <w:t xml:space="preserve">1600-1610-NewCountry.docx</w:t>
            </w:r>
            <w:r>
              <w:t xml:space="preserve">&lt;br&gt;</w:t>
            </w:r>
            <w:r>
              <w:rPr>
                <w:i/>
                <w:iCs/>
              </w:rPr>
              <w:t xml:space="preserve">“NEW COUNTRY — 1600–1610 (Headcounts &amp; Timeline)”</w:t>
            </w:r>
          </w:p>
        </w:tc>
        <w:tc>
          <w:tcPr/>
          <w:p>
            <w:pPr>
              <w:pStyle w:val="Compact"/>
            </w:pPr>
            <w:r>
              <w:rPr>
                <w:b/>
                <w:bCs/>
              </w:rPr>
              <w:t xml:space="preserve">New World overview.</w:t>
            </w:r>
            <w:r>
              <w:t xml:space="preserve"> </w:t>
            </w:r>
            <w:r>
              <w:t xml:space="preserve">Summarizes the key theaters in North America during 1600–1610 – Jamestown (English Virginia), the Hudson River estuary, Quebec (New France), and Spanish Florida. It provides at-a-glance</w:t>
            </w:r>
            <w:r>
              <w:t xml:space="preserve"> </w:t>
            </w:r>
            <w:r>
              <w:rPr>
                <w:b/>
                <w:bCs/>
              </w:rPr>
              <w:t xml:space="preserve">population scales</w:t>
            </w:r>
            <w:r>
              <w:t xml:space="preserve"> </w:t>
            </w:r>
            <w:r>
              <w:t xml:space="preserve">(e.g. Powhatan Confederacy vs. tiny Jamestown) and a</w:t>
            </w:r>
            <w:r>
              <w:t xml:space="preserve"> </w:t>
            </w:r>
            <w:r>
              <w:rPr>
                <w:b/>
                <w:bCs/>
              </w:rPr>
              <w:t xml:space="preserve">year-by-year timeline</w:t>
            </w:r>
            <w:r>
              <w:t xml:space="preserve"> </w:t>
            </w:r>
            <w:r>
              <w:t xml:space="preserve">of New World events in the decade. It also includes a section on</w:t>
            </w:r>
            <w:r>
              <w:t xml:space="preserve"> </w:t>
            </w:r>
            <w:r>
              <w:rPr>
                <w:b/>
                <w:bCs/>
              </w:rPr>
              <w:t xml:space="preserve">“How the decade felt on the ground,”</w:t>
            </w:r>
            <w:r>
              <w:t xml:space="preserve"> </w:t>
            </w:r>
            <w:r>
              <w:t xml:space="preserve">giving brief sensory descriptions of each region to support ancestor-centric storytelling. This document serves as a factual backbone and quick reference for New World context.</w:t>
            </w:r>
          </w:p>
        </w:tc>
      </w:tr>
      <w:tr>
        <w:tc>
          <w:tcPr/>
          <w:p>
            <w:pPr>
              <w:pStyle w:val="Compact"/>
            </w:pPr>
            <w:r>
              <w:rPr>
                <w:b/>
                <w:bCs/>
              </w:rPr>
              <w:t xml:space="preserve">1600-1610-OldCountry.docx</w:t>
            </w:r>
            <w:r>
              <w:t xml:space="preserve">&lt;br&gt;</w:t>
            </w:r>
            <w:r>
              <w:rPr>
                <w:i/>
                <w:iCs/>
              </w:rPr>
              <w:t xml:space="preserve">“OLD COUNTRY — 1600–1610 (Drivers &amp; Timeline)”</w:t>
            </w:r>
          </w:p>
        </w:tc>
        <w:tc>
          <w:tcPr/>
          <w:p>
            <w:pPr>
              <w:pStyle w:val="Compact"/>
            </w:pPr>
            <w:r>
              <w:rPr>
                <w:b/>
                <w:bCs/>
              </w:rPr>
              <w:t xml:space="preserve">Old World overview.</w:t>
            </w:r>
            <w:r>
              <w:t xml:space="preserve"> </w:t>
            </w:r>
            <w:r>
              <w:t xml:space="preserve">Complements the NewCountry document by summarizing conditions in Europe that shaped or foreshadowed New World experiences. It highlights regions tied to our ancestors (e.g. England &amp; Wales, the Dutch Republic, Brittany in France, Swiss/German borderlands) and why they mattered. It provides an</w:t>
            </w:r>
            <w:r>
              <w:t xml:space="preserve"> </w:t>
            </w:r>
            <w:r>
              <w:rPr>
                <w:b/>
                <w:bCs/>
              </w:rPr>
              <w:t xml:space="preserve">“At-a-glance”</w:t>
            </w:r>
            <w:r>
              <w:t xml:space="preserve"> </w:t>
            </w:r>
            <w:r>
              <w:t xml:space="preserve">view of where our people were in 1600–1610 and major trends (Puritanism in East Anglia, Alpine village life, etc.), an</w:t>
            </w:r>
            <w:r>
              <w:t xml:space="preserve"> </w:t>
            </w:r>
            <w:r>
              <w:rPr>
                <w:b/>
                <w:bCs/>
              </w:rPr>
              <w:t xml:space="preserve">Old World timeline</w:t>
            </w:r>
            <w:r>
              <w:t xml:space="preserve"> </w:t>
            </w:r>
            <w:r>
              <w:t xml:space="preserve">(e.g. 1602 founding of the Dutch VOC, 1607 Midland Revolt in England, 1609 Twelve Years’ Truce in the Netherlands), and notes</w:t>
            </w:r>
            <w:r>
              <w:t xml:space="preserve"> </w:t>
            </w:r>
            <w:r>
              <w:rPr>
                <w:b/>
                <w:bCs/>
              </w:rPr>
              <w:t xml:space="preserve">“What life felt like”</w:t>
            </w:r>
            <w:r>
              <w:t xml:space="preserve"> </w:t>
            </w:r>
            <w:r>
              <w:t xml:space="preserve">in home countries. This gives crucial background on push factors and cultural climates that our ancestors lived through, setting the stage for later migrations.</w:t>
            </w:r>
          </w:p>
        </w:tc>
      </w:tr>
      <w:tr>
        <w:tc>
          <w:tcPr/>
          <w:p>
            <w:pPr>
              <w:pStyle w:val="Compact"/>
            </w:pPr>
            <w:r>
              <w:rPr>
                <w:b/>
                <w:bCs/>
              </w:rPr>
              <w:t xml:space="preserve">Jamestown 1607 to 1610.docx</w:t>
            </w:r>
          </w:p>
        </w:tc>
        <w:tc>
          <w:tcPr/>
          <w:p>
            <w:pPr>
              <w:pStyle w:val="Compact"/>
            </w:pPr>
            <w:r>
              <w:rPr>
                <w:b/>
                <w:bCs/>
              </w:rPr>
              <w:t xml:space="preserve">In-depth narrative essay – Jamestown.</w:t>
            </w:r>
            <w:r>
              <w:t xml:space="preserve"> </w:t>
            </w:r>
            <w:r>
              <w:t xml:space="preserve">A focused essay titled</w:t>
            </w:r>
            <w:r>
              <w:t xml:space="preserve"> </w:t>
            </w:r>
            <w:r>
              <w:rPr>
                <w:i/>
                <w:iCs/>
              </w:rPr>
              <w:t xml:space="preserve">“1607–1610 — ‘A few dozen English in a nation of thousands’.”</w:t>
            </w:r>
            <w:r>
              <w:t xml:space="preserve"> </w:t>
            </w:r>
            <w:r>
              <w:t xml:space="preserve">It zooms in on the Jamestown colony’s harrowing first years. This piece provides granular detail: the wider geopolitical context of 1607,</w:t>
            </w:r>
            <w:r>
              <w:t xml:space="preserve"> </w:t>
            </w:r>
            <w:r>
              <w:rPr>
                <w:b/>
                <w:bCs/>
              </w:rPr>
              <w:t xml:space="preserve">who was already in Virginia</w:t>
            </w:r>
            <w:r>
              <w:t xml:space="preserve"> </w:t>
            </w:r>
            <w:r>
              <w:t xml:space="preserve">(the Powhatan peoples), the tiny numbers and intimate scale of the English fort, and a</w:t>
            </w:r>
            <w:r>
              <w:t xml:space="preserve"> </w:t>
            </w:r>
            <w:r>
              <w:rPr>
                <w:b/>
                <w:bCs/>
              </w:rPr>
              <w:t xml:space="preserve">timeline of events</w:t>
            </w:r>
            <w:r>
              <w:t xml:space="preserve"> </w:t>
            </w:r>
            <w:r>
              <w:t xml:space="preserve">from the 1607 landing through the</w:t>
            </w:r>
            <w:r>
              <w:t xml:space="preserve"> </w:t>
            </w:r>
            <w:r>
              <w:rPr>
                <w:b/>
                <w:bCs/>
              </w:rPr>
              <w:t xml:space="preserve">“Starving Time”</w:t>
            </w:r>
            <w:r>
              <w:t xml:space="preserve"> </w:t>
            </w:r>
            <w:r>
              <w:t xml:space="preserve">of winter 1609–10 and the near-abandonment in June 1610. It highlights key individuals (Powhatan, Opechancanough, John Smith, George Percy, etc.) and suggests “cast of characters” and even ideas for micro-essays (“The 38” survivors of 1607–08, the</w:t>
            </w:r>
            <w:r>
              <w:t xml:space="preserve"> </w:t>
            </w:r>
            <w:r>
              <w:rPr>
                <w:i/>
                <w:iCs/>
              </w:rPr>
              <w:t xml:space="preserve">Sea Venture</w:t>
            </w:r>
            <w:r>
              <w:t xml:space="preserve"> </w:t>
            </w:r>
            <w:r>
              <w:t xml:space="preserve">saga, and the forensic story of “Jane”). This essay’s role is to deepen the reader’s understanding of Jamestown beyond the summaries in other documents – it’s rich with narrative and human details, complementing the broader NewCountry timeline with a story you can feel on the ground.</w:t>
            </w:r>
          </w:p>
        </w:tc>
      </w:tr>
      <w:tr>
        <w:tc>
          <w:tcPr/>
          <w:p>
            <w:pPr>
              <w:pStyle w:val="Compact"/>
            </w:pPr>
            <w:r>
              <w:rPr>
                <w:b/>
                <w:bCs/>
              </w:rPr>
              <w:t xml:space="preserve">Hudson 1609.docx</w:t>
            </w:r>
          </w:p>
        </w:tc>
        <w:tc>
          <w:tcPr/>
          <w:p>
            <w:pPr>
              <w:pStyle w:val="Compact"/>
            </w:pPr>
            <w:r>
              <w:rPr>
                <w:b/>
                <w:bCs/>
              </w:rPr>
              <w:t xml:space="preserve">In-depth narrative essay – Henry Hudson’s voyage.</w:t>
            </w:r>
            <w:r>
              <w:t xml:space="preserve"> </w:t>
            </w:r>
            <w:r>
              <w:t xml:space="preserve">A focused piece titled</w:t>
            </w:r>
            <w:r>
              <w:t xml:space="preserve"> </w:t>
            </w:r>
            <w:r>
              <w:rPr>
                <w:i/>
                <w:iCs/>
              </w:rPr>
              <w:t xml:space="preserve">“1609 — ‘A river without a colony’.”</w:t>
            </w:r>
            <w:r>
              <w:t xml:space="preserve"> </w:t>
            </w:r>
            <w:r>
              <w:t xml:space="preserve">It provides an “ancestor’s-eye” chronicle of Henry Hudson’s exploration of the river that would later bear his name. The essay sets</w:t>
            </w:r>
            <w:r>
              <w:t xml:space="preserve"> </w:t>
            </w:r>
            <w:r>
              <w:rPr>
                <w:b/>
                <w:bCs/>
              </w:rPr>
              <w:t xml:space="preserve">the wider world context</w:t>
            </w:r>
            <w:r>
              <w:t xml:space="preserve"> </w:t>
            </w:r>
            <w:r>
              <w:t xml:space="preserve">(the Dutch East India Company’s search for a passage to Asia, Hudson’s mission), describes</w:t>
            </w:r>
            <w:r>
              <w:t xml:space="preserve"> </w:t>
            </w:r>
            <w:r>
              <w:rPr>
                <w:b/>
                <w:bCs/>
              </w:rPr>
              <w:t xml:space="preserve">who was already there</w:t>
            </w:r>
            <w:r>
              <w:t xml:space="preserve"> </w:t>
            </w:r>
            <w:r>
              <w:t xml:space="preserve">(the Lenape, Munsee, Mahican and other Indigenous peoples along the Hudson in 1609), and then narrates the voyage itself: the</w:t>
            </w:r>
            <w:r>
              <w:t xml:space="preserve"> </w:t>
            </w:r>
            <w:r>
              <w:rPr>
                <w:i/>
                <w:iCs/>
              </w:rPr>
              <w:t xml:space="preserve">Halve Maen</w:t>
            </w:r>
            <w:r>
              <w:t xml:space="preserve"> </w:t>
            </w:r>
            <w:r>
              <w:t xml:space="preserve">entering New York Harbor, first trading encounters and misunderstandings, a fatal clash in the harbor, and the journey upriver to present-day Albany before turning back. It vividly contrasts perspectives – how the arrival of one small ship was experienced by Native communities versus Hudson’s crew – and provides concrete headcounts (thousands of Native inhabitants vs. ~20 Europeans on a ship). This essay enriches the module by illustrating the</w:t>
            </w:r>
            <w:r>
              <w:t xml:space="preserve"> </w:t>
            </w:r>
            <w:r>
              <w:rPr>
                <w:b/>
                <w:bCs/>
              </w:rPr>
              <w:t xml:space="preserve">New Netherland pre-history</w:t>
            </w:r>
            <w:r>
              <w:t xml:space="preserve"> </w:t>
            </w:r>
            <w:r>
              <w:t xml:space="preserve">that our Dutch-ancestor families would later step into.</w:t>
            </w:r>
          </w:p>
        </w:tc>
      </w:tr>
      <w:tr>
        <w:tc>
          <w:tcPr/>
          <w:p>
            <w:pPr>
              <w:pStyle w:val="Compact"/>
            </w:pPr>
            <w:r>
              <w:rPr>
                <w:b/>
                <w:bCs/>
              </w:rPr>
              <w:t xml:space="preserve">Virginia_1619.docx</w:t>
            </w:r>
          </w:p>
        </w:tc>
        <w:tc>
          <w:tcPr/>
          <w:p>
            <w:pPr>
              <w:pStyle w:val="Compact"/>
            </w:pPr>
            <w:r>
              <w:rPr>
                <w:b/>
                <w:bCs/>
              </w:rPr>
              <w:t xml:space="preserve">Special-topic essay – Virginia in 1619.</w:t>
            </w:r>
            <w:r>
              <w:t xml:space="preserve"> </w:t>
            </w:r>
            <w:r>
              <w:t xml:space="preserve">Titled</w:t>
            </w:r>
            <w:r>
              <w:t xml:space="preserve"> </w:t>
            </w:r>
            <w:r>
              <w:rPr>
                <w:i/>
                <w:iCs/>
              </w:rPr>
              <w:t xml:space="preserve">“Virginia, 1619 — ‘A garrison becomes a society’,”</w:t>
            </w:r>
            <w:r>
              <w:t xml:space="preserve"> </w:t>
            </w:r>
            <w:r>
              <w:t xml:space="preserve">this document looks slightly beyond our decade to spotlight the watershed changes in Jamestown a decade later. It details three major developments in 1619 – the first General Assembly (representative government), the introduction of</w:t>
            </w:r>
            <w:r>
              <w:t xml:space="preserve"> </w:t>
            </w:r>
            <w:r>
              <w:rPr>
                <w:b/>
                <w:bCs/>
              </w:rPr>
              <w:t xml:space="preserve">headrights</w:t>
            </w:r>
            <w:r>
              <w:t xml:space="preserve"> </w:t>
            </w:r>
            <w:r>
              <w:t xml:space="preserve">(private land ownership and immigration incentives), and the arrival of the first</w:t>
            </w:r>
            <w:r>
              <w:t xml:space="preserve"> </w:t>
            </w:r>
            <w:r>
              <w:rPr>
                <w:b/>
                <w:bCs/>
              </w:rPr>
              <w:t xml:space="preserve">enslaved Africans</w:t>
            </w:r>
            <w:r>
              <w:t xml:space="preserve"> </w:t>
            </w:r>
            <w:r>
              <w:t xml:space="preserve">– and quantifies the populations at that time (English colonists in the low thousands, “20-and-odd” Africans, the Powhatan people still vastly outnumbering the colonists). It then describes “what it feels like on the ground” in 1619: the intimate scale of the Assembly meeting, the spread of plantations along the James River, and the human perspective on the arrival of captive Africans at Point Comfort. A final note explains</w:t>
            </w:r>
            <w:r>
              <w:t xml:space="preserve"> </w:t>
            </w:r>
            <w:r>
              <w:rPr>
                <w:b/>
                <w:bCs/>
              </w:rPr>
              <w:t xml:space="preserve">“Why 1619 matters”</w:t>
            </w:r>
            <w:r>
              <w:t xml:space="preserve"> </w:t>
            </w:r>
            <w:r>
              <w:t xml:space="preserve">– essentially, how Virginia began transforming from a tenuous military outpost into a settled society (while laying the foundations of systemic slavery and dispossession).</w:t>
            </w:r>
            <w:r>
              <w:t xml:space="preserve"> </w:t>
            </w:r>
            <w:r>
              <w:rPr>
                <w:i/>
                <w:iCs/>
              </w:rPr>
              <w:t xml:space="preserve">Included in this folder for context</w:t>
            </w:r>
            <w:r>
              <w:t xml:space="preserve">, this essay connects the 1600–1610 narrative to the next chapter of the story. It can serve as a bridge in the project, showing readers or contributors what the seeds sown in the 1600s led to by the end of the 1610s.</w:t>
            </w:r>
          </w:p>
        </w:tc>
      </w:tr>
      <w:tr>
        <w:tc>
          <w:tcPr/>
          <w:p>
            <w:pPr>
              <w:pStyle w:val="Compact"/>
            </w:pPr>
            <w:r>
              <w:rPr>
                <w:b/>
                <w:bCs/>
              </w:rPr>
              <w:t xml:space="preserve">Ancestral Lives in the Early 1600s (1600–1610).docx</w:t>
            </w:r>
          </w:p>
        </w:tc>
        <w:tc>
          <w:tcPr/>
          <w:p>
            <w:pPr>
              <w:pStyle w:val="Compact"/>
            </w:pPr>
            <w:r>
              <w:rPr>
                <w:b/>
                <w:bCs/>
              </w:rPr>
              <w:t xml:space="preserve">Integrated ancestor-centric narrative (with citations).</w:t>
            </w:r>
            <w:r>
              <w:t xml:space="preserve"> </w:t>
            </w:r>
            <w:r>
              <w:t xml:space="preserve">This is a compiled essay that weaves together the stories of multiple ancestors in a single narrative, aimed at a general audience or for publication. It covers</w:t>
            </w:r>
            <w:r>
              <w:t xml:space="preserve"> </w:t>
            </w:r>
            <w:r>
              <w:rPr>
                <w:b/>
                <w:bCs/>
              </w:rPr>
              <w:t xml:space="preserve">four ancestral lines</w:t>
            </w:r>
            <w:r>
              <w:t xml:space="preserve"> </w:t>
            </w:r>
            <w:r>
              <w:t xml:space="preserve">(the same ones as in 1600-1610-life.md) but in a continuous prose format with academic-style footnote citations. For example, it narrates the tale of Walloon Protestant ancestors in Hainaut (Ada Powell’s forebears) under Spanish rule, the saga of an English Jamestown “Ancient Planter” in Sarah Williams’s line, the alpine life of Adam Launer’s Swiss ancestors during the Little Ice Age, and the folk Catholic milieu of William Worstell’s northern English ancestors – all within the context of 1600–1610. The content here closely parallels the</w:t>
            </w:r>
            <w:r>
              <w:t xml:space="preserve"> </w:t>
            </w:r>
            <w:r>
              <w:rPr>
                <w:b/>
                <w:bCs/>
              </w:rPr>
              <w:t xml:space="preserve">1600-1610-life.md</w:t>
            </w:r>
            <w:r>
              <w:t xml:space="preserve"> </w:t>
            </w:r>
            <w:r>
              <w:t xml:space="preserve">narratives (often using the same facts and descriptions), but presented as a cohesive story with references. The purpose of this document is to serve as a polished narrative</w:t>
            </w:r>
            <w:r>
              <w:t xml:space="preserve"> </w:t>
            </w:r>
            <w:r>
              <w:rPr>
                <w:i/>
                <w:iCs/>
              </w:rPr>
              <w:t xml:space="preserve">output</w:t>
            </w:r>
            <w:r>
              <w:t xml:space="preserve"> </w:t>
            </w:r>
            <w:r>
              <w:t xml:space="preserve">– for instance, as a PDF article or a chapter in an e-book – that family members or readers can enjoy as a standalone story of our ancestors in the early 1600s. It preserves the scholarly underpinnings (via citations), while the website page (life.md) provides a more interactive summary.</w:t>
            </w:r>
          </w:p>
        </w:tc>
      </w:tr>
      <w:tr>
        <w:tc>
          <w:tcPr/>
          <w:p>
            <w:pPr>
              <w:pStyle w:val="Compact"/>
            </w:pPr>
            <w:r>
              <w:rPr>
                <w:b/>
                <w:bCs/>
              </w:rPr>
              <w:t xml:space="preserve">1600-1610.docx</w:t>
            </w:r>
          </w:p>
        </w:tc>
        <w:tc>
          <w:tcPr/>
          <w:p>
            <w:pPr>
              <w:pStyle w:val="Compact"/>
            </w:pPr>
            <w:r>
              <w:rPr>
                <w:b/>
                <w:bCs/>
              </w:rPr>
              <w:t xml:space="preserve">Decade integration outline.</w:t>
            </w:r>
            <w:r>
              <w:t xml:space="preserve"> </w:t>
            </w:r>
            <w:r>
              <w:t xml:space="preserve">This document is an internal synthesis and planning tool that ensures coherence across the module. It pulls together key points from both New World and Old World contexts into one place. Notably, it includes some of the same descriptive</w:t>
            </w:r>
            <w:r>
              <w:t xml:space="preserve"> </w:t>
            </w:r>
            <w:r>
              <w:rPr>
                <w:b/>
                <w:bCs/>
              </w:rPr>
              <w:t xml:space="preserve">“feel of the decade”</w:t>
            </w:r>
            <w:r>
              <w:t xml:space="preserve"> </w:t>
            </w:r>
            <w:r>
              <w:t xml:space="preserve">passages found in NewCountry/OldCountry, and it sketches out</w:t>
            </w:r>
            <w:r>
              <w:t xml:space="preserve"> </w:t>
            </w:r>
            <w:r>
              <w:rPr>
                <w:b/>
                <w:bCs/>
              </w:rPr>
              <w:t xml:space="preserve">mini-introductions for separate essays</w:t>
            </w:r>
            <w:r>
              <w:t xml:space="preserve"> </w:t>
            </w:r>
            <w:r>
              <w:t xml:space="preserve">one might develop (for example, it outlines the angles for the Jamestown 1607–1610 essay, the Hudson 1609 story, and a Quebec 1608 piece). In essence, 1600-1610.docx acts as a</w:t>
            </w:r>
            <w:r>
              <w:t xml:space="preserve"> </w:t>
            </w:r>
            <w:r>
              <w:rPr>
                <w:b/>
                <w:bCs/>
              </w:rPr>
              <w:t xml:space="preserve">blueprint</w:t>
            </w:r>
            <w:r>
              <w:t xml:space="preserve">: it delineates the main ideas to cover and how the various pieces (Jamestown, Hudson, Quebec, etc.) knit together into the ancestor-centric narrative. This helped in drafting the other documents and can be a reference for consistency. Future decade modules can similarly benefit from having such an outline to map out content and prevent overlaps or gaps. (Because it overlaps content with specialized docs, this file may not be needed by end-users, but it’s useful for writers/maintainers.)</w:t>
            </w:r>
          </w:p>
        </w:tc>
      </w:tr>
    </w:tbl>
    <w:bookmarkStart w:id="21" w:name="how-the-documents-interrelate"/>
    <w:p>
      <w:pPr>
        <w:pStyle w:val="Heading3"/>
      </w:pPr>
      <w:r>
        <w:t xml:space="preserve">How the Documents Interrelate</w:t>
      </w:r>
    </w:p>
    <w:p>
      <w:pPr>
        <w:pStyle w:val="FirstParagraph"/>
      </w:pPr>
      <w:r>
        <w:t xml:space="preserve">Each document above plays a part in depicting the decade. They are designed to</w:t>
      </w:r>
      <w:r>
        <w:t xml:space="preserve"> </w:t>
      </w:r>
      <w:r>
        <w:rPr>
          <w:b/>
          <w:bCs/>
        </w:rPr>
        <w:t xml:space="preserve">complement one another with minimal redundancy</w:t>
      </w:r>
      <w:r>
        <w:t xml:space="preserve">:</w:t>
      </w:r>
    </w:p>
    <w:p>
      <w:pPr>
        <w:numPr>
          <w:ilvl w:val="0"/>
          <w:numId w:val="1001"/>
        </w:numPr>
      </w:pPr>
      <w:r>
        <w:t xml:space="preserve">The</w:t>
      </w:r>
      <w:r>
        <w:t xml:space="preserve"> </w:t>
      </w:r>
      <w:r>
        <w:rPr>
          <w:b/>
          <w:bCs/>
        </w:rPr>
        <w:t xml:space="preserve">context summaries</w:t>
      </w:r>
      <w:r>
        <w:t xml:space="preserve"> </w:t>
      </w:r>
      <w:r>
        <w:t xml:space="preserve">(NewCountry and OldCountry) provide quick facts and broad context, which the</w:t>
      </w:r>
      <w:r>
        <w:t xml:space="preserve"> </w:t>
      </w:r>
      <w:r>
        <w:rPr>
          <w:b/>
          <w:bCs/>
        </w:rPr>
        <w:t xml:space="preserve">narrative pieces</w:t>
      </w:r>
      <w:r>
        <w:t xml:space="preserve"> </w:t>
      </w:r>
      <w:r>
        <w:t xml:space="preserve">(life.md and the essays) then humanize. For example, NewCountry’s timeline notes the</w:t>
      </w:r>
      <w:r>
        <w:t xml:space="preserve"> </w:t>
      </w:r>
      <w:r>
        <w:rPr>
          <w:b/>
          <w:bCs/>
        </w:rPr>
        <w:t xml:space="preserve">“Starving Time” winter of 1609–10 and ~60 survivors</w:t>
      </w:r>
      <w:r>
        <w:t xml:space="preserve">, while the Jamestown essay and Sarah Crew Williams’s story in life.md vividly flesh out what that meant for individuals. Similarly, OldCountry highlights the</w:t>
      </w:r>
      <w:r>
        <w:t xml:space="preserve"> </w:t>
      </w:r>
      <w:r>
        <w:rPr>
          <w:b/>
          <w:bCs/>
        </w:rPr>
        <w:t xml:space="preserve">1607 Midland enclosure riots</w:t>
      </w:r>
      <w:r>
        <w:t xml:space="preserve"> </w:t>
      </w:r>
      <w:r>
        <w:t xml:space="preserve">and the brewing religious tensions; the life.md narrative then shows how those developments affected a particular family in Leicestershire or Essex.</w:t>
      </w:r>
    </w:p>
    <w:p>
      <w:pPr>
        <w:numPr>
          <w:ilvl w:val="0"/>
          <w:numId w:val="1001"/>
        </w:numPr>
      </w:pPr>
      <w:r>
        <w:t xml:space="preserve">There is intentional thematic overlap – key</w:t>
      </w:r>
      <w:r>
        <w:t xml:space="preserve"> </w:t>
      </w:r>
      <w:r>
        <w:rPr>
          <w:b/>
          <w:bCs/>
        </w:rPr>
        <w:t xml:space="preserve">anchor points</w:t>
      </w:r>
      <w:r>
        <w:t xml:space="preserve"> </w:t>
      </w:r>
      <w:r>
        <w:t xml:space="preserve">appear in multiple documents to reinforce their importance. For instance, the Powhatan population (~14,000–21,000 in Tsenacommacah) and the tiny scale of Jamestown (just over 100 colonists, falling to 38 then 60) are cited in the NewCountry summary, the Jamestown essay,</w:t>
      </w:r>
      <w:r>
        <w:t xml:space="preserve"> </w:t>
      </w:r>
      <w:r>
        <w:rPr>
          <w:i/>
          <w:iCs/>
        </w:rPr>
        <w:t xml:space="preserve">and</w:t>
      </w:r>
      <w:r>
        <w:t xml:space="preserve"> </w:t>
      </w:r>
      <w:r>
        <w:t xml:space="preserve">the ancestral narrative. We want a reader to come away with that perspective no matter which piece they read. However, the</w:t>
      </w:r>
      <w:r>
        <w:t xml:space="preserve"> </w:t>
      </w:r>
      <w:r>
        <w:rPr>
          <w:i/>
          <w:iCs/>
        </w:rPr>
        <w:t xml:space="preserve">treatment</w:t>
      </w:r>
      <w:r>
        <w:t xml:space="preserve"> </w:t>
      </w:r>
      <w:r>
        <w:t xml:space="preserve">of those facts differs: one document gives a one-line statistic, while another paints a scene of “every face known to every other” in the fort, and yet another might place an actual ancestor among those numbers. This layered approach reinforces understanding without feeling like pure repetition.</w:t>
      </w:r>
    </w:p>
    <w:p>
      <w:pPr>
        <w:numPr>
          <w:ilvl w:val="0"/>
          <w:numId w:val="1001"/>
        </w:numPr>
      </w:pPr>
      <w:r>
        <w:rPr>
          <w:b/>
          <w:bCs/>
        </w:rPr>
        <w:t xml:space="preserve">Cross-referencing and consistency:</w:t>
      </w:r>
      <w:r>
        <w:t xml:space="preserve"> </w:t>
      </w:r>
      <w:r>
        <w:t xml:space="preserve">The life.md page is meant to be an entry point (hence the “How to use this page” tip and links to Family/Place pages). It skims the big picture and invites the reader to explore deeper. Those deeper explorations are available either on other pages or via the downloadable essays in this folder. For instance, if a reader wants to dive into Jamestown after reading the brief mention in life.md, the Jamestown 1607–1610 essay provides that depth. The materials use a consistent tone and occasionally refer to one another (the Hudson essay’s final note explicitly ties forward to the 1610s and to family place names like “Noorman’s Kill” that appear in the Worstell lineage story). This ensures the module feels like a</w:t>
      </w:r>
      <w:r>
        <w:t xml:space="preserve"> </w:t>
      </w:r>
      <w:r>
        <w:rPr>
          <w:b/>
          <w:bCs/>
        </w:rPr>
        <w:t xml:space="preserve">cohesive unit</w:t>
      </w:r>
      <w:r>
        <w:t xml:space="preserve"> </w:t>
      </w:r>
      <w:r>
        <w:t xml:space="preserve">rather than disjointed articles.</w:t>
      </w:r>
    </w:p>
    <w:p>
      <w:pPr>
        <w:numPr>
          <w:ilvl w:val="0"/>
          <w:numId w:val="1001"/>
        </w:numPr>
      </w:pPr>
      <w:r>
        <w:rPr>
          <w:b/>
          <w:bCs/>
        </w:rPr>
        <w:t xml:space="preserve">Avoiding excessive duplication:</w:t>
      </w:r>
      <w:r>
        <w:t xml:space="preserve"> </w:t>
      </w:r>
      <w:r>
        <w:t xml:space="preserve">We have made sure that each document has a clear purpose so we don’t simply restate entire passages. If two pieces address the same event, they do so from different angles. For example, the</w:t>
      </w:r>
      <w:r>
        <w:t xml:space="preserve"> </w:t>
      </w:r>
      <w:r>
        <w:rPr>
          <w:b/>
          <w:bCs/>
        </w:rPr>
        <w:t xml:space="preserve">“Starving Time”</w:t>
      </w:r>
      <w:r>
        <w:t xml:space="preserve"> </w:t>
      </w:r>
      <w:r>
        <w:t xml:space="preserve">appears in:</w:t>
      </w:r>
    </w:p>
    <w:p>
      <w:pPr>
        <w:pStyle w:val="Compact"/>
        <w:numPr>
          <w:ilvl w:val="0"/>
          <w:numId w:val="1001"/>
        </w:numPr>
      </w:pPr>
      <w:r>
        <w:rPr>
          <w:i/>
          <w:iCs/>
        </w:rPr>
        <w:t xml:space="preserve">NewCountry timeline:</w:t>
      </w:r>
      <w:r>
        <w:t xml:space="preserve"> </w:t>
      </w:r>
      <w:r>
        <w:t xml:space="preserve">as a brief bullet with mortality rate.</w:t>
      </w:r>
    </w:p>
    <w:p>
      <w:pPr>
        <w:pStyle w:val="Compact"/>
        <w:numPr>
          <w:ilvl w:val="0"/>
          <w:numId w:val="1001"/>
        </w:numPr>
      </w:pPr>
      <w:r>
        <w:rPr>
          <w:i/>
          <w:iCs/>
        </w:rPr>
        <w:t xml:space="preserve">Jamestown essay:</w:t>
      </w:r>
      <w:r>
        <w:t xml:space="preserve"> </w:t>
      </w:r>
      <w:r>
        <w:t xml:space="preserve">as a paragraph with George Percy’s account and forensic evidence of “Jane,” giving narrative weight.</w:t>
      </w:r>
    </w:p>
    <w:p>
      <w:pPr>
        <w:pStyle w:val="Compact"/>
        <w:numPr>
          <w:ilvl w:val="0"/>
          <w:numId w:val="1001"/>
        </w:numPr>
      </w:pPr>
      <w:r>
        <w:rPr>
          <w:i/>
          <w:iCs/>
        </w:rPr>
        <w:t xml:space="preserve">Ancestral Lives narrative (Sarah’s story):</w:t>
      </w:r>
      <w:r>
        <w:t xml:space="preserve"> </w:t>
      </w:r>
      <w:r>
        <w:t xml:space="preserve">as part of an ancestor’s lived experience (Capt. Thomas Harris surviving that winter).</w:t>
      </w:r>
      <w:r>
        <w:t xml:space="preserve"> </w:t>
      </w:r>
      <w:r>
        <w:t xml:space="preserve">These accounts echo the same fact pattern but serve different narrative needs. By delineating scope (summary vs. detail vs. personal angle), we reduce undue redundancy. Going forward, maintaining an outline (like 1600-1610.docx) for each decade will help identify where content might overlap, so it can either be pruned or deliberately reframed.</w:t>
      </w:r>
    </w:p>
    <w:bookmarkEnd w:id="21"/>
    <w:bookmarkEnd w:id="22"/>
    <w:bookmarkStart w:id="23" w:name="Xe1107eb81a90694a2afb1a1956306229f8fc1fe"/>
    <w:p>
      <w:pPr>
        <w:pStyle w:val="Heading2"/>
      </w:pPr>
      <w:r>
        <w:t xml:space="preserve">Style, Structure, and Template for Future Decades</w:t>
      </w:r>
    </w:p>
    <w:p>
      <w:pPr>
        <w:pStyle w:val="FirstParagraph"/>
      </w:pPr>
      <w:r>
        <w:t xml:space="preserve">The organization of this decade’s content is intended as a</w:t>
      </w:r>
      <w:r>
        <w:t xml:space="preserve"> </w:t>
      </w:r>
      <w:r>
        <w:rPr>
          <w:b/>
          <w:bCs/>
        </w:rPr>
        <w:t xml:space="preserve">model</w:t>
      </w:r>
      <w:r>
        <w:t xml:space="preserve"> </w:t>
      </w:r>
      <w:r>
        <w:t xml:space="preserve">for subsequent decades. Key aspects of the structure and tone that should be carried forward include:</w:t>
      </w:r>
    </w:p>
    <w:p>
      <w:pPr>
        <w:pStyle w:val="Compact"/>
        <w:numPr>
          <w:ilvl w:val="0"/>
          <w:numId w:val="1002"/>
        </w:numPr>
      </w:pPr>
      <w:r>
        <w:rPr>
          <w:b/>
          <w:bCs/>
        </w:rPr>
        <w:t xml:space="preserve">Clear Separation of Content Types:</w:t>
      </w:r>
      <w:r>
        <w:t xml:space="preserve"> </w:t>
      </w:r>
      <w:r>
        <w:t xml:space="preserve">We found it effective to separate</w:t>
      </w:r>
      <w:r>
        <w:t xml:space="preserve"> </w:t>
      </w:r>
      <w:r>
        <w:rPr>
          <w:i/>
          <w:iCs/>
        </w:rPr>
        <w:t xml:space="preserve">contextual data</w:t>
      </w:r>
      <w:r>
        <w:t xml:space="preserve"> </w:t>
      </w:r>
      <w:r>
        <w:t xml:space="preserve">from</w:t>
      </w:r>
      <w:r>
        <w:t xml:space="preserve"> </w:t>
      </w:r>
      <w:r>
        <w:rPr>
          <w:i/>
          <w:iCs/>
        </w:rPr>
        <w:t xml:space="preserve">narrative</w:t>
      </w:r>
      <w:r>
        <w:t xml:space="preserve">. Each decade’s module can include:</w:t>
      </w:r>
    </w:p>
    <w:p>
      <w:pPr>
        <w:pStyle w:val="Compact"/>
        <w:numPr>
          <w:ilvl w:val="0"/>
          <w:numId w:val="1002"/>
        </w:numPr>
      </w:pPr>
      <w:r>
        <w:t xml:space="preserve">One or two</w:t>
      </w:r>
      <w:r>
        <w:t xml:space="preserve"> </w:t>
      </w:r>
      <w:r>
        <w:rPr>
          <w:b/>
          <w:bCs/>
        </w:rPr>
        <w:t xml:space="preserve">context summary documents</w:t>
      </w:r>
      <w:r>
        <w:t xml:space="preserve"> </w:t>
      </w:r>
      <w:r>
        <w:t xml:space="preserve">(New World and Old World) that lay out important events, demographics, and settings. These serve as fact-rich references and ensure each decade’s historical background is well-defined.</w:t>
      </w:r>
    </w:p>
    <w:p>
      <w:pPr>
        <w:pStyle w:val="Compact"/>
        <w:numPr>
          <w:ilvl w:val="0"/>
          <w:numId w:val="1002"/>
        </w:numPr>
      </w:pPr>
      <w:r>
        <w:t xml:space="preserve">A</w:t>
      </w:r>
      <w:r>
        <w:t xml:space="preserve"> </w:t>
      </w:r>
      <w:r>
        <w:rPr>
          <w:b/>
          <w:bCs/>
        </w:rPr>
        <w:t xml:space="preserve">“Life &amp; Context” narrative page</w:t>
      </w:r>
      <w:r>
        <w:t xml:space="preserve"> </w:t>
      </w:r>
      <w:r>
        <w:t xml:space="preserve">(like the 1600-1610-life.md) that brings those contexts to life through the eyes of ancestors. This should remain the centerpiece for engaging readers – it’s where genealogy meets history directly.</w:t>
      </w:r>
    </w:p>
    <w:p>
      <w:pPr>
        <w:pStyle w:val="Compact"/>
        <w:numPr>
          <w:ilvl w:val="0"/>
          <w:numId w:val="1002"/>
        </w:numPr>
      </w:pPr>
      <w:r>
        <w:rPr>
          <w:b/>
          <w:bCs/>
        </w:rPr>
        <w:t xml:space="preserve">Deep-dive essays or profiles</w:t>
      </w:r>
      <w:r>
        <w:t xml:space="preserve"> </w:t>
      </w:r>
      <w:r>
        <w:t xml:space="preserve">on pivotal events or places relevant to the families (e.g. a Jamestown story, a specific battle, a migration journey). These are optional but highly valuable for decades with major turning points. They can be provided as separate files or embedded in the website as sub-pages, and they allow us to explore crucial episodes without overloading the main narrative.</w:t>
      </w:r>
    </w:p>
    <w:p>
      <w:pPr>
        <w:numPr>
          <w:ilvl w:val="0"/>
          <w:numId w:val="1002"/>
        </w:numPr>
      </w:pPr>
      <w:r>
        <w:t xml:space="preserve">If needed, an</w:t>
      </w:r>
      <w:r>
        <w:t xml:space="preserve"> </w:t>
      </w:r>
      <w:r>
        <w:rPr>
          <w:b/>
          <w:bCs/>
        </w:rPr>
        <w:t xml:space="preserve">integrated narrative with citations</w:t>
      </w:r>
      <w:r>
        <w:t xml:space="preserve"> </w:t>
      </w:r>
      <w:r>
        <w:t xml:space="preserve">(like “Ancestral Lives…docx”) can be prepared for external sharing or archival purposes. This isn’t mandatory for every decade, but where scholarly detail is desired, it’s a good practice to compile one.</w:t>
      </w:r>
    </w:p>
    <w:p>
      <w:pPr>
        <w:numPr>
          <w:ilvl w:val="0"/>
          <w:numId w:val="1002"/>
        </w:numPr>
      </w:pPr>
      <w:r>
        <w:rPr>
          <w:b/>
          <w:bCs/>
        </w:rPr>
        <w:t xml:space="preserve">Consistency in Tone (“Ancestor’s-eye view”):</w:t>
      </w:r>
      <w:r>
        <w:t xml:space="preserve"> </w:t>
      </w:r>
      <w:r>
        <w:t xml:space="preserve">All content should continue to be written with an emphasis on how historical events impacted ordinary individuals (especially our ancestors). This means:</w:t>
      </w:r>
    </w:p>
    <w:p>
      <w:pPr>
        <w:pStyle w:val="Compact"/>
        <w:numPr>
          <w:ilvl w:val="0"/>
          <w:numId w:val="1002"/>
        </w:numPr>
      </w:pPr>
      <w:r>
        <w:t xml:space="preserve">Emphasizing</w:t>
      </w:r>
      <w:r>
        <w:t xml:space="preserve"> </w:t>
      </w:r>
      <w:r>
        <w:rPr>
          <w:b/>
          <w:bCs/>
        </w:rPr>
        <w:t xml:space="preserve">scale and proximity</w:t>
      </w:r>
      <w:r>
        <w:t xml:space="preserve"> </w:t>
      </w:r>
      <w:r>
        <w:t xml:space="preserve">– e.g. noting when a colony’s population was only a few dozen, or when a village is isolated – to contextualize ancestors’ experiences.</w:t>
      </w:r>
    </w:p>
    <w:p>
      <w:pPr>
        <w:pStyle w:val="Compact"/>
        <w:numPr>
          <w:ilvl w:val="0"/>
          <w:numId w:val="1002"/>
        </w:numPr>
      </w:pPr>
      <w:r>
        <w:t xml:space="preserve">Including</w:t>
      </w:r>
      <w:r>
        <w:t xml:space="preserve"> </w:t>
      </w:r>
      <w:r>
        <w:rPr>
          <w:b/>
          <w:bCs/>
        </w:rPr>
        <w:t xml:space="preserve">sensory or human details</w:t>
      </w:r>
      <w:r>
        <w:t xml:space="preserve">: what daily life looked, sounded, or felt like. In this module we mention details like</w:t>
      </w:r>
      <w:r>
        <w:t xml:space="preserve"> </w:t>
      </w:r>
      <w:r>
        <w:rPr>
          <w:i/>
          <w:iCs/>
        </w:rPr>
        <w:t xml:space="preserve">“waterwheels turning in an otherwise rural valley”</w:t>
      </w:r>
      <w:r>
        <w:t xml:space="preserve"> </w:t>
      </w:r>
      <w:r>
        <w:t xml:space="preserve">or a</w:t>
      </w:r>
      <w:r>
        <w:t xml:space="preserve"> </w:t>
      </w:r>
      <w:r>
        <w:rPr>
          <w:i/>
          <w:iCs/>
        </w:rPr>
        <w:t xml:space="preserve">“bluff-bowed Dutch flyboat”</w:t>
      </w:r>
      <w:r>
        <w:t xml:space="preserve"> </w:t>
      </w:r>
      <w:r>
        <w:t xml:space="preserve">appearing on the horizon. Such touches spark the reader’s imagination and keep the tone accessible, not textbook-dry.</w:t>
      </w:r>
    </w:p>
    <w:p>
      <w:pPr>
        <w:numPr>
          <w:ilvl w:val="0"/>
          <w:numId w:val="1002"/>
        </w:numPr>
      </w:pPr>
      <w:r>
        <w:t xml:space="preserve">Whenever possible,</w:t>
      </w:r>
      <w:r>
        <w:t xml:space="preserve"> </w:t>
      </w:r>
      <w:r>
        <w:rPr>
          <w:b/>
          <w:bCs/>
        </w:rPr>
        <w:t xml:space="preserve">naming actual ancestors or families</w:t>
      </w:r>
      <w:r>
        <w:t xml:space="preserve"> </w:t>
      </w:r>
      <w:r>
        <w:t xml:space="preserve">in the narrative. For instance, referencing the Küster family in the Palatinate or Thomas Harris at Jamestown makes the account more concrete and personal. Future decades should do the same – weave specific family members into the historical narrative once those individuals appear in records – so that the reader is always aware that “our people” are part of the story.</w:t>
      </w:r>
    </w:p>
    <w:p>
      <w:pPr>
        <w:numPr>
          <w:ilvl w:val="0"/>
          <w:numId w:val="1002"/>
        </w:numPr>
      </w:pPr>
      <w:r>
        <w:rPr>
          <w:b/>
          <w:bCs/>
        </w:rPr>
        <w:t xml:space="preserve">Formatting and Readability:</w:t>
      </w:r>
      <w:r>
        <w:t xml:space="preserve"> </w:t>
      </w:r>
      <w:r>
        <w:t xml:space="preserve">The documents should adhere to a consistent, reader-friendly format:</w:t>
      </w:r>
    </w:p>
    <w:p>
      <w:pPr>
        <w:pStyle w:val="Compact"/>
        <w:numPr>
          <w:ilvl w:val="0"/>
          <w:numId w:val="1002"/>
        </w:numPr>
      </w:pPr>
      <w:r>
        <w:t xml:space="preserve">Use</w:t>
      </w:r>
      <w:r>
        <w:t xml:space="preserve"> </w:t>
      </w:r>
      <w:r>
        <w:rPr>
          <w:b/>
          <w:bCs/>
        </w:rPr>
        <w:t xml:space="preserve">clear section headings</w:t>
      </w:r>
      <w:r>
        <w:t xml:space="preserve"> </w:t>
      </w:r>
      <w:r>
        <w:t xml:space="preserve">(as we’ve done for each ancestor’s segment or each region’s snapshot) so that users can scan and find topics of interest.</w:t>
      </w:r>
    </w:p>
    <w:p>
      <w:pPr>
        <w:pStyle w:val="Compact"/>
        <w:numPr>
          <w:ilvl w:val="0"/>
          <w:numId w:val="1002"/>
        </w:numPr>
      </w:pPr>
      <w:r>
        <w:t xml:space="preserve">Keep paragraphs short and focused (as in the life.md bullets and the essays’ segmented sections). This improves readability, especially on the web. In our 1600–1610-life.md, we broke up long explanations into bullet points under each ancestor, which aids scanning without diminishing narrative quality.</w:t>
      </w:r>
    </w:p>
    <w:p>
      <w:pPr>
        <w:pStyle w:val="Compact"/>
        <w:numPr>
          <w:ilvl w:val="0"/>
          <w:numId w:val="1002"/>
        </w:numPr>
      </w:pPr>
      <w:r>
        <w:t xml:space="preserve">Use</w:t>
      </w:r>
      <w:r>
        <w:t xml:space="preserve"> </w:t>
      </w:r>
      <w:r>
        <w:rPr>
          <w:b/>
          <w:bCs/>
        </w:rPr>
        <w:t xml:space="preserve">lists or bullet points</w:t>
      </w:r>
      <w:r>
        <w:t xml:space="preserve"> </w:t>
      </w:r>
      <w:r>
        <w:t xml:space="preserve">for dense information, such as population figures or chronological events. Both NewCountry and OldCountry documents employ bulleted lists for timelines and quick facts, which future modules can emulate.</w:t>
      </w:r>
    </w:p>
    <w:p>
      <w:pPr>
        <w:numPr>
          <w:ilvl w:val="0"/>
          <w:numId w:val="1002"/>
        </w:numPr>
      </w:pPr>
      <w:r>
        <w:t xml:space="preserve">Maintain a helpful, guiding voice for the reader. For example, the tip at the top of life.md explains how to navigate the content. Similar cues or introductions can orient readers in each decade’s main page.</w:t>
      </w:r>
    </w:p>
    <w:p>
      <w:pPr>
        <w:numPr>
          <w:ilvl w:val="0"/>
          <w:numId w:val="1002"/>
        </w:numPr>
      </w:pPr>
      <w:r>
        <w:rPr>
          <w:b/>
          <w:bCs/>
        </w:rPr>
        <w:t xml:space="preserve">Integration with Family/Place Pages:</w:t>
      </w:r>
      <w:r>
        <w:t xml:space="preserve"> </w:t>
      </w:r>
      <w:r>
        <w:t xml:space="preserve">Continue cross-linking to specific family and place entries in the project, as seen in the “See also” lines of life.md. This helps readers dive deeper into genealogical details if they wish, and it ties the decade module into the broader structure of the family history site.</w:t>
      </w:r>
    </w:p>
    <w:p>
      <w:pPr>
        <w:numPr>
          <w:ilvl w:val="0"/>
          <w:numId w:val="1002"/>
        </w:numPr>
      </w:pPr>
      <w:r>
        <w:rPr>
          <w:b/>
          <w:bCs/>
        </w:rPr>
        <w:t xml:space="preserve">Use of Sources:</w:t>
      </w:r>
      <w:r>
        <w:t xml:space="preserve"> </w:t>
      </w:r>
      <w:r>
        <w:t xml:space="preserve">Our approach has been to do heavy research (with citations in drafts like the .docx files) but present the final web content in a clean narrative form, with sources listed separately (e.g. in a Bibliography or in footnote form in the compiled PDF). Future decades should follow this practice: back your writing with credible sources, keep notes of them (as we did with footnotes in “Ancestral Lives…” or parenthetical references in Jamestown 1607–1610.docx), and then decide how to display source info in the final output (either as a bibliography entry or a brief endnote) so that the main story remains readable.</w:t>
      </w:r>
    </w:p>
    <w:p>
      <w:pPr>
        <w:pStyle w:val="FirstParagraph"/>
      </w:pPr>
      <w:r>
        <w:t xml:space="preserve">By replicating the above structure for each new decade, we ensure that the project remains</w:t>
      </w:r>
      <w:r>
        <w:t xml:space="preserve"> </w:t>
      </w:r>
      <w:r>
        <w:rPr>
          <w:b/>
          <w:bCs/>
        </w:rPr>
        <w:t xml:space="preserve">coherent and uniform</w:t>
      </w:r>
      <w:r>
        <w:t xml:space="preserve">. Each decade module will offer:</w:t>
      </w:r>
      <w:r>
        <w:t xml:space="preserve"> </w:t>
      </w:r>
      <w:r>
        <w:t xml:space="preserve">- a broad</w:t>
      </w:r>
      <w:r>
        <w:t xml:space="preserve"> </w:t>
      </w:r>
      <w:r>
        <w:rPr>
          <w:b/>
          <w:bCs/>
        </w:rPr>
        <w:t xml:space="preserve">historical scaffold</w:t>
      </w:r>
      <w:r>
        <w:t xml:space="preserve"> </w:t>
      </w:r>
      <w:r>
        <w:t xml:space="preserve">(timelines and context) to set the scene,</w:t>
      </w:r>
      <w:r>
        <w:t xml:space="preserve"> </w:t>
      </w:r>
      <w:r>
        <w:t xml:space="preserve">- an engaging</w:t>
      </w:r>
      <w:r>
        <w:t xml:space="preserve"> </w:t>
      </w:r>
      <w:r>
        <w:rPr>
          <w:b/>
          <w:bCs/>
        </w:rPr>
        <w:t xml:space="preserve">narrative</w:t>
      </w:r>
      <w:r>
        <w:t xml:space="preserve"> </w:t>
      </w:r>
      <w:r>
        <w:t xml:space="preserve">that connects our ancestors to that scene,</w:t>
      </w:r>
      <w:r>
        <w:t xml:space="preserve"> </w:t>
      </w:r>
      <w:r>
        <w:t xml:space="preserve">- and supplementary</w:t>
      </w:r>
      <w:r>
        <w:t xml:space="preserve"> </w:t>
      </w:r>
      <w:r>
        <w:rPr>
          <w:b/>
          <w:bCs/>
        </w:rPr>
        <w:t xml:space="preserve">insights</w:t>
      </w:r>
      <w:r>
        <w:t xml:space="preserve"> </w:t>
      </w:r>
      <w:r>
        <w:t xml:space="preserve">or stories for key events that defined that decade for our family lines.</w:t>
      </w:r>
    </w:p>
    <w:p>
      <w:pPr>
        <w:pStyle w:val="BodyText"/>
      </w:pPr>
      <w:r>
        <w:t xml:space="preserve">This 1600–1610 module, for example, encapsulates a world in transition – from European villages on the brink of religious war to the North American shores on the brink of colonization – all through the lens of real people’s lives. Subsequent modules should strive for a similar blend of scope and intimacy.</w:t>
      </w:r>
    </w:p>
    <w:bookmarkEnd w:id="23"/>
    <w:bookmarkStart w:id="24" w:name="X978a8387638f11b22f04a63041a40951e62d5ae"/>
    <w:p>
      <w:pPr>
        <w:pStyle w:val="Heading2"/>
      </w:pPr>
      <w:r>
        <w:t xml:space="preserve">Enriching the 1600–1610 Story – Recommended Podcast Episodes</w:t>
      </w:r>
    </w:p>
    <w:p>
      <w:pPr>
        <w:pStyle w:val="FirstParagraph"/>
      </w:pPr>
      <w:r>
        <w:t xml:space="preserve">To deepen the understanding of this decade, you may wish to explore several episodes of</w:t>
      </w:r>
      <w:r>
        <w:t xml:space="preserve"> </w:t>
      </w:r>
      <w:r>
        <w:rPr>
          <w:i/>
          <w:iCs/>
        </w:rPr>
        <w:t xml:space="preserve">The Other States of America: History Portal</w:t>
      </w:r>
      <w:r>
        <w:t xml:space="preserve"> </w:t>
      </w:r>
      <w:r>
        <w:t xml:space="preserve">(a history podcast/YouTube series) that align closely with our content. These well-researched episodes provide vivid storytelling and context that can complement our materials:</w:t>
      </w:r>
    </w:p>
    <w:p>
      <w:pPr>
        <w:numPr>
          <w:ilvl w:val="0"/>
          <w:numId w:val="1003"/>
        </w:numPr>
      </w:pPr>
      <w:r>
        <w:rPr>
          <w:b/>
          <w:bCs/>
        </w:rPr>
        <w:t xml:space="preserve">“The Powhatan: Before Jamestown (1574–1606)”</w:t>
      </w:r>
      <w:r>
        <w:t xml:space="preserve"> </w:t>
      </w:r>
      <w:r>
        <w:t xml:space="preserve">– Explores the rise of Wahunsenacawh (Chief Powhatan) and the consolidation of the Powhatan paramount chiefdom before the English arrived. This gives excellent background on the Indigenous world into which Jamestown was planted, enriching the context for our Jamestown narrative.</w:t>
      </w:r>
    </w:p>
    <w:p>
      <w:pPr>
        <w:numPr>
          <w:ilvl w:val="0"/>
          <w:numId w:val="1003"/>
        </w:numPr>
      </w:pPr>
      <w:r>
        <w:rPr>
          <w:b/>
          <w:bCs/>
        </w:rPr>
        <w:t xml:space="preserve">“The Powhatan: Pocahontas, John Smith, Jamestown and Chief Powhatan (1607–1609)”</w:t>
      </w:r>
      <w:r>
        <w:t xml:space="preserve"> </w:t>
      </w:r>
      <w:r>
        <w:t xml:space="preserve">– Covers the early years of Jamestown from both the English and Powhatan perspectives, including personalities like Pocahontas and John Smith. This aligns with our 1607–1610 Jamestown essay, offering a broader narrative of events we mention (such as the initial cooperation and later conflicts) and could provide additional color or anecdotes for those interested.</w:t>
      </w:r>
    </w:p>
    <w:p>
      <w:pPr>
        <w:numPr>
          <w:ilvl w:val="0"/>
          <w:numId w:val="1003"/>
        </w:numPr>
      </w:pPr>
      <w:r>
        <w:rPr>
          <w:b/>
          <w:bCs/>
        </w:rPr>
        <w:t xml:space="preserve">“Spanish Florida: The Next Generation, Juanillo’s Revolt and the English Menace (1586–1608)”</w:t>
      </w:r>
      <w:r>
        <w:t xml:space="preserve"> </w:t>
      </w:r>
      <w:r>
        <w:t xml:space="preserve">– Details the state of Spanish Florida around the turn of the 17th century, including the Guale uprising (Juanillo’s Revolt) and Spanish reactions to encroaching English ambitions. This episode complements our NewCountry summary of St. Augustine’s status and underscores the wider geopolitical tension (Spain vs. England) in the Southeast as Jamestown was founded.</w:t>
      </w:r>
    </w:p>
    <w:p>
      <w:pPr>
        <w:numPr>
          <w:ilvl w:val="0"/>
          <w:numId w:val="1003"/>
        </w:numPr>
      </w:pPr>
      <w:r>
        <w:rPr>
          <w:b/>
          <w:bCs/>
        </w:rPr>
        <w:t xml:space="preserve">“Champlain, Saint Croix and Port Royal Acadia (1604–1607)”</w:t>
      </w:r>
      <w:r>
        <w:t xml:space="preserve"> </w:t>
      </w:r>
      <w:r>
        <w:t xml:space="preserve">– Chronicles the French attempts to settle in North America prior to Quebec, including Champlain’s involvement in Acadia. It provides background to the</w:t>
      </w:r>
      <w:r>
        <w:t xml:space="preserve"> </w:t>
      </w:r>
      <w:r>
        <w:rPr>
          <w:b/>
          <w:bCs/>
        </w:rPr>
        <w:t xml:space="preserve">1608 founding of Quebec</w:t>
      </w:r>
      <w:r>
        <w:t xml:space="preserve"> </w:t>
      </w:r>
      <w:r>
        <w:t xml:space="preserve">noted in our timeline, illustrating the challenges the French faced even before establishing Quebec. It adds depth to our understanding of New France’s small footprint in this decade.</w:t>
      </w:r>
    </w:p>
    <w:p>
      <w:pPr>
        <w:numPr>
          <w:ilvl w:val="0"/>
          <w:numId w:val="1003"/>
        </w:numPr>
      </w:pPr>
      <w:r>
        <w:rPr>
          <w:b/>
          <w:bCs/>
        </w:rPr>
        <w:t xml:space="preserve">“New France: Champlain Settles Quebec (1608–1610)”</w:t>
      </w:r>
      <w:r>
        <w:t xml:space="preserve"> </w:t>
      </w:r>
      <w:r>
        <w:t xml:space="preserve">– Focuses on Samuel de Champlain’s establishment of Quebec and his early alliances and conflicts (for instance, with the Innu, Algonquins, and Iroquois in 1609). This directly enriches the brief mention we give in NewCountry about Quebec’s founding. Listening to this will give a stronger sense of what the few dozen French at Quebec experienced in parallel to Jamestown’s story.</w:t>
      </w:r>
    </w:p>
    <w:p>
      <w:pPr>
        <w:numPr>
          <w:ilvl w:val="0"/>
          <w:numId w:val="1003"/>
        </w:numPr>
      </w:pPr>
      <w:r>
        <w:rPr>
          <w:b/>
          <w:bCs/>
        </w:rPr>
        <w:t xml:space="preserve">“New Netherland I: Who were the Dutch?”</w:t>
      </w:r>
      <w:r>
        <w:t xml:space="preserve"> </w:t>
      </w:r>
      <w:r>
        <w:t xml:space="preserve">– Provides context on the Dutch Republic and its global outlook around 1600. Since our OldCountry highlights the Dutch Republic as a tolerant, booming place (with Huguenot refugees and economic growth) and we know the Dutch will play a major role in the Hudson Valley shortly after 1610, this episode sets the stage. It explains the culture and motivations of the people who hired Henry Hudson and later established New Netherland, complementing our notes on the VOC and Dutch tolerance.</w:t>
      </w:r>
    </w:p>
    <w:p>
      <w:pPr>
        <w:numPr>
          <w:ilvl w:val="0"/>
          <w:numId w:val="1003"/>
        </w:numPr>
      </w:pPr>
      <w:r>
        <w:rPr>
          <w:b/>
          <w:bCs/>
        </w:rPr>
        <w:t xml:space="preserve">“New Netherland II: Henry Hudson and the North West Passage”</w:t>
      </w:r>
      <w:r>
        <w:t xml:space="preserve"> </w:t>
      </w:r>
      <w:r>
        <w:t xml:space="preserve">– Tells the story of Henry Hudson’s 1609 voyage in detail. This aligns perfectly with our Hudson 1609.docx essay. The episode can enrich our understanding of Hudson’s journey, providing narrative flourishes or lesser-known tidbits (like crew interactions, Hudson’s own background, etc.) that could be woven into our content or simply enjoyed by the curious reader.</w:t>
      </w:r>
    </w:p>
    <w:p>
      <w:pPr>
        <w:pStyle w:val="FirstParagraph"/>
      </w:pPr>
      <w:r>
        <w:t xml:space="preserve">Each of these episodes can provide additional depth and multimedia engagement with the era. Where our decade module gives the family-focused summary, these podcasts delve into the broader history in a narrative way, often highlighting exactly the themes we care about (Indigenous contexts, colonial struggles, cross-cultural encounters). They are recommended as</w:t>
      </w:r>
      <w:r>
        <w:t xml:space="preserve"> </w:t>
      </w:r>
      <w:r>
        <w:rPr>
          <w:b/>
          <w:bCs/>
        </w:rPr>
        <w:t xml:space="preserve">complementary resources</w:t>
      </w:r>
      <w:r>
        <w:t xml:space="preserve"> </w:t>
      </w:r>
      <w:r>
        <w:t xml:space="preserve">for anyone looking to further explore or verify the historical backdrop of our ancestors’ lives in 1600–1610.</w:t>
      </w:r>
    </w:p>
    <w:p>
      <w:pPr>
        <w:pStyle w:val="BodyText"/>
      </w:pPr>
      <w:r>
        <w:rPr>
          <w:i/>
          <w:iCs/>
        </w:rPr>
        <w:t xml:space="preserve">(Note: The above are external resources – be sure to cite or credit appropriately if incorporating specific details from them into our written content.)</w:t>
      </w:r>
    </w:p>
    <w:bookmarkEnd w:id="24"/>
    <w:bookmarkStart w:id="25" w:name="conclusion-and-usage-guidance"/>
    <w:p>
      <w:pPr>
        <w:pStyle w:val="Heading2"/>
      </w:pPr>
      <w:r>
        <w:t xml:space="preserve">Conclusion and Usage Guidance</w:t>
      </w:r>
    </w:p>
    <w:p>
      <w:pPr>
        <w:pStyle w:val="FirstParagraph"/>
      </w:pPr>
      <w:r>
        <w:t xml:space="preserve">In summary, the 1600–1610 module offers a self-contained look at a pivotal decade, merging</w:t>
      </w:r>
      <w:r>
        <w:t xml:space="preserve"> </w:t>
      </w:r>
      <w:r>
        <w:rPr>
          <w:b/>
          <w:bCs/>
        </w:rPr>
        <w:t xml:space="preserve">macro-history with micro-history</w:t>
      </w:r>
      <w:r>
        <w:t xml:space="preserve">. Researchers and family members using this module should start with the</w:t>
      </w:r>
      <w:r>
        <w:t xml:space="preserve"> </w:t>
      </w:r>
      <w:r>
        <w:rPr>
          <w:b/>
          <w:bCs/>
        </w:rPr>
        <w:t xml:space="preserve">1600-1610-life.md</w:t>
      </w:r>
      <w:r>
        <w:t xml:space="preserve"> </w:t>
      </w:r>
      <w:r>
        <w:t xml:space="preserve">narrative to get an immersive overview of the decade as lived by our ancestors. The</w:t>
      </w:r>
      <w:r>
        <w:t xml:space="preserve"> </w:t>
      </w:r>
      <w:r>
        <w:rPr>
          <w:b/>
          <w:bCs/>
        </w:rPr>
        <w:t xml:space="preserve">NewCountry</w:t>
      </w:r>
      <w:r>
        <w:t xml:space="preserve"> </w:t>
      </w:r>
      <w:r>
        <w:t xml:space="preserve">and</w:t>
      </w:r>
      <w:r>
        <w:t xml:space="preserve"> </w:t>
      </w:r>
      <w:r>
        <w:rPr>
          <w:b/>
          <w:bCs/>
        </w:rPr>
        <w:t xml:space="preserve">OldCountry</w:t>
      </w:r>
      <w:r>
        <w:t xml:space="preserve"> </w:t>
      </w:r>
      <w:r>
        <w:t xml:space="preserve">reference docs can be consulted for quick facts or to inform any writing/interpretation with accurate context. The specialized essays (Jamestown, Hudson, etc.) are there for a deeper dive into events that were especially significant – use them to enrich your understanding or to inspire how you might tell an ancestor’s story from that time.</w:t>
      </w:r>
    </w:p>
    <w:p>
      <w:pPr>
        <w:pStyle w:val="BodyText"/>
      </w:pPr>
      <w:r>
        <w:t xml:space="preserve">For those building the next decade’s module, feel confident in using this as a model:</w:t>
      </w:r>
      <w:r>
        <w:t xml:space="preserve"> </w:t>
      </w:r>
      <w:r>
        <w:t xml:space="preserve">- Begin with an outline of world events versus family events (as we did in 1600-1610.docx),</w:t>
      </w:r>
      <w:r>
        <w:t xml:space="preserve"> </w:t>
      </w:r>
      <w:r>
        <w:t xml:space="preserve">- identify major themes and any “big events” that need their own treatment,</w:t>
      </w:r>
      <w:r>
        <w:t xml:space="preserve"> </w:t>
      </w:r>
      <w:r>
        <w:t xml:space="preserve">- then draft the life &amp; context narratives around your particular ancestors’ situations in that decade.</w:t>
      </w:r>
    </w:p>
    <w:p>
      <w:pPr>
        <w:pStyle w:val="BodyText"/>
      </w:pPr>
      <w:r>
        <w:t xml:space="preserve">Always keep the writing</w:t>
      </w:r>
      <w:r>
        <w:t xml:space="preserve"> </w:t>
      </w:r>
      <w:r>
        <w:rPr>
          <w:b/>
          <w:bCs/>
        </w:rPr>
        <w:t xml:space="preserve">ancestry-focused</w:t>
      </w:r>
      <w:r>
        <w:t xml:space="preserve"> </w:t>
      </w:r>
      <w:r>
        <w:t xml:space="preserve">and</w:t>
      </w:r>
      <w:r>
        <w:t xml:space="preserve"> </w:t>
      </w:r>
      <w:r>
        <w:rPr>
          <w:b/>
          <w:bCs/>
        </w:rPr>
        <w:t xml:space="preserve">accessible</w:t>
      </w:r>
      <w:r>
        <w:t xml:space="preserve">. The end goal is a collection of decade chapters that not only inform readers of historical facts, but also make them feel,</w:t>
      </w:r>
      <w:r>
        <w:t xml:space="preserve"> </w:t>
      </w:r>
      <w:r>
        <w:rPr>
          <w:i/>
          <w:iCs/>
        </w:rPr>
        <w:t xml:space="preserve">“So that’s what it might have been like for my family back then.”</w:t>
      </w:r>
    </w:p>
    <w:p>
      <w:pPr>
        <w:pStyle w:val="BodyText"/>
      </w:pPr>
      <w:r>
        <w:t xml:space="preserve">By maintaining the structure and approach demonstrated in 1600–1610, future decade modules will remain cohesive in style and quality, ensuring the entire project delivers a compelling generational journey through history. Welcome to the 17th century – and enjoy this template as we move forward to the decades beyond!</w:t>
      </w:r>
    </w:p>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2025-09-27T15:04:53Z</dcterms:created>
  <dcterms:modified xsi:type="dcterms:W3CDTF">2025-09-27T15:04:53Z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