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[Bab Terjemahan] Technical Specification: Universal Translator</w:t>
      </w:r>
    </w:p>
    <w:p>
      <w:r>
        <w:t>[Terjemahan Demo (ID)]: This document defines the core pipeline architecture for LinguaDoc.</w:t>
      </w:r>
      <w:r>
        <w:rPr>
          <w:b/>
        </w:rPr>
      </w:r>
      <w:r/>
    </w:p>
    <w:p>
      <w:r>
        <w:t>[Terjemahan Demo (ID)]: 「We must guarantee zero data loss,」 said the lead architect.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[Terjemahan Demo (ID)]: Component</w:t>
            </w:r>
          </w:p>
        </w:tc>
        <w:tc>
          <w:tcPr>
            <w:tcW w:type="dxa" w:w="4320"/>
          </w:tcPr>
          <w:p>
            <w:r>
              <w:t>[Terjemahan Demo (ID)]: Responsibility</w:t>
            </w:r>
          </w:p>
        </w:tc>
      </w:tr>
      <w:tr>
        <w:tc>
          <w:tcPr>
            <w:tcW w:type="dxa" w:w="4320"/>
          </w:tcPr>
          <w:p>
            <w:r>
              <w:t>[Terjemahan Demo (ID)]: DocumentTree</w:t>
            </w:r>
          </w:p>
        </w:tc>
        <w:tc>
          <w:tcPr>
            <w:tcW w:type="dxa" w:w="4320"/>
          </w:tcPr>
          <w:p>
            <w:r>
              <w:t>[Terjemahan Demo (ID)]: Preserves structural element order</w:t>
            </w:r>
          </w:p>
        </w:tc>
      </w:tr>
      <w:tr>
        <w:tc>
          <w:tcPr>
            <w:tcW w:type="dxa" w:w="4320"/>
          </w:tcPr>
          <w:p>
            <w:r>
              <w:t>[Terjemahan Demo (ID)]: Validator</w:t>
            </w:r>
          </w:p>
        </w:tc>
        <w:tc>
          <w:tcPr>
            <w:tcW w:type="dxa" w:w="4320"/>
          </w:tcPr>
          <w:p>
            <w:r>
              <w:t>[Terjemahan Demo (ID)]: Verifies block fidelity and diffs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