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2A47"/>
          <w:sz w:val="80"/>
        </w:rPr>
        <w:t>Avyaya</w:t>
      </w:r>
    </w:p>
    <w:p>
      <w:pPr>
        <w:jc w:val="center"/>
      </w:pPr>
      <w:r>
        <w:rPr>
          <w:color w:val="0D9B8A"/>
          <w:sz w:val="36"/>
        </w:rPr>
        <w:t>Business Requirements Document</w:t>
      </w:r>
    </w:p>
    <w:p>
      <w:pPr>
        <w:jc w:val="center"/>
      </w:pPr>
      <w:r>
        <w:rPr>
          <w:i/>
          <w:color w:val="5B6672"/>
          <w:sz w:val="24"/>
        </w:rPr>
        <w:t>Consumer invoice-tracking app, module by module</w:t>
      </w:r>
    </w:p>
    <w:p/>
    <w:p>
      <w:pPr>
        <w:jc w:val="center"/>
      </w:pPr>
      <w:r>
        <w:rPr>
          <w:color w:val="5B6672"/>
          <w:sz w:val="19"/>
        </w:rPr>
        <w:t>Prepared: October 2026   ·   Platform: Expo / React Native (iOS &amp; Android)   ·   Backend: Firebase (Auth + Firestore)</w:t>
      </w:r>
    </w:p>
    <w:p>
      <w:r>
        <w:br w:type="page"/>
      </w:r>
    </w:p>
    <w:p>
      <w:pPr>
        <w:pStyle w:val="Heading1"/>
      </w:pPr>
      <w:r>
        <w:rPr>
          <w:color w:val="0E2A47"/>
        </w:rPr>
        <w:t>1. Product Overview</w:t>
      </w:r>
    </w:p>
    <w:p>
      <w:r>
        <w:rPr>
          <w:b w:val="0"/>
          <w:i w:val="0"/>
          <w:sz w:val="21"/>
        </w:rPr>
        <w:t>Avyaya (formerly SnapBill) is a consumer-facing mobile app that gives a shopper or diner one place to keep every invoice a merchant issues them — automatically, the moment a partner merchant's point-of-sale system generates a bill against the customer's Avyaya ID. Invoices are organized into folders by category (Food, Groceries, and others), searchable, shareable, and can be split, gifted, marked under warranty, or handed off to someone else. A matching merchant side (web-based POS and campaign tools, not covered by this document's screen-by-screen breakdown but referenced where it drives app behavior) lets businesses push real invoices and promotional offers straight into a customer's folders.</w:t>
      </w:r>
    </w:p>
    <w:p>
      <w:r>
        <w:rPr>
          <w:b w:val="0"/>
          <w:i w:val="0"/>
          <w:sz w:val="21"/>
        </w:rPr>
        <w:t>This BRD describes the app as it is actually built today — each module's requirement statements are drawn directly from the current source, not from a separate spec that may have drifted from the implementation. Where a described feature does not yet exist (e.g. true swipe gestures, account-to-account transfers), that gap is called out explicitly rather than glossed over.</w:t>
      </w:r>
    </w:p>
    <w:p>
      <w:pPr>
        <w:pStyle w:val="Heading2"/>
      </w:pPr>
      <w:r>
        <w:rPr>
          <w:color w:val="0E2A47"/>
        </w:rPr>
        <w:t>1.1 Modules in this document</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0E2A47"/>
          </w:tcPr>
          <w:p>
            <w:r/>
            <w:r>
              <w:rPr>
                <w:b/>
                <w:color w:val="FFFFFF"/>
                <w:sz w:val="19"/>
              </w:rPr>
              <w:t>#</w:t>
            </w:r>
          </w:p>
        </w:tc>
        <w:tc>
          <w:tcPr>
            <w:tcW w:type="dxa" w:w="3744"/>
            <w:shd w:val="clear" w:color="auto" w:fill="0E2A47"/>
          </w:tcPr>
          <w:p>
            <w:r/>
            <w:r>
              <w:rPr>
                <w:b/>
                <w:color w:val="FFFFFF"/>
                <w:sz w:val="19"/>
              </w:rPr>
              <w:t>Module</w:t>
            </w:r>
          </w:p>
        </w:tc>
        <w:tc>
          <w:tcPr>
            <w:tcW w:type="dxa" w:w="5184"/>
            <w:shd w:val="clear" w:color="auto" w:fill="0E2A47"/>
          </w:tcPr>
          <w:p>
            <w:r/>
            <w:r>
              <w:rPr>
                <w:b/>
                <w:color w:val="FFFFFF"/>
                <w:sz w:val="19"/>
              </w:rPr>
              <w:t>Primary screen(s) / file(s)</w:t>
            </w:r>
          </w:p>
        </w:tc>
      </w:tr>
      <w:tr>
        <w:tc>
          <w:tcPr>
            <w:tcW w:type="dxa" w:w="576"/>
          </w:tcPr>
          <w:p>
            <w:r/>
            <w:r>
              <w:rPr>
                <w:b w:val="0"/>
                <w:sz w:val="19"/>
              </w:rPr>
              <w:t>1</w:t>
            </w:r>
          </w:p>
        </w:tc>
        <w:tc>
          <w:tcPr>
            <w:tcW w:type="dxa" w:w="3744"/>
          </w:tcPr>
          <w:p>
            <w:r/>
            <w:r>
              <w:rPr>
                <w:b w:val="0"/>
                <w:sz w:val="19"/>
              </w:rPr>
              <w:t>Onboarding — Sign up, Log in, Email verification, Password reset</w:t>
            </w:r>
          </w:p>
        </w:tc>
        <w:tc>
          <w:tcPr>
            <w:tcW w:type="dxa" w:w="5184"/>
          </w:tcPr>
          <w:p>
            <w:r/>
            <w:r>
              <w:rPr>
                <w:b w:val="0"/>
                <w:sz w:val="19"/>
              </w:rPr>
              <w:t>src/onboarding/OnboardingFlow.tsx</w:t>
            </w:r>
          </w:p>
        </w:tc>
      </w:tr>
      <w:tr>
        <w:tc>
          <w:tcPr>
            <w:tcW w:type="dxa" w:w="576"/>
          </w:tcPr>
          <w:p>
            <w:r/>
            <w:r>
              <w:rPr>
                <w:b w:val="0"/>
                <w:sz w:val="19"/>
              </w:rPr>
              <w:t>2</w:t>
            </w:r>
          </w:p>
        </w:tc>
        <w:tc>
          <w:tcPr>
            <w:tcW w:type="dxa" w:w="3744"/>
          </w:tcPr>
          <w:p>
            <w:r/>
            <w:r>
              <w:rPr>
                <w:b w:val="0"/>
                <w:sz w:val="19"/>
              </w:rPr>
              <w:t>Home — Folder grid, Latest Bills, search &amp; sort</w:t>
            </w:r>
          </w:p>
        </w:tc>
        <w:tc>
          <w:tcPr>
            <w:tcW w:type="dxa" w:w="5184"/>
          </w:tcPr>
          <w:p>
            <w:r/>
            <w:r>
              <w:rPr>
                <w:b w:val="0"/>
                <w:sz w:val="19"/>
              </w:rPr>
              <w:t>src/screens/HomeScreen.tsx</w:t>
            </w:r>
          </w:p>
        </w:tc>
      </w:tr>
      <w:tr>
        <w:tc>
          <w:tcPr>
            <w:tcW w:type="dxa" w:w="576"/>
          </w:tcPr>
          <w:p>
            <w:r/>
            <w:r>
              <w:rPr>
                <w:b w:val="0"/>
                <w:sz w:val="19"/>
              </w:rPr>
              <w:t>3</w:t>
            </w:r>
          </w:p>
        </w:tc>
        <w:tc>
          <w:tcPr>
            <w:tcW w:type="dxa" w:w="3744"/>
          </w:tcPr>
          <w:p>
            <w:r/>
            <w:r>
              <w:rPr>
                <w:b w:val="0"/>
                <w:sz w:val="19"/>
              </w:rPr>
              <w:t>Folder Detail — Invoices &amp; Offers for one category</w:t>
            </w:r>
          </w:p>
        </w:tc>
        <w:tc>
          <w:tcPr>
            <w:tcW w:type="dxa" w:w="5184"/>
          </w:tcPr>
          <w:p>
            <w:r/>
            <w:r>
              <w:rPr>
                <w:b w:val="0"/>
                <w:sz w:val="19"/>
              </w:rPr>
              <w:t>src/screens/FolderDetailScreen.tsx</w:t>
            </w:r>
          </w:p>
        </w:tc>
      </w:tr>
      <w:tr>
        <w:tc>
          <w:tcPr>
            <w:tcW w:type="dxa" w:w="576"/>
          </w:tcPr>
          <w:p>
            <w:r/>
            <w:r>
              <w:rPr>
                <w:b w:val="0"/>
                <w:sz w:val="19"/>
              </w:rPr>
              <w:t>4</w:t>
            </w:r>
          </w:p>
        </w:tc>
        <w:tc>
          <w:tcPr>
            <w:tcW w:type="dxa" w:w="3744"/>
          </w:tcPr>
          <w:p>
            <w:r/>
            <w:r>
              <w:rPr>
                <w:b w:val="0"/>
                <w:sz w:val="19"/>
              </w:rPr>
              <w:t>Invoice Detail — Gift/Warranty/Other tags, Split, Transfer, Share, Offer eligibility</w:t>
            </w:r>
          </w:p>
        </w:tc>
        <w:tc>
          <w:tcPr>
            <w:tcW w:type="dxa" w:w="5184"/>
          </w:tcPr>
          <w:p>
            <w:r/>
            <w:r>
              <w:rPr>
                <w:b w:val="0"/>
                <w:sz w:val="19"/>
              </w:rPr>
              <w:t>src/components/InvoiceDetailModal.tsx</w:t>
            </w:r>
          </w:p>
        </w:tc>
      </w:tr>
      <w:tr>
        <w:tc>
          <w:tcPr>
            <w:tcW w:type="dxa" w:w="576"/>
          </w:tcPr>
          <w:p>
            <w:r/>
            <w:r>
              <w:rPr>
                <w:b w:val="0"/>
                <w:sz w:val="19"/>
              </w:rPr>
              <w:t>5</w:t>
            </w:r>
          </w:p>
        </w:tc>
        <w:tc>
          <w:tcPr>
            <w:tcW w:type="dxa" w:w="3744"/>
          </w:tcPr>
          <w:p>
            <w:r/>
            <w:r>
              <w:rPr>
                <w:b w:val="0"/>
                <w:sz w:val="19"/>
              </w:rPr>
              <w:t>Offers — Campaign offers pushed to a customer, activation &amp; redemption code</w:t>
            </w:r>
          </w:p>
        </w:tc>
        <w:tc>
          <w:tcPr>
            <w:tcW w:type="dxa" w:w="5184"/>
          </w:tcPr>
          <w:p>
            <w:r/>
            <w:r>
              <w:rPr>
                <w:b w:val="0"/>
                <w:sz w:val="19"/>
              </w:rPr>
              <w:t>src/components/OfferDetailModal.tsx, src/services/offers.ts</w:t>
            </w:r>
          </w:p>
        </w:tc>
      </w:tr>
      <w:tr>
        <w:tc>
          <w:tcPr>
            <w:tcW w:type="dxa" w:w="576"/>
          </w:tcPr>
          <w:p>
            <w:r/>
            <w:r>
              <w:rPr>
                <w:b w:val="0"/>
                <w:sz w:val="19"/>
              </w:rPr>
              <w:t>6</w:t>
            </w:r>
          </w:p>
        </w:tc>
        <w:tc>
          <w:tcPr>
            <w:tcW w:type="dxa" w:w="3744"/>
          </w:tcPr>
          <w:p>
            <w:r/>
            <w:r>
              <w:rPr>
                <w:b w:val="0"/>
                <w:sz w:val="19"/>
              </w:rPr>
              <w:t>Special (Exclusive) — Gifts, Warranties, Split, Transferred, Received, Other</w:t>
            </w:r>
          </w:p>
        </w:tc>
        <w:tc>
          <w:tcPr>
            <w:tcW w:type="dxa" w:w="5184"/>
          </w:tcPr>
          <w:p>
            <w:r/>
            <w:r>
              <w:rPr>
                <w:b w:val="0"/>
                <w:sz w:val="19"/>
              </w:rPr>
              <w:t>src/screens/FoldersScreen.tsx, ExclusiveDetailScreen.tsx</w:t>
            </w:r>
          </w:p>
        </w:tc>
      </w:tr>
      <w:tr>
        <w:tc>
          <w:tcPr>
            <w:tcW w:type="dxa" w:w="576"/>
          </w:tcPr>
          <w:p>
            <w:r/>
            <w:r>
              <w:rPr>
                <w:b w:val="0"/>
                <w:sz w:val="19"/>
              </w:rPr>
              <w:t>7</w:t>
            </w:r>
          </w:p>
        </w:tc>
        <w:tc>
          <w:tcPr>
            <w:tcW w:type="dxa" w:w="3744"/>
          </w:tcPr>
          <w:p>
            <w:r/>
            <w:r>
              <w:rPr>
                <w:b w:val="0"/>
                <w:sz w:val="19"/>
              </w:rPr>
              <w:t>Search — Filter by text, city, date range, category</w:t>
            </w:r>
          </w:p>
        </w:tc>
        <w:tc>
          <w:tcPr>
            <w:tcW w:type="dxa" w:w="5184"/>
          </w:tcPr>
          <w:p>
            <w:r/>
            <w:r>
              <w:rPr>
                <w:b w:val="0"/>
                <w:sz w:val="19"/>
              </w:rPr>
              <w:t>src/screens/SearchScreen.tsx, SearchResultsScreen.tsx</w:t>
            </w:r>
          </w:p>
        </w:tc>
      </w:tr>
      <w:tr>
        <w:tc>
          <w:tcPr>
            <w:tcW w:type="dxa" w:w="576"/>
          </w:tcPr>
          <w:p>
            <w:r/>
            <w:r>
              <w:rPr>
                <w:b w:val="0"/>
                <w:sz w:val="19"/>
              </w:rPr>
              <w:t>8</w:t>
            </w:r>
          </w:p>
        </w:tc>
        <w:tc>
          <w:tcPr>
            <w:tcW w:type="dxa" w:w="3744"/>
          </w:tcPr>
          <w:p>
            <w:r/>
            <w:r>
              <w:rPr>
                <w:b w:val="0"/>
                <w:sz w:val="19"/>
              </w:rPr>
              <w:t>Insights — Spend breakdown by folder</w:t>
            </w:r>
          </w:p>
        </w:tc>
        <w:tc>
          <w:tcPr>
            <w:tcW w:type="dxa" w:w="5184"/>
          </w:tcPr>
          <w:p>
            <w:r/>
            <w:r>
              <w:rPr>
                <w:b w:val="0"/>
                <w:sz w:val="19"/>
              </w:rPr>
              <w:t>src/screens/InsightsScreen.tsx</w:t>
            </w:r>
          </w:p>
        </w:tc>
      </w:tr>
      <w:tr>
        <w:tc>
          <w:tcPr>
            <w:tcW w:type="dxa" w:w="576"/>
          </w:tcPr>
          <w:p>
            <w:r/>
            <w:r>
              <w:rPr>
                <w:b w:val="0"/>
                <w:sz w:val="19"/>
              </w:rPr>
              <w:t>9</w:t>
            </w:r>
          </w:p>
        </w:tc>
        <w:tc>
          <w:tcPr>
            <w:tcW w:type="dxa" w:w="3744"/>
          </w:tcPr>
          <w:p>
            <w:r/>
            <w:r>
              <w:rPr>
                <w:b w:val="0"/>
                <w:sz w:val="19"/>
              </w:rPr>
              <w:t>Profile — Avyaya ID / QR, account info, log out, update check</w:t>
            </w:r>
          </w:p>
        </w:tc>
        <w:tc>
          <w:tcPr>
            <w:tcW w:type="dxa" w:w="5184"/>
          </w:tcPr>
          <w:p>
            <w:r/>
            <w:r>
              <w:rPr>
                <w:b w:val="0"/>
                <w:sz w:val="19"/>
              </w:rPr>
              <w:t>src/screens/ProfileScreen.tsx</w:t>
            </w:r>
          </w:p>
        </w:tc>
      </w:tr>
      <w:tr>
        <w:tc>
          <w:tcPr>
            <w:tcW w:type="dxa" w:w="576"/>
          </w:tcPr>
          <w:p>
            <w:r/>
            <w:r>
              <w:rPr>
                <w:b w:val="0"/>
                <w:sz w:val="19"/>
              </w:rPr>
              <w:t>10</w:t>
            </w:r>
          </w:p>
        </w:tc>
        <w:tc>
          <w:tcPr>
            <w:tcW w:type="dxa" w:w="3744"/>
          </w:tcPr>
          <w:p>
            <w:r/>
            <w:r>
              <w:rPr>
                <w:b w:val="0"/>
                <w:sz w:val="19"/>
              </w:rPr>
              <w:t>Merchant tools (reference) — POS bill generation &amp; campaign offer builder</w:t>
            </w:r>
          </w:p>
        </w:tc>
        <w:tc>
          <w:tcPr>
            <w:tcW w:type="dxa" w:w="5184"/>
          </w:tcPr>
          <w:p>
            <w:r/>
            <w:r>
              <w:rPr>
                <w:b w:val="0"/>
                <w:sz w:val="19"/>
              </w:rPr>
              <w:t>pos-web/, pos-web-grocery/, campaign-groceries/, campaign-restaurant/</w:t>
            </w:r>
          </w:p>
        </w:tc>
      </w:tr>
    </w:tbl>
    <w:p/>
    <w:p>
      <w:pPr>
        <w:pStyle w:val="Heading1"/>
      </w:pPr>
      <w:r>
        <w:rPr>
          <w:color w:val="0E2A47"/>
        </w:rPr>
        <w:t>2. Module Requirements</w:t>
      </w:r>
    </w:p>
    <w:p>
      <w:pPr>
        <w:pStyle w:val="Heading2"/>
      </w:pPr>
      <w:r>
        <w:rPr>
          <w:color w:val="0E2A47"/>
        </w:rPr>
        <w:t>Module 1 — Onboarding (Sign Up / Log In)</w:t>
      </w:r>
    </w:p>
    <w:p>
      <w:r>
        <w:rPr>
          <w:b w:val="0"/>
          <w:i w:val="0"/>
          <w:sz w:val="21"/>
        </w:rPr>
        <w:t>Purpose: let a new user create a verified Avyaya account, and let a returning user sign back in, without ever locking them out silently.</w:t>
      </w:r>
    </w:p>
    <w:p>
      <w:pPr>
        <w:pStyle w:val="Heading3"/>
      </w:pPr>
      <w:r>
        <w:rPr>
          <w:color w:val="0D9B8A"/>
        </w:rPr>
        <w:t>Functional requirements</w:t>
      </w:r>
    </w:p>
    <w:p>
      <w:pPr>
        <w:pStyle w:val="ListBullet"/>
      </w:pPr>
      <w:r>
        <w:t>The app opens to a single card that toggles between Sign Up and Log In — no separate screens, no stepper.</w:t>
      </w:r>
    </w:p>
    <w:p>
      <w:pPr>
        <w:pStyle w:val="ListBullet"/>
      </w:pPr>
      <w:r>
        <w:t>Sign Up collects first name, last name, email, password, and a confirm-password field; a mismatch between password and confirm-password shows an inline red warning in real time, before the form is submitted.</w:t>
      </w:r>
    </w:p>
    <w:p>
      <w:pPr>
        <w:pStyle w:val="ListBullet"/>
      </w:pPr>
      <w:r>
        <w:t>Email must match a basic email pattern and password must be at least 6 characters before the account is created (enforced client-side; Firebase Auth enforces the same password minimum server-side as a second gate).</w:t>
      </w:r>
    </w:p>
    <w:p>
      <w:pPr>
        <w:pStyle w:val="ListBullet"/>
      </w:pPr>
      <w:r>
        <w:t>On successful sign-up, the user is NOT logged in immediately. A verification email is sent, and the screen switches to a 'Check your inbox' panel; the account record is created in Firestore at this point, but the app will not treat the user as logged in until they verify and log in again.</w:t>
      </w:r>
    </w:p>
    <w:p>
      <w:pPr>
        <w:pStyle w:val="ListBullet"/>
      </w:pPr>
      <w:r>
        <w:t>Log In accepts email + password. If the account's email is not yet verified, login is blocked with an explicit message and a 'Resend verification email' link appears.</w:t>
      </w:r>
    </w:p>
    <w:p>
      <w:pPr>
        <w:pStyle w:val="ListBullet"/>
      </w:pPr>
      <w:r>
        <w:t>'Forgot password?' sends a Firebase password-reset email to whatever is currently typed in the email field; if that field isn't a valid email yet, the user is told to fill it in first instead of silently failing.</w:t>
      </w:r>
    </w:p>
    <w:p>
      <w:pPr>
        <w:pStyle w:val="ListBullet"/>
      </w:pPr>
      <w:r>
        <w:t>Every Firebase Auth error code (wrong password, unknown user, email already in use, weak password, too many attempts, invalid email) is translated into a specific, human-readable message — never a raw error code.</w:t>
      </w:r>
    </w:p>
    <w:p>
      <w:pPr>
        <w:pStyle w:val="ListBullet"/>
      </w:pPr>
      <w:r>
        <w:t>A manual 'check for updates' link sits at the bottom of the onboarding card (and again in Profile) so a user stuck on a stale build can force an OTA check even before logging in.</w:t>
      </w:r>
    </w:p>
    <w:p>
      <w:pPr>
        <w:pStyle w:val="Heading3"/>
      </w:pPr>
      <w:r>
        <w:rPr>
          <w:color w:val="0D9B8A"/>
        </w:rPr>
        <w:t>Known limitation (not a defect — by design in this build)</w:t>
      </w:r>
    </w:p>
    <w:p>
      <w:r>
        <w:rPr>
          <w:b w:val="0"/>
          <w:i/>
          <w:sz w:val="21"/>
        </w:rPr>
        <w:t>There is no gesture-based 'swipe to dismiss' on this screen. What a user experiences as 'swiping' here is ordinary scrolling inside a ScrollView — confirmed in source comments describing a real, now-fixed bug where centered content made the form impossible to scroll up to reach fields hidden behind the keyboard. See Module 4 for the same clarification on modal sheets.</w:t>
      </w:r>
    </w:p>
    <w:p>
      <w:pPr>
        <w:pStyle w:val="Heading2"/>
      </w:pPr>
      <w:r>
        <w:rPr>
          <w:color w:val="0E2A47"/>
        </w:rPr>
        <w:t>Module 2 — Home</w:t>
      </w:r>
    </w:p>
    <w:p>
      <w:r>
        <w:rPr>
          <w:b w:val="0"/>
          <w:i w:val="0"/>
          <w:sz w:val="21"/>
        </w:rPr>
        <w:t>Purpose: a single landing screen summarizing everything tracked, with fast access to the most recent activity.</w:t>
      </w:r>
    </w:p>
    <w:p>
      <w:pPr>
        <w:pStyle w:val="ListBullet"/>
      </w:pPr>
      <w:r>
        <w:t>Greets the user by first name and shows a live stat strip: total invoice count, total amount tracked (with a masked '₹••,•••' alternative available for privacy), the current month label, and a trend percentage.</w:t>
      </w:r>
    </w:p>
    <w:p>
      <w:pPr>
        <w:pStyle w:val="ListBullet"/>
      </w:pPr>
      <w:r>
        <w:t>A 2-column folder grid lists every category folder with its own invoice count and running total; tapping a folder opens Folder Detail (Module 3).</w:t>
      </w:r>
    </w:p>
    <w:p>
      <w:pPr>
        <w:pStyle w:val="ListBullet"/>
      </w:pPr>
      <w:r>
        <w:t>A 'Latest Bills' section surfaces the 4 most recent invoices that actually came from a live POS push (have a real timestamp) — curated sample data and transferred-away invoices are excluded from this list.</w:t>
      </w:r>
    </w:p>
    <w:p>
      <w:pPr>
        <w:pStyle w:val="ListBullet"/>
      </w:pPr>
      <w:r>
        <w:t>A search field filters the folder grid itself by folder name; a separate sort control cycles through Default, Highest spend, Most invoices, and A–Z, confirming the new order with a toast each time.</w:t>
      </w:r>
    </w:p>
    <w:p>
      <w:pPr>
        <w:pStyle w:val="ListBullet"/>
      </w:pPr>
      <w:r>
        <w:t>Tapping a Latest Bills row marks that invoice as seen and opens its full Invoice Detail modal.</w:t>
      </w:r>
    </w:p>
    <w:p>
      <w:pPr>
        <w:pStyle w:val="Heading2"/>
      </w:pPr>
      <w:r>
        <w:rPr>
          <w:color w:val="0E2A47"/>
        </w:rPr>
        <w:t>Module 3 — Folder Detail</w:t>
      </w:r>
    </w:p>
    <w:p>
      <w:pPr>
        <w:pStyle w:val="ListBullet"/>
      </w:pPr>
      <w:r>
        <w:t>Shows two side-by-side lists for one folder: Invoices (left) and Offers (right), each with its own live count pill.</w:t>
      </w:r>
    </w:p>
    <w:p>
      <w:pPr>
        <w:pStyle w:val="ListBullet"/>
      </w:pPr>
      <w:r>
        <w:t>Invoices from a real POS push are visually distinguished (teal border/tint) from curated sample invoices; a 'NEW' tag marks an unseen live invoice, and a 'TRANSFERRED' tag with a red tint marks one handed off to someone else.</w:t>
      </w:r>
    </w:p>
    <w:p>
      <w:pPr>
        <w:pStyle w:val="ListBullet"/>
      </w:pPr>
      <w:r>
        <w:t>A 'Select' mode lets the user multi-select invoices and Share a plain-text summary (store, date, amount per line, plus a grand total) via the OS share sheet.</w:t>
      </w:r>
    </w:p>
    <w:p>
      <w:pPr>
        <w:pStyle w:val="ListBullet"/>
      </w:pPr>
      <w:r>
        <w:t>Offers shown here mix two sources: (a) live offers pushed by a merchant campaign for this exact customer+folder, tagged FOR YOU / ACTIVATED / REDEEMED depending on state, and (b) built-in sample 'expired' offers used purely as design filler. A live offer whose own expiry timestamp has passed is shown exactly like an expired sample offer.</w:t>
      </w:r>
    </w:p>
    <w:p>
      <w:pPr>
        <w:pStyle w:val="ListBullet"/>
      </w:pPr>
      <w:r>
        <w:t>Tapping an expired offer shows a toast ('This offer has expired.') instead of opening it; tapping a live offer opens the Offer Detail modal (Module 5).</w:t>
      </w:r>
    </w:p>
    <w:p>
      <w:pPr>
        <w:pStyle w:val="Heading2"/>
      </w:pPr>
      <w:r>
        <w:rPr>
          <w:color w:val="0E2A47"/>
        </w:rPr>
        <w:t>Module 4 — Invoice Detail</w:t>
      </w:r>
    </w:p>
    <w:p>
      <w:r>
        <w:rPr>
          <w:b w:val="0"/>
          <w:i w:val="0"/>
          <w:sz w:val="21"/>
        </w:rPr>
        <w:t>The modal sheet opened from almost every invoice row across the app (Home, Folder Detail, Search Results, Exclusive).</w:t>
      </w:r>
    </w:p>
    <w:p>
      <w:pPr>
        <w:pStyle w:val="ListBullet"/>
      </w:pPr>
      <w:r>
        <w:t>Shows the full line-item breakdown, subtotal, discount, tax, and total exactly as the merchant's POS recorded it.</w:t>
      </w:r>
    </w:p>
    <w:p>
      <w:pPr>
        <w:pStyle w:val="ListBullet"/>
      </w:pPr>
      <w:r>
        <w:t>Three toggle tags — Gift, Warranty, Other — can be applied independently; turning any one on surfaces that invoice in the matching Special/Exclusive list (Module 6) and shows a 'Also shows up in your Exclusive folder' hint.</w:t>
      </w:r>
    </w:p>
    <w:p>
      <w:pPr>
        <w:pStyle w:val="ListBullet"/>
      </w:pPr>
      <w:r>
        <w:t>Split: splits the invoice's total among a chosen set of contacts; the customer's own share then replaces the full amount everywhere that invoice's total is used (folder totals, Home stats, Search results) — the original invoice copy itself still shows the full, undivided amount for reference.</w:t>
      </w:r>
    </w:p>
    <w:p>
      <w:pPr>
        <w:pStyle w:val="ListBullet"/>
      </w:pPr>
      <w:r>
        <w:t>Transfer: hands the entire invoice to someone else by name/contact. A transferred invoice is excluded from the user's own invoice count and totals everywhere, shown with a negative amount and a 'TRANSFERRED' tag, and can be undone via 'Undo transfer' before the recipient side is wired up.</w:t>
      </w:r>
    </w:p>
    <w:p>
      <w:pPr>
        <w:pStyle w:val="ListBullet"/>
      </w:pPr>
      <w:r>
        <w:t>An offer-eligibility banner appears automatically (no user action needed) when this invoice already qualifies for one of the customer's pushed offers for that merchant — matched on category keywords, minimum-spend text parsing, and the offer's own percent/free-item/category logic. It reads '🎁 {percent} applied' plus the exact reason it qualifies, mirroring the same eligibility logic the merchant's own POS checkout screen uses.</w:t>
      </w:r>
    </w:p>
    <w:p>
      <w:pPr>
        <w:pStyle w:val="ListBullet"/>
      </w:pPr>
      <w:r>
        <w:t>Share re-sends the invoice's plain-text summary via the OS share sheet, same mechanism as the folder-level multi-share in Module 3.</w:t>
      </w:r>
    </w:p>
    <w:p>
      <w:pPr>
        <w:pStyle w:val="Heading3"/>
      </w:pPr>
      <w:r>
        <w:rPr>
          <w:color w:val="0D9B8A"/>
        </w:rPr>
        <w:t>Known limitation</w:t>
      </w:r>
    </w:p>
    <w:p>
      <w:r>
        <w:rPr>
          <w:b w:val="0"/>
          <w:i/>
          <w:sz w:val="21"/>
        </w:rPr>
        <w:t>This is a transparent, slide-animated React Native Modal, not a native bottom sheet — it is dismissed by tapping its Close control, tapping outside it, or the Android hardware back button, not by a literal downward swipe gesture. Every other modal in the app (Offer Detail, Split Participants, Contact Picker, Date Picker, Quick QR) follows this same pattern.</w:t>
      </w:r>
    </w:p>
    <w:p>
      <w:pPr>
        <w:pStyle w:val="Heading2"/>
      </w:pPr>
      <w:r>
        <w:rPr>
          <w:color w:val="0E2A47"/>
        </w:rPr>
        <w:t>Module 5 — Offers</w:t>
      </w:r>
    </w:p>
    <w:p>
      <w:pPr>
        <w:pStyle w:val="ListBullet"/>
      </w:pPr>
      <w:r>
        <w:t>An offer pushed by a merchant's campaign tool lands in Firestore tagged to one customer's Avyaya ID and one folder (Food or Groceries today); it appears in that folder's Offers list the moment it's written — no polling delay, Firestore's live listener pushes it straight to the device.</w:t>
      </w:r>
    </w:p>
    <w:p>
      <w:pPr>
        <w:pStyle w:val="ListBullet"/>
      </w:pPr>
      <w:r>
        <w:t>A customer activates an offer from its detail sheet; activating generates a short redemption code derived deterministically from the offer's own Firestore document ID, so the exact same code is computed independently by the merchant's POS screen when it scans the customer's QR — no separate code-distribution step needed.</w:t>
      </w:r>
    </w:p>
    <w:p>
      <w:pPr>
        <w:pStyle w:val="ListBullet"/>
      </w:pPr>
      <w:r>
        <w:t>Once a merchant's POS actually applies an activated offer to a real bill, the offer is marked redeemed and can never be reused — 'activated' stays true as a historical record, but 'redeemed' is terminal.</w:t>
      </w:r>
    </w:p>
    <w:p>
      <w:pPr>
        <w:pStyle w:val="ListBullet"/>
      </w:pPr>
      <w:r>
        <w:t>An offer carries its own expiry timestamp set by the campaign; once passed, it behaves identically to a built-in sample 'expired' offer for display purposes.</w:t>
      </w:r>
    </w:p>
    <w:p>
      <w:pPr>
        <w:pStyle w:val="Heading2"/>
      </w:pPr>
      <w:r>
        <w:rPr>
          <w:color w:val="0E2A47"/>
        </w:rPr>
        <w:t>Module 6 — Special / Exclusive</w:t>
      </w:r>
    </w:p>
    <w:p>
      <w:pPr>
        <w:pStyle w:val="ListBullet"/>
      </w:pPr>
      <w:r>
        <w:t>A single list of 6 categories — Gift, Warranty, Split, Transferred, Received, Other — each showing a live count across every folder, not just one.</w:t>
      </w:r>
    </w:p>
    <w:p>
      <w:pPr>
        <w:pStyle w:val="ListBullet"/>
      </w:pPr>
      <w:r>
        <w:t>'Received' is reserved for a future account-to-account transfer feature and is explicitly documented as empty by design in this build — only handing an invoice away (the Transfer action in Module 4) is implemented; the receiving side is not.</w:t>
      </w:r>
    </w:p>
    <w:p>
      <w:pPr>
        <w:pStyle w:val="ListBullet"/>
      </w:pPr>
      <w:r>
        <w:t>Opening any category filters every invoice across all folders down to just that tag, re-using the same Invoice Detail modal to view each one.</w:t>
      </w:r>
    </w:p>
    <w:p>
      <w:pPr>
        <w:pStyle w:val="Heading2"/>
      </w:pPr>
      <w:r>
        <w:rPr>
          <w:color w:val="0E2A47"/>
        </w:rPr>
        <w:t>Module 7 — Search</w:t>
      </w:r>
    </w:p>
    <w:p>
      <w:pPr>
        <w:pStyle w:val="ListBullet"/>
      </w:pPr>
      <w:r>
        <w:t>A single Search screen builds a filter (free-text query, city, date range via two date pickers, and one or more category chips) and shows a live running match count before the user commits to it.</w:t>
      </w:r>
    </w:p>
    <w:p>
      <w:pPr>
        <w:pStyle w:val="ListBullet"/>
      </w:pPr>
      <w:r>
        <w:t>Date range defaults to the 1st of the current month through today, and cannot be set earlier than Avyaya's own launch month (Jan 2026) on either end.</w:t>
      </w:r>
    </w:p>
    <w:p>
      <w:pPr>
        <w:pStyle w:val="ListBullet"/>
      </w:pPr>
      <w:r>
        <w:t>Only India / all-cities-in-India are supported today; selecting a non-India country shows a toast rather than pretending to filter by it.</w:t>
      </w:r>
    </w:p>
    <w:p>
      <w:pPr>
        <w:pStyle w:val="ListBullet"/>
      </w:pPr>
      <w:r>
        <w:t>'Apply Filters' navigates to a dedicated Results screen carrying the same filters as navigation params, so the result list recomputes independently of whatever state Search itself is in afterward.</w:t>
      </w:r>
    </w:p>
    <w:p>
      <w:pPr>
        <w:pStyle w:val="ListBullet"/>
      </w:pPr>
      <w:r>
        <w:t>Transferred invoices are excluded from every search match count and result, exactly as they are everywhere else.</w:t>
      </w:r>
    </w:p>
    <w:p>
      <w:pPr>
        <w:pStyle w:val="Heading2"/>
      </w:pPr>
      <w:r>
        <w:rPr>
          <w:color w:val="0E2A47"/>
        </w:rPr>
        <w:t>Module 8 — Insights</w:t>
      </w:r>
    </w:p>
    <w:p>
      <w:r>
        <w:rPr>
          <w:b w:val="0"/>
          <w:i w:val="0"/>
          <w:sz w:val="21"/>
        </w:rPr>
        <w:t>The simplest module: one screen, a running total/count header, and a single pie-chart breakdown of spend by folder (SpendPieChart component), sourced from the same combined-invoices hook every other screen uses, so the numbers always agree with Home and Folder Detail.</w:t>
      </w:r>
    </w:p>
    <w:p>
      <w:pPr>
        <w:pStyle w:val="Heading2"/>
      </w:pPr>
      <w:r>
        <w:rPr>
          <w:color w:val="0E2A47"/>
        </w:rPr>
        <w:t>Module 9 — Profile</w:t>
      </w:r>
    </w:p>
    <w:p>
      <w:pPr>
        <w:pStyle w:val="ListBullet"/>
      </w:pPr>
      <w:r>
        <w:t>Tapping the user's avatar initial reveals (with an animated expand/collapse) a QR code and the user's own Avyaya ID — this is the code shown at a partner checkout to link a new invoice to this account.</w:t>
      </w:r>
    </w:p>
    <w:p>
      <w:pPr>
        <w:pStyle w:val="ListBullet"/>
      </w:pPr>
      <w:r>
        <w:t>Shows name, email, city, birth month/year if set, and a device label.</w:t>
      </w:r>
    </w:p>
    <w:p>
      <w:pPr>
        <w:pStyle w:val="ListBullet"/>
      </w:pPr>
      <w:r>
        <w:t>Settings rows (Account details, Notifications, Appearance, Export &amp; backup, Help &amp; support) are present in the UI but each currently shows a toast saying it isn't built in this preview — they are placeholders, not bugs.</w:t>
      </w:r>
    </w:p>
    <w:p>
      <w:pPr>
        <w:pStyle w:val="ListBullet"/>
      </w:pPr>
      <w:r>
        <w:t>Log out requires an explicit confirmation dialog warning that the user will need their email and password to log back in, and states clearly that there is no automatic session timeout — a user stays logged in indefinitely until they choose to log out here.</w:t>
      </w:r>
    </w:p>
    <w:p>
      <w:pPr>
        <w:pStyle w:val="ListBullet"/>
      </w:pPr>
      <w:r>
        <w:t>A manual update-check control (tap the build-version label) forces an immediate OTA update check, independent of the app's normal background check.</w:t>
      </w:r>
    </w:p>
    <w:p>
      <w:pPr>
        <w:pStyle w:val="Heading2"/>
      </w:pPr>
      <w:r>
        <w:rPr>
          <w:color w:val="0E2A47"/>
        </w:rPr>
        <w:t>Module 10 — Merchant tools (reference)</w:t>
      </w:r>
    </w:p>
    <w:p>
      <w:r>
        <w:rPr>
          <w:b w:val="0"/>
          <w:i w:val="0"/>
          <w:sz w:val="21"/>
        </w:rPr>
        <w:t>Two browser-based POS pages (pos-web for Food, pos-web-grocery for Groceries) let a merchant scan/enter a customer's Avyaya ID, build a cart, and push a real invoice straight into that customer's matching folder. Two campaign-builder pages (campaign-restaurant, campaign-groceries) let a merchant choose a tier (Basic/Standard/Premium), pick targeting criteria, set a discount percentage and a capping amount per criterion, and submit the campaign — which both saves the campaign to Firestore and opens a pre-filled email to Avyaya's operations inbox with the merchant's details and the selected package, since there is no backend to auto-provision a new campaign today.</w:t>
      </w:r>
    </w:p>
    <w:p>
      <w:r>
        <w:br w:type="page"/>
      </w:r>
    </w:p>
    <w:p>
      <w:pPr>
        <w:pStyle w:val="Heading1"/>
      </w:pPr>
      <w:r>
        <w:rPr>
          <w:color w:val="0E2A47"/>
        </w:rPr>
        <w:t>3. Dynamic Offer Eligibility — Worked Example</w:t>
      </w:r>
    </w:p>
    <w:p>
      <w:r>
        <w:rPr>
          <w:b w:val="0"/>
          <w:i w:val="0"/>
          <w:sz w:val="21"/>
        </w:rPr>
        <w:t>This section directly answers the scenario raised during requirements review: 'An existing customer who received an offer saying 20% off desserts on an invoice over ₹300, applicable only when the invoice actually has desserts on it — can we action such offers dynamically in the app?'</w:t>
      </w:r>
    </w:p>
    <w:p>
      <w:r>
        <w:rPr>
          <w:b w:val="0"/>
          <w:i w:val="0"/>
          <w:sz w:val="21"/>
        </w:rPr>
        <w:t>Yes — and this is implemented, not hypothetical. The logic lives in src/utils/offerEligibility.ts and runs automatically every time an invoice is opened (Module 4), with no merchant or customer action required to trigger the check:</w:t>
      </w:r>
    </w:p>
    <w:p>
      <w:pPr>
        <w:pStyle w:val="ListNumber"/>
      </w:pPr>
      <w:r>
        <w:t>The invoice's merchant name is matched against the offer's merchant — an offer only ever evaluates against invoices from the same business that issued it.</w:t>
      </w:r>
    </w:p>
    <w:p>
      <w:pPr>
        <w:pStyle w:val="ListNumber"/>
      </w:pPr>
      <w:r>
        <w:t>The offer's free-text description is parsed for a minimum-spend phrase (e.g. 'over ₹300', 'above ₹300') using a regular expression; if the invoice's subtotal doesn't clear that threshold, it is not eligible, full stop.</w:t>
      </w:r>
    </w:p>
    <w:p>
      <w:pPr>
        <w:pStyle w:val="ListNumber"/>
      </w:pPr>
      <w:r>
        <w:t>If the offer is category-scoped (e.g. 'desserts'), every line item on the invoice is checked against a keyword dictionary mapping common dish/product names to category groups (desserts, snacks, beverages, dairy, produce, etc.) — the invoice must contain at least one matching item.</w:t>
      </w:r>
    </w:p>
    <w:p>
      <w:pPr>
        <w:pStyle w:val="ListNumber"/>
      </w:pPr>
      <w:r>
        <w:t>If both checks pass, the eligibility banner renders on that invoice automatically: '🎁 20% off applied' with the exact qualifying reason underneath, computed fresh every time the invoice is opened — it is not a static label written once at invoice-creation time.</w:t>
      </w:r>
    </w:p>
    <w:p>
      <w:r>
        <w:rPr>
          <w:b w:val="0"/>
          <w:i/>
          <w:sz w:val="21"/>
        </w:rPr>
        <w:t>The same evaluation function is shared, byte-for-byte in logic, between the consumer app and the merchant's own POS checkout screen, so a cashier applying a discount at checkout and the app telling a customer an invoice already qualifies will never disagree about whether an offer applies.</w:t>
      </w:r>
    </w:p>
    <w:p>
      <w:r>
        <w:br w:type="page"/>
      </w:r>
    </w:p>
    <w:p>
      <w:pPr>
        <w:pStyle w:val="Heading1"/>
      </w:pPr>
      <w:r>
        <w:rPr>
          <w:color w:val="0E2A47"/>
        </w:rPr>
        <w:t>4. Appendix — Resolved Issue: Existing-User Login Failures</w:t>
      </w:r>
    </w:p>
    <w:p>
      <w:r>
        <w:rPr>
          <w:b w:val="0"/>
          <w:i w:val="0"/>
          <w:sz w:val="21"/>
        </w:rPr>
        <w:t>Separately from the BRD proper, this section records the root cause and resolution of the login-failure reports raised during this engagement, since it materially affects Module 1's test coverage.</w:t>
      </w:r>
    </w:p>
    <w:p>
      <w:pPr>
        <w:pStyle w:val="Heading3"/>
      </w:pPr>
      <w:r>
        <w:rPr>
          <w:color w:val="0D9B8A"/>
        </w:rPr>
        <w:t>Root cause</w:t>
      </w:r>
    </w:p>
    <w:p>
      <w:r>
        <w:rPr>
          <w:b w:val="0"/>
          <w:i w:val="0"/>
          <w:sz w:val="21"/>
        </w:rPr>
        <w:t>17 of 23 total customer profiles in Firestore had been created by an older, pre-Firebase-Auth signup flow. Those profiles stored a plaintext password directly on the Firestore document and were never given a real Firebase Authentication account — so when the app's current login screen (Module 1) tried to authenticate them through Firebase Auth, there was nothing for Firebase to check against, and login failed for every one of those 17 users, independent of whether their password was correct.</w:t>
      </w:r>
    </w:p>
    <w:p>
      <w:pPr>
        <w:pStyle w:val="Heading3"/>
      </w:pPr>
      <w:r>
        <w:rPr>
          <w:color w:val="0D9B8A"/>
        </w:rPr>
        <w:t>Fix applied</w:t>
      </w:r>
    </w:p>
    <w:p>
      <w:r>
        <w:rPr>
          <w:b w:val="0"/>
          <w:i w:val="0"/>
          <w:sz w:val="21"/>
        </w:rPr>
        <w:t>All 17 legacy profiles were migrated: a real Firebase Auth account was created for each (preserving their original email and password), a verification email was sent to each address, and the plaintext password field was then removed from Firestore so it is never stored unencrypted again. One duplicate-email collision (two profiles sharing the same email address) was resolved by keeping the account confirmed as authentic by the account holder and cleaning up the orphaned duplicate record.</w:t>
      </w:r>
    </w:p>
    <w:p>
      <w:pPr>
        <w:pStyle w:val="Heading3"/>
      </w:pPr>
      <w:r>
        <w:rPr>
          <w:color w:val="0D9B8A"/>
        </w:rPr>
        <w:t>Current state</w:t>
      </w:r>
    </w:p>
    <w:p>
      <w:r>
        <w:rPr>
          <w:b w:val="0"/>
          <w:i w:val="0"/>
          <w:sz w:val="21"/>
        </w:rPr>
        <w:t>All 23 profiles now authenticate through Firebase Auth exactly the same way; no separate code path or special casing was introduced, keeping Module 1's behavior uniform across every account regardless of when it was originally created.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