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52606D"/>
          <w:spacing w:val="40"/>
          <w:sz w:val="18"/>
          <w:szCs w:val="18"/>
        </w:rPr>
        <w:t xml:space="preserve">MAPA DA PRESCRIÇÃO</w:t>
      </w:r>
    </w:p>
    <w:p>
      <w:pPr>
        <w:spacing w:after="160"/>
      </w:pPr>
      <w:r>
        <w:rPr>
          <w:b/>
          <w:bCs/>
          <w:color w:val="1F2933"/>
          <w:sz w:val="44"/>
          <w:szCs w:val="44"/>
        </w:rPr>
        <w:t xml:space="preserve">A lógica por trás da prescrição</w:t>
      </w:r>
    </w:p>
    <w:p>
      <w:pPr>
        <w:spacing w:after="100" w:line="276"/>
      </w:pPr>
      <w:r>
        <w:rPr>
          <w:color w:val="52606D"/>
          <w:sz w:val="22"/>
          <w:szCs w:val="22"/>
        </w:rPr>
        <w:t xml:space="preserve">Documento para o profissional de Educação Física. Explica </w:t>
      </w:r>
      <w:r>
        <w:rPr>
          <w:b/>
          <w:bCs/>
          <w:color w:val="52606D"/>
          <w:sz w:val="22"/>
          <w:szCs w:val="22"/>
        </w:rPr>
        <w:t xml:space="preserve">como o sistema decide</w:t>
      </w:r>
      <w:r>
        <w:rPr>
          <w:color w:val="52606D"/>
          <w:sz w:val="22"/>
          <w:szCs w:val="22"/>
        </w:rPr>
        <w:t xml:space="preserve">, em linguagem de treino, não de software.</w:t>
      </w:r>
    </w:p>
    <w:p>
      <w:pPr>
        <w:pBdr>
          <w:bottom w:val="single" w:color="1F2933" w:sz="12" w:space="10"/>
        </w:pBdr>
        <w:spacing w:after="260"/>
      </w:pPr>
      <w:r>
        <w:rPr>
          <w:color w:val="52606D"/>
          <w:sz w:val="20"/>
          <w:szCs w:val="20"/>
        </w:rPr>
        <w:t xml:space="preserve">Atualizado em 06 de agosto de 2026</w:t>
      </w:r>
    </w:p>
    <w:p>
      <w:pPr>
        <w:spacing w:after="120"/>
      </w:pPr>
    </w:p>
    <w:p>
      <w:pPr>
        <w:pStyle w:val="Heading1"/>
        <w:pBdr>
          <w:bottom w:val="single" w:color="C9D2DB" w:sz="6" w:space="6"/>
        </w:pBdr>
        <w:spacing w:after="200" w:before="420"/>
      </w:pPr>
      <w:r>
        <w:rPr>
          <w:b/>
          <w:bCs/>
          <w:color w:val="1F2933"/>
          <w:sz w:val="30"/>
          <w:szCs w:val="30"/>
        </w:rPr>
        <w:t xml:space="preserve">1. O acervo, em números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5600"/>
        <w:gridCol w:w="4038"/>
      </w:tblGrid>
      <w:tr>
        <w:trPr>
          <w:tblHeader w:val="false"/>
        </w:trP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Referências no motor de prescrição</w:t>
            </w:r>
          </w:p>
        </w:tc>
        <w:tc>
          <w:tcPr>
            <w:tcW w:type="dxa" w:w="40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108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Com DOI</w:t>
            </w:r>
          </w:p>
        </w:tc>
        <w:tc>
          <w:tcPr>
            <w:tcW w:type="dxa" w:w="40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t xml:space="preserve">94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Com PMID</w:t>
            </w:r>
          </w:p>
        </w:tc>
        <w:tc>
          <w:tcPr>
            <w:tcW w:type="dxa" w:w="40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t xml:space="preserve">46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Sem identificador conferível</w:t>
            </w:r>
          </w:p>
        </w:tc>
        <w:tc>
          <w:tcPr>
            <w:tcW w:type="dxa" w:w="40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t xml:space="preserve">12 (diretrizes, livros e clássicos anteriores ao DOI)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Condições de saúde com regra própria</w:t>
            </w:r>
          </w:p>
        </w:tc>
        <w:tc>
          <w:tcPr>
            <w:tcW w:type="dxa" w:w="40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t xml:space="preserve">23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Referências distintas sustentando as regras clínicas</w:t>
            </w:r>
          </w:p>
        </w:tc>
        <w:tc>
          <w:tcPr>
            <w:tcW w:type="dxa" w:w="40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t xml:space="preserve">47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Média de referências por condição</w:t>
            </w:r>
          </w:p>
        </w:tc>
        <w:tc>
          <w:tcPr>
            <w:tcW w:type="dxa" w:w="40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t xml:space="preserve">4,0 (mínimo 2, máximo 8)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t xml:space="preserve">Distribuição por época: 7 anteriores a 2000, 20 de 2000 a 2009, 16 de 2010 a 2014, 23 de 2015 a 2019 e </w:t>
      </w:r>
      <w:r>
        <w:rPr>
          <w:b/>
          <w:bCs/>
        </w:rPr>
        <w:t xml:space="preserve">42 de 2020 em diante</w:t>
      </w:r>
      <w:r>
        <w:t xml:space="preserve">. Quase 40% do acervo é da década atual.</w:t>
      </w:r>
    </w:p>
    <w:p>
      <w:pPr>
        <w:spacing w:after="160" w:line="276"/>
      </w:pPr>
      <w:r>
        <w:t xml:space="preserve">Esses números não aparecem no site, por decisão do fundador, e a razão é boa: contagem exposta é contagem contestável, e o valor não está no tamanho do acervo e sim em cada recomendação ter fonte própria.</w:t>
      </w:r>
    </w:p>
    <w:p>
      <w:pPr>
        <w:pStyle w:val="Heading1"/>
        <w:pBdr>
          <w:bottom w:val="single" w:color="C9D2DB" w:sz="6" w:space="6"/>
        </w:pBdr>
        <w:spacing w:after="200" w:before="420"/>
      </w:pPr>
      <w:r>
        <w:rPr>
          <w:b/>
          <w:bCs/>
          <w:color w:val="1F2933"/>
          <w:sz w:val="30"/>
          <w:szCs w:val="30"/>
        </w:rPr>
        <w:t xml:space="preserve">2. A pergunta que o sistema responde</w:t>
      </w:r>
    </w:p>
    <w:p>
      <w:pPr>
        <w:spacing w:after="160" w:line="276"/>
      </w:pPr>
      <w:r>
        <w:t xml:space="preserve">Não é "qual o melhor exercício". É </w:t>
      </w:r>
      <w:r>
        <w:rPr>
          <w:b/>
          <w:bCs/>
        </w:rPr>
        <w:t xml:space="preserve">"o que muda no treino desta pessoa por causa do que ela tem"</w:t>
      </w:r>
      <w:r>
        <w:t xml:space="preserve">, e a resposta se monta em camadas que se aplicam nesta ordem: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b/>
          <w:bCs/>
        </w:rPr>
        <w:t xml:space="preserve">O objetivo</w:t>
      </w:r>
      <w:r>
        <w:t xml:space="preserve"> define a faixa de trabalho (séries, repetições, intensidade, intervalo).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b/>
          <w:bCs/>
        </w:rPr>
        <w:t xml:space="preserve">A condição de saúde</w:t>
      </w:r>
      <w:r>
        <w:t xml:space="preserve"> aperta ou desloca essa faixa, e escolhe ênfase de modalidade.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b/>
          <w:bCs/>
        </w:rPr>
        <w:t xml:space="preserve">As restrições físicas</w:t>
      </w:r>
      <w:r>
        <w:t xml:space="preserve"> removem ou rebaixam exercícios incompatíveis.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b/>
          <w:bCs/>
        </w:rPr>
        <w:t xml:space="preserve">Os fármacos</w:t>
      </w:r>
      <w:r>
        <w:t xml:space="preserve"> podem invalidar um instrumento de monitoramento.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b/>
          <w:bCs/>
        </w:rPr>
        <w:t xml:space="preserve">O semáforo do dia</w:t>
      </w:r>
      <w:r>
        <w:t xml:space="preserve"> decide se a sessão acontece como planejada.</w:t>
      </w:r>
    </w:p>
    <w:p>
      <w:pPr>
        <w:spacing w:after="80"/>
      </w:pPr>
    </w:p>
    <w:p>
      <w:pPr>
        <w:spacing w:after="160" w:line="276"/>
      </w:pPr>
      <w:r>
        <w:t xml:space="preserve">Cada camada só aperta. Nenhuma delas afrouxa o que a anterior restringiu. Quando o aluno tem duas condições, vale sempre a regra mais conservadora entre elas.</w:t>
      </w:r>
    </w:p>
    <w:p>
      <w:pPr>
        <w:pStyle w:val="Heading1"/>
        <w:pBdr>
          <w:bottom w:val="single" w:color="C9D2DB" w:sz="6" w:space="6"/>
        </w:pBdr>
        <w:spacing w:after="200" w:before="420"/>
      </w:pPr>
      <w:r>
        <w:rPr>
          <w:b/>
          <w:bCs/>
          <w:color w:val="1F2933"/>
          <w:sz w:val="30"/>
          <w:szCs w:val="30"/>
        </w:rPr>
        <w:t xml:space="preserve">3. O que a condição de saúde muda, concretamente</w:t>
      </w:r>
    </w:p>
    <w:p>
      <w:pPr>
        <w:pStyle w:val="Heading2"/>
        <w:spacing w:after="140" w:before="300"/>
      </w:pPr>
      <w:r>
        <w:rPr>
          <w:b/>
          <w:bCs/>
          <w:color w:val="1F2933"/>
          <w:sz w:val="24"/>
          <w:szCs w:val="24"/>
        </w:rPr>
        <w:t xml:space="preserve">3.1 A dose de força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b/>
          <w:bCs/>
        </w:rPr>
        <w:t xml:space="preserve">Reserva mínima de repetições.</w:t>
      </w:r>
      <w:r>
        <w:t xml:space="preserve"> Quantas repetições sobram no fim da série. Perfis com cautela cardiovascular recebem um piso, para a série não terminar no esforço máximo.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b/>
          <w:bCs/>
        </w:rPr>
        <w:t xml:space="preserve">Teto de carga relativa</w:t>
      </w:r>
      <w:r>
        <w:t xml:space="preserve">, onde a faixa do objetivo expressa percentual de 1RM.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b/>
          <w:bCs/>
        </w:rPr>
        <w:t xml:space="preserve">Passo de progressão.</w:t>
      </w:r>
      <w:r>
        <w:t xml:space="preserve"> Quanto a dose sobe de semana para semana. Perfis de maior cautela progridem em passo menor.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b/>
          <w:bCs/>
        </w:rPr>
        <w:t xml:space="preserve">Teto de complexidade técnica</w:t>
      </w:r>
      <w:r>
        <w:t xml:space="preserve">, que rebaixa exercícios exigentes demais para o momento.</w:t>
      </w:r>
    </w:p>
    <w:p>
      <w:pPr>
        <w:pStyle w:val="Heading2"/>
        <w:spacing w:after="140" w:before="300"/>
      </w:pPr>
      <w:r>
        <w:rPr>
          <w:b/>
          <w:bCs/>
          <w:color w:val="1F2933"/>
          <w:sz w:val="24"/>
          <w:szCs w:val="24"/>
        </w:rPr>
        <w:t xml:space="preserve">3.2 A dose aeróbia</w:t>
      </w:r>
    </w:p>
    <w:p>
      <w:pPr>
        <w:spacing w:after="160" w:line="276"/>
      </w:pPr>
      <w:r>
        <w:t xml:space="preserve">Três bandas de intensidade, tiradas da tabela de classificação do posicionamento do ACSM: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3400"/>
        <w:gridCol w:w="3638"/>
      </w:tblGrid>
      <w:tr>
        <w:trPr>
          <w:tblHeader/>
        </w:trPr>
        <w:tc>
          <w:tcPr>
            <w:tcW w:type="dxa" w:w="260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Banda</w:t>
            </w:r>
          </w:p>
        </w:tc>
        <w:tc>
          <w:tcPr>
            <w:tcW w:type="dxa" w:w="340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Percentual da FCmáx</w:t>
            </w:r>
          </w:p>
        </w:tc>
        <w:tc>
          <w:tcPr>
            <w:tcW w:type="dxa" w:w="3638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Percepção de esforço (0 a 10)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Leve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t xml:space="preserve">57 a 63%</w:t>
            </w:r>
          </w:p>
        </w:tc>
        <w:tc>
          <w:tcPr>
            <w:tcW w:type="dxa" w:w="3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t xml:space="preserve">3 a 4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Moderada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t xml:space="preserve">64 a 76%</w:t>
            </w:r>
          </w:p>
        </w:tc>
        <w:tc>
          <w:tcPr>
            <w:tcW w:type="dxa" w:w="3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t xml:space="preserve">5 a 6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Vigorosa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t xml:space="preserve">77 a 95%</w:t>
            </w:r>
          </w:p>
        </w:tc>
        <w:tc>
          <w:tcPr>
            <w:tcW w:type="dxa" w:w="3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t xml:space="preserve">7 a 8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t xml:space="preserve">A condição escolhe até qual banda o aluno pode ir, e quando há duas condições vale a mais contida. O formato, contínuo ou intervalado, também vem da condição, e o intervalado só aparece onde há evidência específica de benefício naquele perfil.</w:t>
      </w:r>
    </w:p>
    <w:p>
      <w:pPr>
        <w:pStyle w:val="Heading2"/>
        <w:spacing w:after="140" w:before="300"/>
      </w:pPr>
      <w:r>
        <w:rPr>
          <w:b/>
          <w:bCs/>
          <w:color w:val="1F2933"/>
          <w:sz w:val="24"/>
          <w:szCs w:val="24"/>
        </w:rPr>
        <w:t xml:space="preserve">3.3 A composição da sessão</w:t>
      </w:r>
    </w:p>
    <w:p>
      <w:pPr>
        <w:spacing w:after="160" w:line="276"/>
      </w:pPr>
      <w:r>
        <w:t xml:space="preserve">Aqui entra a </w:t>
      </w:r>
      <w:r>
        <w:rPr>
          <w:b/>
          <w:bCs/>
        </w:rPr>
        <w:t xml:space="preserve">ênfase de modalidade</w:t>
      </w:r>
      <w:r>
        <w:t xml:space="preserve">, que responde à pergunta "nesta condição, o que pesa mais". Ela só acrescenta e nunca subtrai: uma condição pode ganhar mais uma sessão aeróbia na semana, e jamais perder a parte de força. Ênfase que subtrai seria contraindicação disfarçada, e contraindicação passa pelo semáforo, não pela dose.</w:t>
      </w:r>
    </w:p>
    <w:p>
      <w:pPr>
        <w:pStyle w:val="Heading2"/>
        <w:spacing w:after="140" w:before="300"/>
      </w:pPr>
      <w:r>
        <w:rPr>
          <w:b/>
          <w:bCs/>
          <w:color w:val="1F2933"/>
          <w:sz w:val="24"/>
          <w:szCs w:val="24"/>
        </w:rPr>
        <w:t xml:space="preserve">3.4 O descanso e o horizonte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b/>
          <w:bCs/>
        </w:rPr>
        <w:t xml:space="preserve">Cadência de descarga.</w:t>
      </w:r>
      <w:r>
        <w:t xml:space="preserve"> Cada quantas semanas o aluno alivia. A condição pode encurtar esse intervalo, nunca alongar.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b/>
          <w:bCs/>
        </w:rPr>
        <w:t xml:space="preserve">Horizonte mínimo.</w:t>
      </w:r>
      <w:r>
        <w:t xml:space="preserve"> Algumas condições só mostraram efeito em acompanhamentos acima de um certo tempo. O sistema não muda a duração que você escolheu; ele </w:t>
      </w:r>
      <w:r>
        <w:rPr>
          <w:b/>
          <w:bCs/>
        </w:rPr>
        <w:t xml:space="preserve">avisa</w:t>
      </w:r>
      <w:r>
        <w:t xml:space="preserve"> no raciocínio quando o plano está abaixo do que a evidência daquela jornada mediu. Quem decide é você.</w:t>
      </w:r>
    </w:p>
    <w:p>
      <w:pPr>
        <w:pStyle w:val="Heading1"/>
        <w:pBdr>
          <w:bottom w:val="single" w:color="C9D2DB" w:sz="6" w:space="6"/>
        </w:pBdr>
        <w:spacing w:after="200" w:before="420"/>
      </w:pPr>
      <w:r>
        <w:rPr>
          <w:b/>
          <w:bCs/>
          <w:color w:val="1F2933"/>
          <w:sz w:val="30"/>
          <w:szCs w:val="30"/>
        </w:rPr>
        <w:t xml:space="preserve">4. O princípio que mais importa: onde o treino pesa muda por condição</w:t>
      </w:r>
    </w:p>
    <w:p>
      <w:pPr>
        <w:spacing w:after="160" w:line="276"/>
      </w:pPr>
      <w:r>
        <w:t xml:space="preserve">Esta é a descoberta mais útil da última revisão de evidência, e vale como conduta.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Condição</w:t>
            </w:r>
          </w:p>
        </w:tc>
        <w:tc>
          <w:tcPr>
            <w:tcW w:type="dxa" w:w="6738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O lugar do exercício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Pré-diabetes</w:t>
            </w:r>
          </w:p>
        </w:tc>
        <w:tc>
          <w:tcPr>
            <w:tcW w:type="dxa" w:w="67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Protagonista.</w:t>
            </w:r>
            <w:r>
              <w:t xml:space="preserve"> O exercício foi mais eficaz que a metformina em hemoglobina glicada, glicemia de 2 horas e resistência à insulina.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Diabetes tipo 2</w:t>
            </w:r>
          </w:p>
        </w:tc>
        <w:tc>
          <w:tcPr>
            <w:tcW w:type="dxa" w:w="67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Divide.</w:t>
            </w:r>
            <w:r>
              <w:t xml:space="preserve"> A metformina supera o exercício nos mesmos desfechos, e a combinação dos dois supera cada um isolado.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Esteatose hepática</w:t>
            </w:r>
          </w:p>
        </w:tc>
        <w:tc>
          <w:tcPr>
            <w:tcW w:type="dxa" w:w="67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Não lidera.</w:t>
            </w:r>
            <w:r>
              <w:t xml:space="preserve"> Numa rede com 174 ensaios, os primeiros lugares são de medicamento. O treino é parte do cuidado, não o tratamento principal.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t xml:space="preserve">Saber onde você não é o protagonista é o que torna confiável a sua afirmação de onde você é.</w:t>
      </w:r>
    </w:p>
    <w:p>
      <w:pPr>
        <w:pStyle w:val="Heading1"/>
        <w:pBdr>
          <w:bottom w:val="single" w:color="C9D2DB" w:sz="6" w:space="6"/>
        </w:pBdr>
        <w:spacing w:after="200" w:before="420"/>
      </w:pPr>
      <w:r>
        <w:rPr>
          <w:b/>
          <w:bCs/>
          <w:color w:val="1F2933"/>
          <w:sz w:val="30"/>
          <w:szCs w:val="30"/>
        </w:rPr>
        <w:t xml:space="preserve">5. Onde uma modalidade realmente lidera, e onde nenhuma lidera</w:t>
      </w:r>
    </w:p>
    <w:p>
      <w:pPr>
        <w:spacing w:after="160" w:line="276"/>
      </w:pPr>
      <w:r>
        <w:t xml:space="preserve">Na maioria das condições, o ranking das modalidades </w:t>
      </w:r>
      <w:r>
        <w:rPr>
          <w:b/>
          <w:bCs/>
        </w:rPr>
        <w:t xml:space="preserve">muda conforme o desfecho</w:t>
      </w:r>
      <w:r>
        <w:t xml:space="preserve"> e nenhuma vence em tudo. Isso desmonta a ideia de "o melhor exercício para a condição X". Nesses casos o sistema mantém o treino combinado e não elege vencedora.</w:t>
      </w:r>
    </w:p>
    <w:p>
      <w:pPr>
        <w:spacing w:after="160" w:line="276"/>
      </w:pPr>
      <w:r>
        <w:t xml:space="preserve">As exceções, em que uma modalidade de fato lidera: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b/>
          <w:bCs/>
        </w:rPr>
        <w:t xml:space="preserve">Dislipidemia:</w:t>
      </w:r>
      <w:r>
        <w:t xml:space="preserve"> o aeróbio foi o único a mover os quatro marcadores lipídicos. O resistido move dois.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b/>
          <w:bCs/>
        </w:rPr>
        <w:t xml:space="preserve">Hipertensão:</w:t>
      </w:r>
      <w:r>
        <w:t xml:space="preserve"> o aeróbio leve a moderado foi superior para a </w:t>
      </w:r>
      <w:r>
        <w:rPr>
          <w:b/>
          <w:bCs/>
        </w:rPr>
        <w:t xml:space="preserve">sistólica</w:t>
      </w:r>
      <w:r>
        <w:t xml:space="preserve"> e o único a melhorar o conjunto de fatores de risco. Já o resistido de alta intensidade é um dos dois que reduzem a </w:t>
      </w:r>
      <w:r>
        <w:rPr>
          <w:b/>
          <w:bCs/>
        </w:rPr>
        <w:t xml:space="preserve">diastólica</w:t>
      </w:r>
      <w:r>
        <w:t xml:space="preserve">. Duas modalidades ganhando em desfechos diferentes.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b/>
          <w:bCs/>
        </w:rPr>
        <w:t xml:space="preserve">Sarcopenia:</w:t>
      </w:r>
      <w:r>
        <w:t xml:space="preserve"> o resistido em primeiro para força de preensão e o único a reduzir massa gorda.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b/>
          <w:bCs/>
        </w:rPr>
        <w:t xml:space="preserve">Diabetes tipo 2:</w:t>
      </w:r>
      <w:r>
        <w:t xml:space="preserve"> o resistido de </w:t>
      </w:r>
      <w:r>
        <w:rPr>
          <w:b/>
          <w:bCs/>
        </w:rPr>
        <w:t xml:space="preserve">alta</w:t>
      </w:r>
      <w:r>
        <w:t xml:space="preserve"> intensidade em primeiro para hemoglobina glicada, e a única modalidade com redução significativa da sistólica.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b/>
          <w:bCs/>
        </w:rPr>
        <w:t xml:space="preserve">Osteoporose:</w:t>
      </w:r>
      <w:r>
        <w:t xml:space="preserve"> resistido e impacto de alta intensidade, com carga acima de 85% de 1RM sob supervisão, aumentaram densidade óssea e função. O reflexo de aliviar a carga é o que a evidência contraria.</w:t>
      </w:r>
    </w:p>
    <w:p>
      <w:pPr>
        <w:pStyle w:val="Heading1"/>
        <w:pBdr>
          <w:bottom w:val="single" w:color="C9D2DB" w:sz="6" w:space="6"/>
        </w:pBdr>
        <w:spacing w:after="200" w:before="420"/>
      </w:pPr>
      <w:r>
        <w:rPr>
          <w:b/>
          <w:bCs/>
          <w:color w:val="1F2933"/>
          <w:sz w:val="30"/>
          <w:szCs w:val="30"/>
        </w:rPr>
        <w:t xml:space="preserve">6. Cinco coisas que a evidência corrigiu no próprio sistema</w:t>
      </w:r>
    </w:p>
    <w:p>
      <w:pPr>
        <w:spacing w:after="160" w:line="276"/>
      </w:pPr>
      <w:r>
        <w:t xml:space="preserve">Vale mais registrar o que mudou de ideia do que o que se confirmou.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b/>
          <w:bCs/>
        </w:rPr>
        <w:t xml:space="preserve">Dor lombar:</w:t>
      </w:r>
      <w:r>
        <w:t xml:space="preserve"> numa rede com 118 ensaios e 9.710 participantes, praticamente todo tipo de exercício melhorou dor e incapacidade, com duas exceções. </w:t>
      </w:r>
      <w:r>
        <w:rPr>
          <w:b/>
          <w:bCs/>
        </w:rPr>
        <w:t xml:space="preserve">Alongamento não reduziu dor</w:t>
      </w:r>
      <w:r>
        <w:t xml:space="preserve"> e o método McKenzie não reduziu incapacidade. Alongar por causa de dor lombar é o reflexo mais comum do campo, e é o que a rede não sustenta.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b/>
          <w:bCs/>
        </w:rPr>
        <w:t xml:space="preserve">Sarcopenia:</w:t>
      </w:r>
      <w:r>
        <w:t xml:space="preserve"> nenhuma intervenção mostrou vantagem significativa sobre o cuidado usual para índice de massa muscular. Força e composição melhoram; </w:t>
      </w:r>
      <w:r>
        <w:rPr>
          <w:b/>
          <w:bCs/>
        </w:rPr>
        <w:t xml:space="preserve">ganho de massa é incerto</w:t>
      </w:r>
      <w:r>
        <w:t xml:space="preserve"> e saiu das promessas do sistema.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b/>
          <w:bCs/>
        </w:rPr>
        <w:t xml:space="preserve">Ansiedade e sintomas depressivos:</w:t>
      </w:r>
      <w:r>
        <w:t xml:space="preserve"> o texto dizia que a constância vale mais que a intensidade. Uma revisão de 97 revisões e 128 mil participantes mostra o contrário: </w:t>
      </w:r>
      <w:r>
        <w:rPr>
          <w:b/>
          <w:bCs/>
        </w:rPr>
        <w:t xml:space="preserve">intensidade maior associou-se a melhora maior</w:t>
      </w:r>
      <w:r>
        <w:t xml:space="preserve">, e o efeito diminui em intervenções longas.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b/>
          <w:bCs/>
        </w:rPr>
        <w:t xml:space="preserve">Idoso destreinado:</w:t>
      </w:r>
      <w:r>
        <w:t xml:space="preserve"> para prevenir queda, a ênfase que mais aumenta a eficácia é </w:t>
      </w:r>
      <w:r>
        <w:rPr>
          <w:b/>
          <w:bCs/>
        </w:rPr>
        <w:t xml:space="preserve">equilíbrio e treino funcional</w:t>
      </w:r>
      <w:r>
        <w:t xml:space="preserve">, não força isolada.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b/>
          <w:bCs/>
        </w:rPr>
        <w:t xml:space="preserve">Apneia do sono:</w:t>
      </w:r>
      <w:r>
        <w:t xml:space="preserve"> o índice de apneia caiu </w:t>
      </w:r>
      <w:r>
        <w:rPr>
          <w:b/>
          <w:bCs/>
        </w:rPr>
        <w:t xml:space="preserve">sem mudança de peso</w:t>
      </w:r>
      <w:r>
        <w:t xml:space="preserve">, e o combinado reduziu mais que o aeróbio isolado. Condicionar o benefício à balança faz abandonar um programa que está funcionando.</w:t>
      </w:r>
    </w:p>
    <w:p>
      <w:pPr>
        <w:pStyle w:val="Heading1"/>
        <w:pBdr>
          <w:bottom w:val="single" w:color="C9D2DB" w:sz="6" w:space="6"/>
        </w:pBdr>
        <w:spacing w:after="200" w:before="420"/>
      </w:pPr>
      <w:r>
        <w:rPr>
          <w:b/>
          <w:bCs/>
          <w:color w:val="1F2933"/>
          <w:sz w:val="30"/>
          <w:szCs w:val="30"/>
        </w:rPr>
        <w:t xml:space="preserve">7. Duas condições em que a resposta foi "a dose não muda"</w:t>
      </w:r>
    </w:p>
    <w:p>
      <w:pPr>
        <w:spacing w:after="160" w:line="276"/>
      </w:pPr>
      <w:r>
        <w:t xml:space="preserve">Isso é conclusão, não lacuna, e o sistema diz por quê.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b/>
          <w:bCs/>
        </w:rPr>
        <w:t xml:space="preserve">Asma controlada.</w:t>
      </w:r>
      <w:r>
        <w:t xml:space="preserve"> A revisão Cochrane mostra melhora de capacidade funcional e de qualidade de vida, e efeito </w:t>
      </w:r>
      <w:r>
        <w:rPr>
          <w:b/>
          <w:bCs/>
        </w:rPr>
        <w:t xml:space="preserve">pequeno e incerto sobre o controle da asma</w:t>
      </w:r>
      <w:r>
        <w:t xml:space="preserve">. A evidência sustenta uma promessa distinta, não uma dose distinta. Inventar um teto só para a condição parecer diferente seria encaixar o aluno numa regra que ninguém mediu.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b/>
          <w:bCs/>
        </w:rPr>
        <w:t xml:space="preserve">Gestante.</w:t>
      </w:r>
      <w:r>
        <w:t xml:space="preserve"> Cinco buscas em bases diferentes não encontraram comparação de modalidades. A produção científica da gestação se organiza por </w:t>
      </w:r>
      <w:r>
        <w:rPr>
          <w:b/>
          <w:bCs/>
        </w:rPr>
        <w:t xml:space="preserve">contraindicação e desfecho obstétrico</w:t>
      </w:r>
      <w:r>
        <w:t xml:space="preserve">, não por comparação de treinos. Coerente com isso, a especificidade da gestante no sistema vive na camada de </w:t>
      </w:r>
      <w:r>
        <w:rPr>
          <w:b/>
          <w:bCs/>
        </w:rPr>
        <w:t xml:space="preserve">segurança</w:t>
      </w:r>
      <w:r>
        <w:t xml:space="preserve">: o semáforo pergunta as oito contraindicações absolutas e os sinais do dia.</w:t>
      </w:r>
    </w:p>
    <w:p>
      <w:pPr>
        <w:pStyle w:val="Heading1"/>
        <w:pBdr>
          <w:bottom w:val="single" w:color="C9D2DB" w:sz="6" w:space="6"/>
        </w:pBdr>
        <w:spacing w:after="200" w:before="420"/>
      </w:pPr>
      <w:r>
        <w:rPr>
          <w:b/>
          <w:bCs/>
          <w:color w:val="1F2933"/>
          <w:sz w:val="30"/>
          <w:szCs w:val="30"/>
        </w:rPr>
        <w:t xml:space="preserve">8. Como uma afirmação vira regra</w:t>
      </w:r>
    </w:p>
    <w:p>
      <w:pPr>
        <w:pStyle w:val="ListParagraph"/>
        <w:numPr>
          <w:ilvl w:val="0"/>
          <w:numId w:val="5"/>
        </w:numPr>
        <w:spacing w:after="110" w:line="276"/>
      </w:pPr>
      <w:r>
        <w:t xml:space="preserve">A pergunta é formulada por condição </w:t>
      </w:r>
      <w:r>
        <w:rPr>
          <w:b/>
          <w:bCs/>
        </w:rPr>
        <w:t xml:space="preserve">e por modalidade</w:t>
      </w:r>
      <w:r>
        <w:t xml:space="preserve">, não por condição só.</w:t>
      </w:r>
    </w:p>
    <w:p>
      <w:pPr>
        <w:pStyle w:val="ListParagraph"/>
        <w:numPr>
          <w:ilvl w:val="0"/>
          <w:numId w:val="5"/>
        </w:numPr>
        <w:spacing w:after="110" w:line="276"/>
      </w:pPr>
      <w:r>
        <w:t xml:space="preserve">A busca é no PubMed, com preferência por metanálise em rede, que compara modalidades entre si em vez de comparar uma modalidade com nada.</w:t>
      </w:r>
    </w:p>
    <w:p>
      <w:pPr>
        <w:pStyle w:val="ListParagraph"/>
        <w:numPr>
          <w:ilvl w:val="0"/>
          <w:numId w:val="5"/>
        </w:numPr>
        <w:spacing w:after="110" w:line="276"/>
      </w:pPr>
      <w:r>
        <w:rPr>
          <w:b/>
          <w:bCs/>
        </w:rPr>
        <w:t xml:space="preserve">O tipo do trabalho é conferido no registro do artigo, nunca no filtro da busca.</w:t>
      </w:r>
      <w:r>
        <w:t xml:space="preserve"> O filtro de tipo do PubMed não é confiável: pedindo apenas metanálise, ele já devolveu um relato de caso de um único paciente.</w:t>
      </w:r>
    </w:p>
    <w:p>
      <w:pPr>
        <w:pStyle w:val="ListParagraph"/>
        <w:numPr>
          <w:ilvl w:val="0"/>
          <w:numId w:val="5"/>
        </w:numPr>
        <w:spacing w:after="110" w:line="276"/>
      </w:pPr>
      <w:r>
        <w:t xml:space="preserve">A magnitude, a direção e as </w:t>
      </w:r>
      <w:r>
        <w:rPr>
          <w:b/>
          <w:bCs/>
        </w:rPr>
        <w:t xml:space="preserve">limitações declaradas pelos autores</w:t>
      </w:r>
      <w:r>
        <w:t xml:space="preserve"> entram junto. Certeza baixa, amostra pequena, população diferente e ausência de cegamento viajam com a citação.</w:t>
      </w:r>
    </w:p>
    <w:p>
      <w:pPr>
        <w:pStyle w:val="ListParagraph"/>
        <w:numPr>
          <w:ilvl w:val="0"/>
          <w:numId w:val="5"/>
        </w:numPr>
        <w:spacing w:after="110" w:line="276"/>
      </w:pPr>
      <w:r>
        <w:t xml:space="preserve">Onde a direção vem da evidência mas o número é prudência da casa, isso fica marcado como cautela declarada, e não é apresentado como achado.</w:t>
      </w:r>
    </w:p>
    <w:p>
      <w:pPr>
        <w:pStyle w:val="ListParagraph"/>
        <w:numPr>
          <w:ilvl w:val="0"/>
          <w:numId w:val="5"/>
        </w:numPr>
        <w:spacing w:after="110" w:line="276"/>
      </w:pPr>
      <w:r>
        <w:t xml:space="preserve">Uma referência genérica, que vale para qualquer adulto, </w:t>
      </w:r>
      <w:r>
        <w:rPr>
          <w:b/>
          <w:bCs/>
        </w:rPr>
        <w:t xml:space="preserve">não</w:t>
      </w:r>
      <w:r>
        <w:t xml:space="preserve"> pode ser a única sustentação de uma condição específica. Há uma trava automática para isso.</w:t>
      </w:r>
    </w:p>
    <w:p>
      <w:pPr>
        <w:pStyle w:val="Heading1"/>
        <w:pBdr>
          <w:bottom w:val="single" w:color="C9D2DB" w:sz="6" w:space="6"/>
        </w:pBdr>
        <w:spacing w:after="200" w:before="420"/>
      </w:pPr>
      <w:r>
        <w:rPr>
          <w:b/>
          <w:bCs/>
          <w:color w:val="1F2933"/>
          <w:sz w:val="30"/>
          <w:szCs w:val="30"/>
        </w:rPr>
        <w:t xml:space="preserve">9. O que o sistema recusa fazer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t xml:space="preserve">Inventar número de dose onde a literatura não deu número.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t xml:space="preserve">Usar uma diretriz geral como resposta para uma realidade clínica específica.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t xml:space="preserve">Prometer desfecho que a evidência da condição não sustenta.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t xml:space="preserve">Deixar a condição de saúde do aluno aparecer no documento que vai para as mãos dele.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t xml:space="preserve">Tirar exercício do plano em nome de uma ênfase. Restrição é assunto do semáforo.</w:t>
      </w:r>
    </w:p>
    <w:p>
      <w:pPr>
        <w:pStyle w:val="Heading1"/>
        <w:pBdr>
          <w:bottom w:val="single" w:color="C9D2DB" w:sz="6" w:space="6"/>
        </w:pBdr>
        <w:spacing w:after="200" w:before="420"/>
      </w:pPr>
      <w:r>
        <w:rPr>
          <w:b/>
          <w:bCs/>
          <w:color w:val="1F2933"/>
          <w:sz w:val="30"/>
          <w:szCs w:val="30"/>
        </w:rPr>
        <w:t xml:space="preserve">10. Como isso é verificado</w:t>
      </w:r>
    </w:p>
    <w:p>
      <w:pPr>
        <w:spacing w:after="160" w:line="276"/>
      </w:pPr>
      <w:r>
        <w:t xml:space="preserve">O sistema tem 25 verificações automáticas que bloqueiam a publicação, entre elas: toda regra aprovada precisa de referência real; nenhuma condição pode se sustentar só em diretriz genérica; nenhum campo clínico pode ser declarado e não aplicado; e a dose gerada precisa ficar dentro da faixa citada pelo próprio objetivo.</w:t>
      </w:r>
    </w:p>
    <w:p>
      <w:pPr>
        <w:spacing w:after="0" w:line="276"/>
      </w:pPr>
      <w:r>
        <w:t xml:space="preserve">Além delas, uma bancada gera </w:t>
      </w:r>
      <w:r>
        <w:rPr>
          <w:b/>
          <w:bCs/>
        </w:rPr>
        <w:t xml:space="preserve">4.320 planos</w:t>
      </w:r>
      <w:r>
        <w:t xml:space="preserve"> no cruzamento de condição, objetivo, nível, horizonte e frequência, e procura incoerência entre o que o plano diz e o que ele prescreve. A bancada é testada quebrando o motor de propósito, para provar que ela enxerga.</w:t>
      </w:r>
    </w:p>
    <w:sectPr>
      <w:footerReference w:type="default" r:id="rId7"/>
      <w:pgSz w:w="11906" w:h="16838" w:orient="portrait"/>
      <w:pgMar w:top="1247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606D"/>
        <w:sz w:val="16"/>
        <w:szCs w:val="16"/>
      </w:rPr>
      <w:t xml:space="preserve">Mapa da Prescrição   ·   </w:t>
    </w:r>
    <w:r>
      <w:rPr>
        <w:color w:val="5260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D50000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500003"/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nsid w:val="4D500004"/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4" w15:restartNumberingAfterBreak="0">
    <w:nsid w:val="4D500005"/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5" w15:restartNumberingAfterBreak="0">
    <w:nsid w:val="4D500006"/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lógica por trás da prescrição</dc:title>
  <dc:creator>Mapa da Prescrição</dc:creator>
  <dc:description>Como o sistema decide a prescrição, em linguagem de treino.</dc:description>
  <cp:lastModifiedBy>Un-named</cp:lastModifiedBy>
  <cp:revision>1</cp:revision>
  <dcterms:created xsi:type="dcterms:W3CDTF">2026-08-07T01:00:11.122Z</dcterms:created>
  <dcterms:modified xsi:type="dcterms:W3CDTF">2026-08-07T01:00:11.123Z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