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Zero Cost AI Solutions: GitHub Repository Planning &amp;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document serves as the living architecture and planning guide for the "Zero Cost AI Solutions" GitHub repository [cite: 1]. It is designed to be iteratively updated by Google Antigravity during the build process to track configurations, prompts, and file structures [cite: 1].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Project Overview &amp; Objectives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Primary Goal: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Provide a "one-click" take-home repository for Salesforce Admins to deploy a local LLM, LibreChat, and connect it to their Salesforce environment [cite: 1].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Core Technologies:</w:t>
      </w:r>
      <w:r w:rsidDel="00000000" w:rsidR="00000000" w:rsidRPr="00000000">
        <w:rPr>
          <w:rFonts w:ascii="Arial" w:cs="Arial" w:eastAsia="Arial" w:hAnsi="Arial"/>
          <w:rtl w:val="0"/>
        </w:rPr>
        <w:t xml:space="preserve"> Docker, Ollama, LibreChat, Salesforce External Client Apps, Salesforce Free Hosted MCP Servers Beta, Google Antigravity [cite: 1].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Security Standard:</w:t>
      </w:r>
      <w:r w:rsidDel="00000000" w:rsidR="00000000" w:rsidRPr="00000000">
        <w:rPr>
          <w:rFonts w:ascii="Arial" w:cs="Arial" w:eastAsia="Arial" w:hAnsi="Arial"/>
          <w:rtl w:val="0"/>
        </w:rPr>
        <w:t xml:space="preserve"> Maintain absolute data sovereignty. Ensure the LLM respects Salesforce Organization-Wide Defaults (OWDs) and Field-Level Security via the MCP [cite: 1].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2. Repository Directory Structure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target structure for the GitHub project that attendees will clone [cite: 1].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Directory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Contents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/1-prerequisites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Links and instructions for Docker Desktop, VS Code, and the Antigravity extension [cite: 1].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Pending [cite: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/2-antigravity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Markdown files containing the exact prompts for the agent to execute the infrastructure build [cite: 1].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Pending [cite: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/3-librechat-config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.env.example, librechat.yaml, and the master docker-compose.yml [cite: 1].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Pending [cite: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/4-salesforce-mcp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JSON configuration for the Free Hosted MCP Servers Beta and SFDX setup scripts [cite: 1].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Pending [cite: 1]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3. Salesforce Free MCP Integration Strategy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phase bridges the local AI to the CRM [cite: 1]. Instructions must clearly map out how attendees authorize their local LibreChat instance securely [cite: 1].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Auth Foundation: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Script the creation of an External Client App in the Salesforce Dev Org/Sandbox [cite: 1].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Token Generation: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Configure OAuth policies to generate the consumer key, secret, and access token [cite: 1].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MCP Activation: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Enable the Salesforce Hosted MCP Servers Beta in the org [cite: 1].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LibreChat Mapping: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Configure LibreChat to utilize the platform/sobject-reads server, ensuring the LLM is restricted to a read-only state [cite: 1].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4. Automation &amp; Prompt Engineering Baseline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following is the baseline prompt for Antigravity to begin scaffolding the local environment [cite: 1]. Antigravity will iterate on this block as the project evolves [cite: 1].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="300" w:lineRule="auto"/>
        <w:ind w:left="225" w:right="225" w:firstLine="0"/>
        <w:rPr>
          <w:rFonts w:ascii="Arial" w:cs="Arial" w:eastAsia="Arial" w:hAnsi="Arial"/>
          <w:color w:val="333333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333333"/>
          <w:shd w:fill="f8f9fa" w:val="clear"/>
          <w:rtl w:val="0"/>
        </w:rPr>
        <w:t xml:space="preserve">Task: Bootstrap a local AI environment for Salesforce Integration.</w:t>
        <w:br w:type="textWrapping"/>
        <w:t xml:space="preserve">1. Create a docker-compose.yml file that includes services for LibreChat, MongoDB, Meilisearch, and Ollama.</w:t>
        <w:br w:type="textWrapping"/>
        <w:t xml:space="preserve">2. Ensure the Ollama service is configured to automatically pull a lightweight model (e.g., llama3.1:8b) on startup.</w:t>
        <w:br w:type="textWrapping"/>
        <w:t xml:space="preserve">3. Generate a librechat.yaml configuration file that points to the local Ollama endpoint.</w:t>
        <w:br w:type="textWrapping"/>
        <w:t xml:space="preserve">4. Generate a boilerplate .env file with the necessary environment variables for LibreChat.</w:t>
        <w:br w:type="textWrapping"/>
        <w:t xml:space="preserve">5. Create an mcp.json file configured for the Salesforce Hosted MCP Servers Beta, leaving a placeholder for the OAuth access token. [cite: 1]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5. Model Tiering &amp; Cost Optimization Strategy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maximize ROI, the architecture bifurcates model selection between builders (Admins) and business users, prioritizing cost-efficiency and caching.</w:t>
      </w:r>
    </w:p>
    <w:tbl>
      <w:tblPr>
        <w:tblStyle w:val="Table2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User / Environment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Recommended Models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Use Case &amp; Cost Benefits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Builders (Admins &amp; Devs)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 Extension / Local Sandbox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DeepSeek V3 / Coder V2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GLM-5.3-Flash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Gemma 4 (E2B/E4B for old hardware)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 reasoning and coding execution. Open-weight API options or local hardware testing to avoid premium token costs while doing heavy architectural lifting.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Business Users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LibreChat + SFDC MCP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Gemini Flash (e.g., 3.1 Flash)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Qwen 3.7 Flash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Fast, reliable tool-calling for data retrieval. Leveraging provider-native prompt caching on standard schemas can reduce end-user token costs by up to 90%.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Prompt Caching Implementation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Prompts &amp; Schemas:</w:t>
      </w:r>
      <w:r w:rsidDel="00000000" w:rsidR="00000000" w:rsidRPr="00000000">
        <w:rPr>
          <w:rFonts w:ascii="Arial" w:cs="Arial" w:eastAsia="Arial" w:hAnsi="Arial"/>
          <w:rtl w:val="0"/>
        </w:rPr>
        <w:t xml:space="preserve"> LibreChat must be configured to cache the large system prompts and Salesforce object schemas sent on every turn via the MCP.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Cost Reduction: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By caching the static instructions and tool definitions, only the delta (the user's specific natural language query) is billed at the standard rate, drastically lowering operational overhead for large business units.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6. Antigravity Build Log (Living Document)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Antigravity: Append updates to this table as you execute configurations, modify files, or execute CLI commands in the workspace [cite: 1].</w:t>
      </w:r>
    </w:p>
    <w:tbl>
      <w:tblPr>
        <w:tblStyle w:val="Table3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Date/Time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Component Updated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Action Taken &amp; Notes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[System Initialization]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Doc Created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Initial project architecture mapped. Ready for agent integration [cite: 1].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