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jc w:val="center"/>
      </w:pPr>
      <w:r>
        <w:rPr>
          <w:rFonts w:ascii="黑体" w:cs="黑体" w:eastAsia="黑体" w:hAnsi="黑体"/>
          <w:sz w:val="56"/>
          <w:szCs w:val="56"/>
        </w:rPr>
        <w:t xml:space="preserve">电 子 科 技 大 学</w:t>
      </w:r>
    </w:p>
    <w:p>
      <w:pPr>
        <w:spacing w:after="1680" w:before="240"/>
        <w:jc w:val="center"/>
      </w:pPr>
      <w:r>
        <w:rPr>
          <w:rFonts w:ascii="黑体" w:cs="黑体" w:eastAsia="黑体" w:hAnsi="黑体"/>
          <w:spacing w:val="50"/>
          <w:sz w:val="46"/>
          <w:szCs w:val="46"/>
        </w:rPr>
        <w:t xml:space="preserve">专业学位研究生学位论文中期考评表</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攻读学位级别： </w:t>
      </w:r>
      <w:r>
        <w:rPr>
          <w:rFonts w:ascii="黑体" w:cs="黑体" w:eastAsia="黑体" w:hAnsi="黑体"/>
          <w:sz w:val="30"/>
          <w:szCs w:val="30"/>
          <w:u w:val="single"/>
        </w:rPr>
        <w:t xml:space="preserve">□博士   ☑硕士</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培养方式：     </w:t>
      </w:r>
      <w:r>
        <w:rPr>
          <w:rFonts w:ascii="黑体" w:cs="黑体" w:eastAsia="黑体" w:hAnsi="黑体"/>
          <w:sz w:val="30"/>
          <w:szCs w:val="30"/>
          <w:u w:val="single"/>
        </w:rPr>
        <w:t xml:space="preserve">☑全日制    □非全日制</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专业学位类别及领域：</w:t>
      </w:r>
      <w:r>
        <w:rPr>
          <w:rFonts w:ascii="黑体" w:cs="黑体" w:eastAsia="黑体" w:hAnsi="黑体"/>
          <w:sz w:val="30"/>
          <w:szCs w:val="30"/>
          <w:u w:val="single"/>
        </w:rPr>
        <w:t xml:space="preserve">   软件工程          </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学        院：</w:t>
      </w:r>
      <w:r>
        <w:rPr>
          <w:rFonts w:ascii="黑体" w:cs="黑体" w:eastAsia="黑体" w:hAnsi="黑体"/>
          <w:sz w:val="30"/>
          <w:szCs w:val="30"/>
          <w:u w:val="single"/>
        </w:rPr>
        <w:t xml:space="preserve">   信息与软件工程学院      </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学        号：</w:t>
      </w:r>
      <w:r>
        <w:rPr>
          <w:rFonts w:ascii="黑体" w:cs="黑体" w:eastAsia="黑体" w:hAnsi="黑体"/>
          <w:sz w:val="30"/>
          <w:szCs w:val="30"/>
          <w:u w:val="single"/>
        </w:rPr>
        <w:t xml:space="preserve">        202421090XXX       </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姓        名：</w:t>
      </w:r>
      <w:r>
        <w:rPr>
          <w:rFonts w:ascii="黑体" w:cs="黑体" w:eastAsia="黑体" w:hAnsi="黑体"/>
          <w:sz w:val="30"/>
          <w:szCs w:val="30"/>
          <w:u w:val="single"/>
        </w:rPr>
        <w:t xml:space="preserve">         刘俊希            </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论文题目：</w:t>
      </w:r>
      <w:r>
        <w:rPr>
          <w:rFonts w:ascii="黑体" w:cs="黑体" w:eastAsia="黑体" w:hAnsi="黑体"/>
          <w:sz w:val="30"/>
          <w:szCs w:val="30"/>
          <w:u w:val="single"/>
        </w:rPr>
        <w:t xml:space="preserve">基于因果表征学习的肺癌预防控制</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              </w:t>
      </w:r>
      <w:r>
        <w:rPr>
          <w:rFonts w:ascii="黑体" w:cs="黑体" w:eastAsia="黑体" w:hAnsi="黑体"/>
          <w:sz w:val="30"/>
          <w:szCs w:val="30"/>
          <w:u w:val="single"/>
        </w:rPr>
        <w:t xml:space="preserve">辅助决策研究与实现</w:t>
      </w:r>
      <w:r>
        <w:rPr>
          <w:rFonts w:ascii="黑体" w:cs="黑体" w:eastAsia="黑体" w:hAnsi="黑体"/>
          <w:sz w:val="30"/>
          <w:szCs w:val="30"/>
          <w:u w:val="single"/>
        </w:rPr>
        <w:t xml:space="preserve">                     </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校内指导教师：</w:t>
      </w:r>
      <w:r>
        <w:rPr>
          <w:rFonts w:ascii="黑体" w:cs="黑体" w:eastAsia="黑体" w:hAnsi="黑体"/>
          <w:sz w:val="30"/>
          <w:szCs w:val="30"/>
          <w:u w:val="single"/>
        </w:rPr>
        <w:t xml:space="preserve">         XXX              </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校外指导教师：</w:t>
      </w:r>
      <w:r>
        <w:rPr>
          <w:rFonts w:ascii="黑体" w:cs="黑体" w:eastAsia="黑体" w:hAnsi="黑体"/>
          <w:sz w:val="30"/>
          <w:szCs w:val="30"/>
          <w:u w:val="single"/>
        </w:rPr>
        <w:t xml:space="preserve">         XXX              </w:t>
      </w:r>
    </w:p>
    <w:p>
      <w:pPr>
        <w:tabs>
          <w:tab w:val="left" w:pos="1276"/>
        </w:tabs>
        <w:spacing w:after="360"/>
      </w:pPr>
      <w:r>
        <w:rPr>
          <w:rFonts w:ascii="黑体" w:cs="黑体" w:eastAsia="黑体" w:hAnsi="黑体"/>
          <w:sz w:val="30"/>
          <w:szCs w:val="30"/>
        </w:rPr>
        <w:t xml:space="preserve">	</w:t>
      </w:r>
      <w:r>
        <w:rPr>
          <w:rFonts w:ascii="黑体" w:cs="黑体" w:eastAsia="黑体" w:hAnsi="黑体"/>
          <w:sz w:val="30"/>
          <w:szCs w:val="30"/>
        </w:rPr>
        <w:t xml:space="preserve">填表日期：</w:t>
      </w:r>
      <w:r>
        <w:rPr>
          <w:rFonts w:ascii="黑体" w:cs="黑体" w:eastAsia="黑体" w:hAnsi="黑体"/>
          <w:sz w:val="30"/>
          <w:szCs w:val="30"/>
          <w:u w:val="single"/>
        </w:rPr>
        <w:t xml:space="preserve">  2026 </w:t>
      </w:r>
      <w:r>
        <w:rPr>
          <w:rFonts w:ascii="黑体" w:cs="黑体" w:eastAsia="黑体" w:hAnsi="黑体"/>
          <w:sz w:val="30"/>
          <w:szCs w:val="30"/>
        </w:rPr>
        <w:t xml:space="preserve">年</w:t>
      </w:r>
      <w:r>
        <w:rPr>
          <w:rFonts w:ascii="黑体" w:cs="黑体" w:eastAsia="黑体" w:hAnsi="黑体"/>
          <w:sz w:val="30"/>
          <w:szCs w:val="30"/>
          <w:u w:val="single"/>
        </w:rPr>
        <w:t xml:space="preserve">   3 </w:t>
      </w:r>
      <w:r>
        <w:rPr>
          <w:rFonts w:ascii="黑体" w:cs="黑体" w:eastAsia="黑体" w:hAnsi="黑体"/>
          <w:sz w:val="30"/>
          <w:szCs w:val="30"/>
        </w:rPr>
        <w:t xml:space="preserve">月</w:t>
      </w:r>
      <w:r>
        <w:rPr>
          <w:rFonts w:ascii="黑体" w:cs="黑体" w:eastAsia="黑体" w:hAnsi="黑体"/>
          <w:sz w:val="30"/>
          <w:szCs w:val="30"/>
          <w:u w:val="single"/>
        </w:rPr>
        <w:t xml:space="preserve">  24  </w:t>
      </w:r>
      <w:r>
        <w:rPr>
          <w:rFonts w:ascii="黑体" w:cs="黑体" w:eastAsia="黑体" w:hAnsi="黑体"/>
          <w:sz w:val="30"/>
          <w:szCs w:val="30"/>
        </w:rPr>
        <w:t xml:space="preserve">日</w:t>
      </w:r>
    </w:p>
    <w:p>
      <w:pPr>
        <w:spacing w:before="1200"/>
        <w:jc w:val="center"/>
      </w:pPr>
      <w:r>
        <w:rPr>
          <w:rFonts w:ascii="楷体" w:cs="楷体" w:eastAsia="楷体" w:hAnsi="楷体"/>
          <w:sz w:val="32"/>
          <w:szCs w:val="32"/>
        </w:rPr>
        <w:t xml:space="preserve">电子科技大学研究生院</w:t>
      </w:r>
    </w:p>
    <w:p>
      <w:pPr>
        <w:sectPr>
          <w:pgSz w:w="11906" w:h="16838" w:orient="portrait"/>
          <w:pgMar w:top="1418" w:right="1191" w:bottom="1418" w:left="1474" w:header="708" w:footer="708" w:gutter="0"/>
          <w:pgNumType/>
          <w:docGrid w:linePitch="360"/>
        </w:sectPr>
      </w:pPr>
    </w:p>
    <w:p>
      <w:r>
        <w:rPr>
          <w:rFonts w:ascii="黑体" w:cs="黑体" w:eastAsia="黑体" w:hAnsi="黑体"/>
          <w:sz w:val="28"/>
          <w:szCs w:val="28"/>
        </w:rPr>
        <w:t xml:space="preserve">一、已完成的主要工作</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00%"/>
            <w:gridSpan w:val="2"/>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r>
              <w:rPr>
                <w:rFonts w:ascii="宋体" w:cs="宋体" w:eastAsia="宋体" w:hAnsi="宋体"/>
                <w:b/>
                <w:bCs/>
                <w:sz w:val="24"/>
                <w:szCs w:val="24"/>
              </w:rPr>
              <w:t xml:space="preserve">1.开题报告通过时间：</w:t>
            </w:r>
            <w:r>
              <w:rPr>
                <w:rFonts w:ascii="宋体" w:cs="宋体" w:eastAsia="宋体" w:hAnsi="宋体"/>
                <w:sz w:val="24"/>
                <w:szCs w:val="24"/>
                <w:u w:val="single"/>
              </w:rPr>
              <w:t xml:space="preserve">  2025  年  11  月  28  日</w:t>
            </w:r>
          </w:p>
        </w:tc>
      </w:tr>
      <w:tr>
        <w:tc>
          <w:tcPr>
            <w:tcW w:type="pct" w:w="5000%"/>
            <w:gridSpan w:val="2"/>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r>
              <w:rPr>
                <w:rFonts w:ascii="宋体" w:cs="宋体" w:eastAsia="宋体" w:hAnsi="宋体"/>
                <w:b/>
                <w:bCs/>
                <w:sz w:val="24"/>
                <w:szCs w:val="24"/>
              </w:rPr>
              <w:t xml:space="preserve">2. 课程学习情况</w:t>
            </w:r>
          </w:p>
        </w:tc>
      </w:tr>
      <w:tr>
        <w:tc>
          <w:tcPr>
            <w:tcW w:type="dxa" w:w="4066"/>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r>
              <w:rPr>
                <w:rFonts w:ascii="宋体" w:cs="宋体" w:eastAsia="宋体" w:hAnsi="宋体"/>
                <w:sz w:val="24"/>
                <w:szCs w:val="24"/>
              </w:rPr>
              <w:t xml:space="preserve">是否已达到培养方案规定的学分要求</w:t>
            </w:r>
          </w:p>
        </w:tc>
        <w:tc>
          <w:tcPr>
            <w:tcW w:type="dxa" w:w="5175"/>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r>
              <w:rPr>
                <w:rFonts w:ascii="宋体" w:cs="宋体" w:eastAsia="宋体" w:hAnsi="宋体"/>
                <w:sz w:val="24"/>
                <w:szCs w:val="24"/>
              </w:rPr>
              <w:t xml:space="preserve">☑是    □否</w:t>
            </w:r>
          </w:p>
        </w:tc>
      </w:tr>
      <w:tr>
        <w:tc>
          <w:tcPr>
            <w:tcW w:type="pct" w:w="5000%"/>
            <w:gridSpan w:val="2"/>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r>
              <w:rPr>
                <w:rFonts w:ascii="宋体" w:cs="宋体" w:eastAsia="宋体" w:hAnsi="宋体"/>
                <w:b/>
                <w:bCs/>
                <w:sz w:val="24"/>
                <w:szCs w:val="24"/>
              </w:rPr>
              <w:t xml:space="preserve">3. 论文研究进展</w:t>
            </w:r>
          </w:p>
        </w:tc>
      </w:tr>
      <w:tr>
        <w:tc>
          <w:tcPr>
            <w:tcW w:type="pct" w:w="5000%"/>
            <w:gridSpan w:val="2"/>
            <w:tcBorders>
              <w:top w:val="single" w:color="000000" w:sz="1"/>
              <w:left w:val="single" w:color="000000" w:sz="1"/>
              <w:bottom w:val="single" w:color="000000" w:sz="1"/>
              <w:right w:val="single" w:color="000000" w:sz="1"/>
            </w:tcBorders>
            <w:tcMar>
              <w:top w:type="dxa" w:w="57"/>
              <w:left w:type="dxa" w:w="57"/>
              <w:bottom w:type="dxa" w:w="57"/>
              <w:right w:type="dxa" w:w="57"/>
            </w:tcMar>
          </w:tcPr>
          <w:p>
            <w:pPr>
              <w:spacing w:after="120" w:line="360" w:lineRule="auto"/>
            </w:pPr>
            <w:r>
              <w:rPr>
                <w:rFonts w:ascii="楷体" w:cs="楷体" w:eastAsia="楷体" w:hAnsi="楷体"/>
                <w:sz w:val="24"/>
                <w:szCs w:val="24"/>
              </w:rPr>
              <w:t xml:space="preserve">从理论分析或计算部分、实验实践（或实证）工作等方面进行总结（可续页）</w:t>
            </w:r>
          </w:p>
          <w:p>
            <w:pPr>
              <w:spacing w:line="360" w:lineRule="auto"/>
              <w:ind w:firstLine="480"/>
            </w:pPr>
            <w:r>
              <w:rPr>
                <w:rFonts w:ascii="宋体" w:cs="宋体" w:eastAsia="宋体" w:hAnsi="宋体"/>
                <w:sz w:val="24"/>
                <w:szCs w:val="24"/>
              </w:rPr>
              <w:t xml:space="preserve">本研究依据美国国家癌癇研究所（NCI）提出的癌癇控制连续体框架，聚焦于肺癌预防控制的关键阶段，旨在构建覆盖一级预防（病因分析）与二级预防（筛检与随访管理）的智能辅助决策体系。研究计划分为三个核心环节：（1）基于因果发现与超图学习的危险因素分析；（2）基于因果扩散模型的高危人群识别；（3）基于知识图谱与大语言模型的随访建议生成。目前已基本完成前两个环节的算法研究开发。本次中期报告着重汇报第一个环节——基于因果发现与超图学习的危险因素分析的完整研究进展。</w:t>
            </w:r>
          </w:p>
          <w:p>
            <w:pPr>
              <w:spacing w:line="360" w:lineRule="auto"/>
              <w:ind w:firstLine="480"/>
            </w:pPr>
            <w:r>
              <w:rPr>
                <w:rFonts w:ascii="宋体" w:cs="宋体" w:eastAsia="宋体" w:hAnsi="宋体"/>
                <w:sz w:val="24"/>
                <w:szCs w:val="24"/>
              </w:rPr>
              <w:t xml:space="preserve">该环节的核心目标是：利用因果解耦技术从多模态流行病学数据中剥离强混杂因素，构建超图神经网络量化环境暴露（PM2.5）与遗传易感性（基因突变）之间的非线性协同病因机制，揭示肺癌的病因机制，为制定精准的一级预防策略提供量化依据。完成的工作具体如下：</w:t>
            </w:r>
          </w:p>
          <w:p>
            <w:pPr>
              <w:spacing w:after="100" w:before="200" w:line="360" w:lineRule="auto"/>
            </w:pPr>
            <w:r>
              <w:rPr>
                <w:rFonts w:ascii="宋体" w:cs="宋体" w:eastAsia="宋体" w:hAnsi="宋体"/>
                <w:b/>
                <w:bCs/>
                <w:sz w:val="24"/>
                <w:szCs w:val="24"/>
              </w:rPr>
              <w:t xml:space="preserve">1. 基于因果发现与超图学习的危险因素分析（Deep-Lung-Causal模型）</w:t>
            </w:r>
          </w:p>
          <w:p>
            <w:pPr>
              <w:spacing w:line="360" w:lineRule="auto"/>
              <w:ind w:firstLine="480"/>
            </w:pPr>
            <w:r>
              <w:rPr>
                <w:rFonts w:ascii="宋体" w:cs="宋体" w:eastAsia="宋体" w:hAnsi="宋体"/>
                <w:b/>
                <w:bCs/>
                <w:sz w:val="24"/>
                <w:szCs w:val="24"/>
              </w:rPr>
              <w:t xml:space="preserve">步骤一：</w:t>
            </w:r>
            <w:r>
              <w:rPr>
                <w:rFonts w:ascii="宋体" w:cs="宋体" w:eastAsia="宋体" w:hAnsi="宋体"/>
                <w:sz w:val="24"/>
                <w:szCs w:val="24"/>
              </w:rPr>
              <w:t xml:space="preserve">半合成数据集构建与验证</w:t>
            </w:r>
          </w:p>
          <w:p>
            <w:pPr>
              <w:spacing w:line="360" w:lineRule="auto"/>
              <w:ind w:firstLine="480"/>
            </w:pPr>
            <w:r>
              <w:rPr>
                <w:rFonts w:ascii="宋体" w:cs="宋体" w:eastAsia="宋体" w:hAnsi="宋体"/>
                <w:sz w:val="24"/>
                <w:szCs w:val="24"/>
              </w:rPr>
              <w:t xml:space="preserve">由于原始临床数据缺乏因果真值（Ground Truth），无法直接评估模型的因果推断能力。本研究采用半合成（Semi-synthetic）策略，基于TCGA（The Cancer Genome Atlas）真实数据构建了具有已知因果机制的评估数据集。具体方案如下：</w:t>
            </w:r>
          </w:p>
          <w:p>
            <w:pPr>
              <w:spacing w:line="360" w:lineRule="auto"/>
              <w:ind w:firstLine="480"/>
            </w:pPr>
            <w:r>
              <w:rPr>
                <w:rFonts w:ascii="宋体" w:cs="宋体" w:eastAsia="宋体" w:hAnsi="宋体"/>
                <w:sz w:val="24"/>
                <w:szCs w:val="24"/>
              </w:rPr>
              <w:t xml:space="preserve">（1）数据清洗与特征对齐。从TCGA数据库获取泛癌数据集（PANCAN，约9,080例）和肺腺癌数据集（LUAD，约513例）的基因突变数据与临床数据（年龄、性别），选取Top 20高频突变基因（强制包含EGFR、KRAS、TP53），构建统一的23维特征空间（2维人口学特征 + 20维基因突变特征 + 1维环境暴露特征）。</w:t>
            </w:r>
          </w:p>
          <w:p>
            <w:pPr>
              <w:spacing w:line="360" w:lineRule="auto"/>
              <w:ind w:firstLine="480"/>
            </w:pPr>
            <w:r>
              <w:rPr>
                <w:rFonts w:ascii="宋体" w:cs="宋体" w:eastAsia="宋体" w:hAnsi="宋体"/>
                <w:sz w:val="24"/>
                <w:szCs w:val="24"/>
              </w:rPr>
              <w:t xml:space="preserve">（2）虚拟环境暴露生成。采用公式 Virtual_PM2.5 = 30.0 + 3.0 × Z(Age) + N(0, 10) 生成虚拟PM2.5暴露值，人为引入年龄-PM2.5混杂关联（相关系数r ≈ 0.29），模拟真实世界中社会经济地位等混杂因素与环境暴露的耦合关系。</w:t>
            </w:r>
          </w:p>
          <w:p>
            <w:pPr>
              <w:spacing w:line="360" w:lineRule="auto"/>
              <w:ind w:firstLine="480"/>
            </w:pPr>
            <w:r>
              <w:rPr>
                <w:rFonts w:ascii="宋体" w:cs="宋体" w:eastAsia="宋体" w:hAnsi="宋体"/>
                <w:sz w:val="24"/>
                <w:szCs w:val="24"/>
              </w:rPr>
              <w:t xml:space="preserve">（3）因果结局生成。设计两种结局生成方案：交互方案（L = -3.0 + 0.086×PM2.5 + 0.69×PM2.5×EGFR + 0.5×ΣGenes，Y = Bernoulli(σ(L))）和线性方案（无交互项），分别生成交互数据集和线性对照数据集。其中交互方案中EGFR突变与PM2.5暴露的交互系数（0.69）参考Hill等2023年的流行病学研究，基础环境效应系数（0.086）参考Hamra等2014年的Meta分析结果。</w:t>
            </w:r>
          </w:p>
          <w:p>
            <w:pPr>
              <w:spacing w:line="360" w:lineRule="auto"/>
              <w:ind w:firstLine="480"/>
            </w:pPr>
            <w:r>
              <w:rPr>
                <w:rFonts w:ascii="宋体" w:cs="宋体" w:eastAsia="宋体" w:hAnsi="宋体"/>
                <w:sz w:val="24"/>
                <w:szCs w:val="24"/>
              </w:rPr>
              <w:t xml:space="preserve">（4）数据集战略定位。PANCAN交互数据集用于模型预训练，LUAD交互数据集用于微调与测试，线性数据集作为阴性对照。通过泄露审计脚本确保预训练数据与测试数据无样本重叠。数据集概况如表1所示。</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数据集</w:t>
                  </w:r>
                </w:p>
              </w:tc>
              <w:tc>
                <w:tcPr>
                  <w:tcW w:type="dxa" w:w="1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样本量</w:t>
                  </w:r>
                </w:p>
              </w:tc>
              <w:tc>
                <w:tcPr>
                  <w:tcW w:type="dxa" w:w="1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特征维度</w:t>
                  </w:r>
                </w:p>
              </w:tc>
              <w:tc>
                <w:tcPr>
                  <w:tcW w:type="dxa" w:w="14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任务阶段</w:t>
                  </w:r>
                </w:p>
              </w:tc>
              <w:tc>
                <w:tcPr>
                  <w:tcW w:type="dxa" w:w="28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科学目的</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PANCAN交互</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~9,080</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23</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预训练</w:t>
                  </w:r>
                </w:p>
              </w:tc>
              <w:tc>
                <w:tcPr>
                  <w:tcW w:type="dxa" w:w="2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学习通用基因特征表示</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LUAD交互</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~513</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23</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微调/测试</w:t>
                  </w:r>
                </w:p>
              </w:tc>
              <w:tc>
                <w:tcPr>
                  <w:tcW w:type="dxa" w:w="2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验证小样本因果发现能力</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PANCAN线性</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~9,080</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23</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对照</w:t>
                  </w:r>
                </w:p>
              </w:tc>
              <w:tc>
                <w:tcPr>
                  <w:tcW w:type="dxa" w:w="2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阴性对照（无交互效应）</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LUAD线性</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~513</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23</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对照</w:t>
                  </w:r>
                </w:p>
              </w:tc>
              <w:tc>
                <w:tcPr>
                  <w:tcW w:type="dxa" w:w="2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阴性对照（无交互效应）</w:t>
                  </w:r>
                </w:p>
              </w:tc>
            </w:tr>
          </w:tbl>
          <w:p>
            <w:pPr>
              <w:spacing w:after="120" w:before="60"/>
              <w:jc w:val="center"/>
            </w:pPr>
            <w:r>
              <w:rPr>
                <w:rFonts w:ascii="宋体" w:cs="宋体" w:eastAsia="宋体" w:hAnsi="宋体"/>
                <w:sz w:val="21"/>
                <w:szCs w:val="21"/>
              </w:rPr>
              <w:t xml:space="preserve">表1 半合成数据集概况</w:t>
            </w:r>
          </w:p>
          <w:p>
            <w:pPr>
              <w:jc w:val="center"/>
            </w:pPr>
            <w:r>
              <w:drawing>
                <wp:inline distT="0" distB="0" distL="0" distR="0">
                  <wp:extent cx="4000500" cy="2667000"/>
                  <wp:effectExtent t="0" r="0" b="0" l="0"/>
                  <wp:docPr id="1" name="图1 ITE与年龄依赖性分析（验证混杂因子设计的有效性）" descr="图1 ITE与年龄依赖性分析（验证混杂因子设计的有效性）" title="图1 ITE与年龄依赖性分析（验证混杂因子设计的有效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120" w:before="60"/>
              <w:jc w:val="center"/>
            </w:pPr>
            <w:r>
              <w:rPr>
                <w:rFonts w:ascii="宋体" w:cs="宋体" w:eastAsia="宋体" w:hAnsi="宋体"/>
                <w:sz w:val="21"/>
                <w:szCs w:val="21"/>
              </w:rPr>
              <w:t xml:space="preserve">图1 ITE与年龄依赖性分析（验证混杂因子设计的有效性）</w:t>
            </w:r>
          </w:p>
          <w:p>
            <w:pPr>
              <w:spacing w:line="360" w:lineRule="auto"/>
              <w:ind w:firstLine="480"/>
            </w:pPr>
            <w:r>
              <w:rPr>
                <w:rFonts w:ascii="宋体" w:cs="宋体" w:eastAsia="宋体" w:hAnsi="宋体"/>
                <w:b/>
                <w:bCs/>
                <w:sz w:val="24"/>
                <w:szCs w:val="24"/>
              </w:rPr>
              <w:t xml:space="preserve">步骤二：</w:t>
            </w:r>
            <w:r>
              <w:rPr>
                <w:rFonts w:ascii="宋体" w:cs="宋体" w:eastAsia="宋体" w:hAnsi="宋体"/>
                <w:sz w:val="24"/>
                <w:szCs w:val="24"/>
              </w:rPr>
              <w:t xml:space="preserve">Deep-Lung-Causal（DLC）模型架构设计与实现</w:t>
            </w:r>
          </w:p>
          <w:p>
            <w:pPr>
              <w:spacing w:line="360" w:lineRule="auto"/>
              <w:ind w:firstLine="480"/>
            </w:pPr>
            <w:r>
              <w:rPr>
                <w:rFonts w:ascii="宋体" w:cs="宋体" w:eastAsia="宋体" w:hAnsi="宋体"/>
                <w:sz w:val="24"/>
                <w:szCs w:val="24"/>
              </w:rPr>
              <w:t xml:space="preserve">针对混杂难以解耦、非线性交互建模缺失及学习伪相关权重三大挑战，提出了Deep-Lung-Causal（DLC）模型，由三个核心模块组成：</w:t>
            </w:r>
          </w:p>
          <w:p>
            <w:pPr>
              <w:spacing w:line="360" w:lineRule="auto"/>
              <w:ind w:firstLine="480"/>
            </w:pPr>
            <w:r>
              <w:rPr>
                <w:rFonts w:ascii="宋体" w:cs="宋体" w:eastAsia="宋体" w:hAnsi="宋体"/>
                <w:sz w:val="24"/>
                <w:szCs w:val="24"/>
              </w:rPr>
              <w:t xml:space="preserve">（1）双流因果变分自编码器（Causal VAE）。将23维输入特征通过双流编码器分别映射为混杂表征Z_conf（8维）和效应表征Z_effect（16维），利用重参数化技巧实现可微采样。关键创新在于引入希尔伯特-施密特独立性准则（HSIC）损失函数，使用RBF核函数计算Z_conf与Z_effect在再生核希尔伯特空间中的统计独立性。其数学表达为：</w:t>
            </w:r>
          </w:p>
          <w:p>
            <w:pPr>
              <w:spacing w:after="60" w:before="60" w:line="360" w:lineRule="auto"/>
              <w:jc w:val="center"/>
            </w:pPr>
            <w:r>
              <w:rPr>
                <w:rFonts w:ascii="宋体" w:cs="宋体" w:eastAsia="宋体" w:hAnsi="宋体"/>
                <w:i/>
                <w:iCs/>
                <w:sz w:val="24"/>
                <w:szCs w:val="24"/>
              </w:rPr>
              <w:t xml:space="preserve">HSIC(Z_conf, Z_effect) = 1/(B-1)² × Tr(K_conf · H · K_effect · H)</w:t>
            </w:r>
          </w:p>
          <w:p>
            <w:pPr>
              <w:spacing w:line="360" w:lineRule="auto"/>
              <w:ind w:firstLine="480"/>
            </w:pPr>
            <w:r>
              <w:rPr>
                <w:rFonts w:ascii="宋体" w:cs="宋体" w:eastAsia="宋体" w:hAnsi="宋体"/>
                <w:sz w:val="24"/>
                <w:szCs w:val="24"/>
              </w:rPr>
              <w:t xml:space="preserve">其中H = I - (1/B)·11ᵀ为中心化矩阵，K为RBF核矩阵。通过最小化HSIC值强制两类表征正交独立，从数学上消除混杂偏倩。同时通过MSE重构损失保证信息无损编码。</w:t>
            </w:r>
          </w:p>
          <w:p>
            <w:pPr>
              <w:spacing w:line="360" w:lineRule="auto"/>
              <w:ind w:firstLine="480"/>
            </w:pPr>
            <w:r>
              <w:rPr>
                <w:rFonts w:ascii="宋体" w:cs="宋体" w:eastAsia="宋体" w:hAnsi="宋体"/>
                <w:sz w:val="24"/>
                <w:szCs w:val="24"/>
              </w:rPr>
              <w:t xml:space="preserve">（2）动态超图神经网络（Dynamic Hypergraph NN）。将20个基因位点建模为图节点，利用多头自注意力机制（4个注意力头）动态构建协同致病超边（每个注意力头选取Top-5邻居，全80条超边）。设计环境门控机制（Environment Gating）：</w:t>
            </w:r>
          </w:p>
          <w:p>
            <w:pPr>
              <w:spacing w:after="60" w:before="60" w:line="360" w:lineRule="auto"/>
              <w:jc w:val="center"/>
            </w:pPr>
            <w:r>
              <w:rPr>
                <w:rFonts w:ascii="宋体" w:cs="宋体" w:eastAsia="宋体" w:hAnsi="宋体"/>
                <w:i/>
                <w:iCs/>
                <w:sz w:val="24"/>
                <w:szCs w:val="24"/>
              </w:rPr>
              <w:t xml:space="preserve">gate = σ(W_gate · Z_effect),  H_gated = gate ⊗ H</w:t>
            </w:r>
          </w:p>
          <w:p>
            <w:pPr>
              <w:spacing w:line="360" w:lineRule="auto"/>
              <w:ind w:firstLine="480"/>
            </w:pPr>
            <w:r>
              <w:rPr>
                <w:rFonts w:ascii="宋体" w:cs="宋体" w:eastAsia="宋体" w:hAnsi="宋体"/>
                <w:sz w:val="24"/>
                <w:szCs w:val="24"/>
              </w:rPr>
              <w:t xml:space="preserve">将解耦后的环境效应表征作为门控系数对超边特征进行非线性加权，模拟PM2.5作为促癌剂对基因致病风险的协同效应。随后通过多层超图卷积（默认2层）传播节点信息，超图卷积公式为：</w:t>
            </w:r>
          </w:p>
          <w:p>
            <w:pPr>
              <w:spacing w:after="60" w:before="60" w:line="360" w:lineRule="auto"/>
              <w:jc w:val="center"/>
            </w:pPr>
            <w:r>
              <w:rPr>
                <w:rFonts w:ascii="宋体" w:cs="宋体" w:eastAsia="宋体" w:hAnsi="宋体"/>
                <w:i/>
                <w:iCs/>
                <w:sz w:val="24"/>
                <w:szCs w:val="24"/>
              </w:rPr>
              <w:t xml:space="preserve">X_out = D_v^(-1/2) · Hᵀ · D_e^(-1) · H · D_v^(-1/2) · X · Θ</w:t>
            </w:r>
          </w:p>
          <w:p>
            <w:pPr>
              <w:spacing w:line="360" w:lineRule="auto"/>
              <w:ind w:firstLine="480"/>
            </w:pPr>
            <w:r>
              <w:rPr>
                <w:rFonts w:ascii="宋体" w:cs="宋体" w:eastAsia="宋体" w:hAnsi="宋体"/>
                <w:sz w:val="24"/>
                <w:szCs w:val="24"/>
              </w:rPr>
              <w:t xml:space="preserve">（3）对抗性混杂消除与预测。引入梯度反转层（Gradient Reversal Layer）构建对抗性年龄预测头，强制效应表征Z_effect无法预测年龄信息，进一步确保因果效应估计不受年龄混杂污染。同时设计基因跳跃连接（Gene Skip Connection），在超图卷积的均值池化后保留原始基因信号，防止信息损失。模型采用复合损失函数进行端到端训练：</w:t>
            </w:r>
          </w:p>
          <w:p>
            <w:pPr>
              <w:spacing w:after="60" w:before="60" w:line="360" w:lineRule="auto"/>
              <w:jc w:val="center"/>
            </w:pPr>
            <w:r>
              <w:rPr>
                <w:rFonts w:ascii="宋体" w:cs="宋体" w:eastAsia="宋体" w:hAnsi="宋体"/>
                <w:i/>
                <w:iCs/>
                <w:sz w:val="24"/>
                <w:szCs w:val="24"/>
              </w:rPr>
              <w:t xml:space="preserve">L_total = L_recon + λ_hsic·L_hsic + λ_pred·L_pred + λ_ite·L_ite + λ_cate·L_cate + λ_adv·L_adv</w:t>
            </w:r>
          </w:p>
          <w:p>
            <w:pPr>
              <w:spacing w:line="360" w:lineRule="auto"/>
              <w:ind w:firstLine="480"/>
            </w:pPr>
            <w:r>
              <w:rPr>
                <w:rFonts w:ascii="宋体" w:cs="宋体" w:eastAsia="宋体" w:hAnsi="宋体"/>
                <w:sz w:val="24"/>
                <w:szCs w:val="24"/>
              </w:rPr>
              <w:t xml:space="preserve">最终确定的最优超参数配置为：隐藏层维度d_hidden=128，网络层数num_layers=3，λ_pred=3.5，λ_cate=5.0，λ_hsic=0.1，λ_adv=0.5，预训练学习率1e-4，微调学习率3e-5。模型总参数量仅为203,164，实现了轻量高效的设计目标。</w:t>
            </w:r>
          </w:p>
          <w:p>
            <w:pPr>
              <w:jc w:val="center"/>
            </w:pPr>
            <w:r>
              <w:drawing>
                <wp:inline distT="0" distB="0" distL="0" distR="0">
                  <wp:extent cx="4000500" cy="3048000"/>
                  <wp:effectExtent t="0" r="0" b="0" l="0"/>
                  <wp:docPr id="1" name="图2 网络架构（d_hidden × num_layers）多目标权衡散点图" descr="图2 网络架构（d_hidden × num_layers）多目标权衡散点图" title="图2 网络架构（d_hidden × num_layers）多目标权衡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48000"/>
                          </a:xfrm>
                          <a:prstGeom prst="rect">
                            <a:avLst/>
                          </a:prstGeom>
                        </pic:spPr>
                      </pic:pic>
                    </a:graphicData>
                  </a:graphic>
                </wp:inline>
              </w:drawing>
            </w:r>
          </w:p>
          <w:p>
            <w:pPr>
              <w:spacing w:after="120" w:before="60"/>
              <w:jc w:val="center"/>
            </w:pPr>
            <w:r>
              <w:rPr>
                <w:rFonts w:ascii="宋体" w:cs="宋体" w:eastAsia="宋体" w:hAnsi="宋体"/>
                <w:sz w:val="21"/>
                <w:szCs w:val="21"/>
              </w:rPr>
              <w:t xml:space="preserve">图2 网络架构（d_hidden × num_layers）多目标权衡散点图</w:t>
            </w:r>
          </w:p>
          <w:p>
            <w:pPr>
              <w:jc w:val="center"/>
            </w:pPr>
            <w:r>
              <w:drawing>
                <wp:inline distT="0" distB="0" distL="0" distR="0">
                  <wp:extent cx="4000500" cy="3048000"/>
                  <wp:effectExtent t="0" r="0" b="0" l="0"/>
                  <wp:docPr id="1" name="图3 不同架构配置下的AUC性能热力图" descr="图3 不同架构配置下的AUC性能热力图" title="图3 不同架构配置下的AUC性能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48000"/>
                          </a:xfrm>
                          <a:prstGeom prst="rect">
                            <a:avLst/>
                          </a:prstGeom>
                        </pic:spPr>
                      </pic:pic>
                    </a:graphicData>
                  </a:graphic>
                </wp:inline>
              </w:drawing>
            </w:r>
          </w:p>
          <w:p>
            <w:pPr>
              <w:spacing w:after="120" w:before="60"/>
              <w:jc w:val="center"/>
            </w:pPr>
            <w:r>
              <w:rPr>
                <w:rFonts w:ascii="宋体" w:cs="宋体" w:eastAsia="宋体" w:hAnsi="宋体"/>
                <w:sz w:val="21"/>
                <w:szCs w:val="21"/>
              </w:rPr>
              <w:t xml:space="preserve">图3 不同架构配置下的AUC性能热力图</w:t>
            </w:r>
          </w:p>
          <w:p>
            <w:pPr>
              <w:spacing w:line="360" w:lineRule="auto"/>
              <w:ind w:firstLine="480"/>
            </w:pPr>
            <w:r>
              <w:rPr>
                <w:rFonts w:ascii="宋体" w:cs="宋体" w:eastAsia="宋体" w:hAnsi="宋体"/>
                <w:b/>
                <w:bCs/>
                <w:sz w:val="24"/>
                <w:szCs w:val="24"/>
              </w:rPr>
              <w:t xml:space="preserve">步骤三：</w:t>
            </w:r>
            <w:r>
              <w:rPr>
                <w:rFonts w:ascii="宋体" w:cs="宋体" w:eastAsia="宋体" w:hAnsi="宋体"/>
                <w:sz w:val="24"/>
                <w:szCs w:val="24"/>
              </w:rPr>
              <w:t xml:space="preserve">模型训练与实验验证</w:t>
            </w:r>
          </w:p>
          <w:p>
            <w:pPr>
              <w:spacing w:line="360" w:lineRule="auto"/>
              <w:ind w:firstLine="480"/>
            </w:pPr>
            <w:r>
              <w:rPr>
                <w:rFonts w:ascii="宋体" w:cs="宋体" w:eastAsia="宋体" w:hAnsi="宋体"/>
                <w:sz w:val="24"/>
                <w:szCs w:val="24"/>
              </w:rPr>
              <w:t xml:space="preserve">采用预训练-微调（Pre-training + Fine-tuning）的迁移学习策略：第一阶段在PANCAN大数据集上预训练200轮（学习率1e-4，Batch Size 512）；第二阶段在LUAD目标数据集上微调100轮（学习率3e-5，Batch Size 128）。数据按8:1:1比例进行分层随机划分，采用5个随机种子（Seeds: 42-46）独立重复实验，报告均值±标准差。</w:t>
            </w:r>
          </w:p>
          <w:p>
            <w:pPr>
              <w:spacing w:line="360" w:lineRule="auto"/>
              <w:ind w:firstLine="480"/>
            </w:pPr>
            <w:r>
              <w:rPr>
                <w:rFonts w:ascii="宋体" w:cs="宋体" w:eastAsia="宋体" w:hAnsi="宋体"/>
                <w:sz w:val="24"/>
                <w:szCs w:val="24"/>
              </w:rPr>
              <w:t xml:space="preserve">为全面评估DLC模型性能，实现了6个覆盖不同技术路线的SOTA基线模型：（1）XGBoost——梯度提升决策树；（2）TabR（ICLR 2024）——检索增强表格学习；（3）HyperFast（AAAI 2024）——超网络快速分类；（4）MOGONET（Nature Comms 2021）——多组学图神经网络；（5）TransTEE（NeurIPS 2022）——Transformer异质治疗效应估计；（6）CFGen——基于扩散的反事实生成器。总体性能对比如表2所示。</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模型</w:t>
                  </w:r>
                </w:p>
              </w:tc>
              <w:tc>
                <w:tcPr>
                  <w:tcW w:type="dxa" w:w="105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AUC</w:t>
                  </w:r>
                </w:p>
              </w:tc>
              <w:tc>
                <w:tcPr>
                  <w:tcW w:type="dxa" w:w="105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Accuracy</w:t>
                  </w:r>
                </w:p>
              </w:tc>
              <w:tc>
                <w:tcPr>
                  <w:tcW w:type="dxa" w:w="105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F1</w:t>
                  </w:r>
                </w:p>
              </w:tc>
              <w:tc>
                <w:tcPr>
                  <w:tcW w:type="dxa" w:w="10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PEHE</w:t>
                  </w:r>
                </w:p>
              </w:tc>
              <w:tc>
                <w:tcPr>
                  <w:tcW w:type="dxa" w:w="105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Delta CATE</w:t>
                  </w:r>
                </w:p>
              </w:tc>
              <w:tc>
                <w:tcPr>
                  <w:tcW w:type="dxa" w:w="10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Sensitivity</w:t>
                  </w:r>
                </w:p>
              </w:tc>
              <w:tc>
                <w:tcPr>
                  <w:tcW w:type="dxa" w:w="9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参数量</w:t>
                  </w:r>
                </w:p>
              </w:tc>
            </w:tr>
            <w:tr>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XGBoost</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0.8424±0.034</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0.7553±0.021</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0.7042±0.025</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0.0947±0.008</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-0.0056±0.027</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0.0154±0.004</w:t>
                  </w:r>
                </w:p>
              </w:tc>
              <w:tc>
                <w:tcPr>
                  <w:tcW w:type="dxa" w:w="9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1,186</w:t>
                  </w:r>
                </w:p>
              </w:tc>
            </w:tr>
            <w:tr>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TabR</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0.8262±0.024</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0.7456±0.014</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0.7191±0.015</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0.1298±0.014</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0.0390±0.032</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0.0164±0.006</w:t>
                  </w:r>
                </w:p>
              </w:tc>
              <w:tc>
                <w:tcPr>
                  <w:tcW w:type="dxa" w:w="9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408,258</w:t>
                  </w:r>
                </w:p>
              </w:tc>
            </w:tr>
            <w:tr>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MOGONET</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0.8394±0.023</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0.7262±0.029</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0.5847±0.057</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0.0936±0.018</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-0.0244±0.025</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0.0100±0.002</w:t>
                  </w:r>
                </w:p>
              </w:tc>
              <w:tc>
                <w:tcPr>
                  <w:tcW w:type="dxa" w:w="9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143,682</w:t>
                  </w:r>
                </w:p>
              </w:tc>
            </w:tr>
            <w:tr>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TransTEE</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0.8392±0.025</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0.7495±0.042</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0.7235±0.034</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0.1840±0.038</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0.0463±0.063</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0.0072±0.001</w:t>
                  </w:r>
                </w:p>
              </w:tc>
              <w:tc>
                <w:tcPr>
                  <w:tcW w:type="dxa" w:w="9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416,386</w:t>
                  </w:r>
                </w:p>
              </w:tc>
            </w:tr>
            <w:tr>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HyperFast</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0.8386±0.038</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0.6932±0.045</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0.7217±0.042</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0.0728±0.004</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0.0565±0.031</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0.0052±0.002</w:t>
                  </w:r>
                </w:p>
              </w:tc>
              <w:tc>
                <w:tcPr>
                  <w:tcW w:type="dxa" w:w="9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3,023,042</w:t>
                  </w:r>
                </w:p>
              </w:tc>
            </w:tr>
            <w:tr>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CFGen</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0.8538±0.034</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0.7689±0.023</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0.7023±0.035</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0.1071±0.029</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-0.0260±0.025</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0.0059±0.004</w:t>
                  </w:r>
                </w:p>
              </w:tc>
              <w:tc>
                <w:tcPr>
                  <w:tcW w:type="dxa" w:w="9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248,505</w:t>
                  </w:r>
                </w:p>
              </w:tc>
            </w:tr>
            <w:tr>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DLC (Ours)</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0.7938±0.005</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0.7767±0.033</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0.7566±0.035</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0.1125±0.002</w:t>
                  </w:r>
                </w:p>
              </w:tc>
              <w:tc>
                <w:tcPr>
                  <w:tcW w:type="dxa" w:w="105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0.1975±0.019</w:t>
                  </w:r>
                </w:p>
              </w:tc>
              <w:tc>
                <w:tcPr>
                  <w:tcW w:type="dxa" w:w="10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0.0007±0.000</w:t>
                  </w:r>
                </w:p>
              </w:tc>
              <w:tc>
                <w:tcPr>
                  <w:tcW w:type="dxa" w:w="9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203,164</w:t>
                  </w:r>
                </w:p>
              </w:tc>
            </w:tr>
          </w:tbl>
          <w:p>
            <w:pPr>
              <w:spacing w:after="120" w:before="60"/>
              <w:jc w:val="center"/>
            </w:pPr>
            <w:r>
              <w:rPr>
                <w:rFonts w:ascii="宋体" w:cs="宋体" w:eastAsia="宋体" w:hAnsi="宋体"/>
                <w:sz w:val="21"/>
                <w:szCs w:val="21"/>
              </w:rPr>
              <w:t xml:space="preserve">表2 DLC模型与基线模型总体性能对比（5-seed均值±标准差）</w:t>
            </w:r>
          </w:p>
          <w:p>
            <w:pPr>
              <w:spacing w:line="360" w:lineRule="auto"/>
              <w:ind w:firstLine="480"/>
            </w:pPr>
            <w:r>
              <w:rPr>
                <w:rFonts w:ascii="宋体" w:cs="宋体" w:eastAsia="宋体" w:hAnsi="宋体"/>
                <w:sz w:val="24"/>
                <w:szCs w:val="24"/>
              </w:rPr>
              <w:t xml:space="preserve">（1）总体性能分析。</w:t>
            </w:r>
          </w:p>
          <w:p>
            <w:pPr>
              <w:spacing w:line="360" w:lineRule="auto"/>
              <w:ind w:firstLine="480"/>
            </w:pPr>
            <w:r>
              <w:rPr>
                <w:rFonts w:ascii="宋体" w:cs="宋体" w:eastAsia="宋体" w:hAnsi="宋体"/>
                <w:sz w:val="24"/>
                <w:szCs w:val="24"/>
              </w:rPr>
              <w:t xml:space="preserve">DLC模型的Delta CATE达到0.1975（正确为正值，表明EGFR突变患者对PM2.5暴露具有更高的致病风险，符合基因-环境交互的医学事实），而CFGen、XGBoost、MOGONET等模型的Delta CATE为负值，学习到了违背因果逻辑的伪相关。DLC的混杂敏感性（Sensitivity）仅为0.0007，较CFGen降侎88.1%，证明HSIC约束和对抗训练有效消除了年龄混杂偏倩。模型参数量仅203,164（较CFGen减少18.2%）。</w:t>
            </w:r>
          </w:p>
          <w:p>
            <w:pPr>
              <w:spacing w:line="360" w:lineRule="auto"/>
              <w:ind w:firstLine="480"/>
            </w:pPr>
            <w:r>
              <w:rPr>
                <w:rFonts w:ascii="宋体" w:cs="宋体" w:eastAsia="宋体" w:hAnsi="宋体"/>
                <w:sz w:val="24"/>
                <w:szCs w:val="24"/>
              </w:rPr>
              <w:t xml:space="preserve">（2）消融实验。为验证各模块贡献，分别移除超图神经网络（w/o HGNN）、变分自编码器（w/o VAE）和HSIC独立性约束（w/o HSIC），结果如表3所示：</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8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模型变体</w:t>
                  </w:r>
                </w:p>
              </w:tc>
              <w:tc>
                <w:tcPr>
                  <w:tcW w:type="dxa" w:w="1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AUC</w:t>
                  </w:r>
                </w:p>
              </w:tc>
              <w:tc>
                <w:tcPr>
                  <w:tcW w:type="dxa" w:w="1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Accuracy</w:t>
                  </w:r>
                </w:p>
              </w:tc>
              <w:tc>
                <w:tcPr>
                  <w:tcW w:type="dxa" w:w="1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PEHE</w:t>
                  </w:r>
                </w:p>
              </w:tc>
              <w:tc>
                <w:tcPr>
                  <w:tcW w:type="dxa" w:w="14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Delta CATE</w:t>
                  </w:r>
                </w:p>
              </w:tc>
              <w:tc>
                <w:tcPr>
                  <w:tcW w:type="dxa" w:w="14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Sensitivity</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Full DLC</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0.8730</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0.7864</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0.0384</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+0.1352</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0.0059</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w/o HGNN</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0.8215</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0.7670</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0.4394</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-0.0409</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0.0589</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w/o VAE</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0.8703</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0.7961</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0.0850</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-0.0190</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0.0058</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w/o HSIC</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0.8730</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0.7864</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0.0917</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-0.0244</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0.0055</w:t>
                  </w:r>
                </w:p>
              </w:tc>
            </w:tr>
          </w:tbl>
          <w:p>
            <w:pPr>
              <w:spacing w:after="120" w:before="60"/>
              <w:jc w:val="center"/>
            </w:pPr>
            <w:r>
              <w:rPr>
                <w:rFonts w:ascii="宋体" w:cs="宋体" w:eastAsia="宋体" w:hAnsi="宋体"/>
                <w:sz w:val="21"/>
                <w:szCs w:val="21"/>
              </w:rPr>
              <w:t xml:space="preserve">表3 DLC模型消融实验结果</w:t>
            </w:r>
          </w:p>
          <w:p>
            <w:pPr>
              <w:spacing w:line="360" w:lineRule="auto"/>
              <w:ind w:firstLine="480"/>
            </w:pPr>
            <w:r>
              <w:rPr>
                <w:rFonts w:ascii="宋体" w:cs="宋体" w:eastAsia="宋体" w:hAnsi="宋体"/>
                <w:sz w:val="24"/>
                <w:szCs w:val="24"/>
              </w:rPr>
              <w:t xml:space="preserve">消融实验结果表明：（a）移除HGNN后AUC下降5.9%，PEHE从0.0384急剧增至0.4394（增加1043%），且Delta CATE由正转负（-0.0409），说明超图神经网络是模型捕捉基因-环境高阶交互效应的关键组件；（b）移除VAE后Delta CATE变为负值（-0.0190），表明因果变分自编码器的表征解耦能力对正确学习因果方向至关重要；（c）移除HSIC后Delta CATE变为负值（-0.0244），说明HSIC约束对于确保因果效应估计的正确性具有不可替代的作用。</w:t>
            </w:r>
          </w:p>
          <w:p>
            <w:pPr>
              <w:spacing w:line="360" w:lineRule="auto"/>
              <w:ind w:firstLine="480"/>
            </w:pPr>
            <w:r>
              <w:rPr>
                <w:rFonts w:ascii="宋体" w:cs="宋体" w:eastAsia="宋体" w:hAnsi="宋体"/>
                <w:sz w:val="24"/>
                <w:szCs w:val="24"/>
              </w:rPr>
              <w:t xml:space="preserve">（3）混杂敏感性分析。由于数据生成过程中年龄与PM2.5存在已知混杂关联（r ≈ 0.29），理想的因果模型应输出与年龄无关的ITE估计。结果如表4所示：</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3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模型</w:t>
                  </w:r>
                </w:p>
              </w:tc>
              <w:tc>
                <w:tcPr>
                  <w:tcW w:type="dxa" w:w="14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Sensitivity Score</w:t>
                  </w:r>
                </w:p>
              </w:tc>
              <w:tc>
                <w:tcPr>
                  <w:tcW w:type="dxa" w:w="15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ITE-Age相关系数</w:t>
                  </w:r>
                </w:p>
              </w:tc>
              <w:tc>
                <w:tcPr>
                  <w:tcW w:type="dxa" w:w="1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ITE(Young)</w:t>
                  </w:r>
                </w:p>
              </w:tc>
              <w:tc>
                <w:tcPr>
                  <w:tcW w:type="dxa" w:w="1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ITE(Old)</w:t>
                  </w:r>
                </w:p>
              </w:tc>
              <w:tc>
                <w:tcPr>
                  <w:tcW w:type="dxa" w:w="11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验证结果</w:t>
                  </w:r>
                </w:p>
              </w:tc>
            </w:tr>
            <w:tr>
              <w:tc>
                <w:tcPr>
                  <w:tcW w:type="dxa" w:w="13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XGBoost</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0.0061</w:t>
                  </w:r>
                </w:p>
              </w:tc>
              <w:tc>
                <w:tcPr>
                  <w:tcW w:type="dxa" w:w="15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-0.1114</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-0.0321</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-0.0354</w:t>
                  </w:r>
                </w:p>
              </w:tc>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✓通过</w:t>
                  </w:r>
                </w:p>
              </w:tc>
            </w:tr>
            <w:tr>
              <w:tc>
                <w:tcPr>
                  <w:tcW w:type="dxa" w:w="13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TabR</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0.0631</w:t>
                  </w:r>
                </w:p>
              </w:tc>
              <w:tc>
                <w:tcPr>
                  <w:tcW w:type="dxa" w:w="15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0.0547</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-0.0125</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0.0056</w:t>
                  </w:r>
                </w:p>
              </w:tc>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✗失败</w:t>
                  </w:r>
                </w:p>
              </w:tc>
            </w:tr>
            <w:tr>
              <w:tc>
                <w:tcPr>
                  <w:tcW w:type="dxa" w:w="13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HyperFast</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0.0052</w:t>
                  </w:r>
                </w:p>
              </w:tc>
              <w:tc>
                <w:tcPr>
                  <w:tcW w:type="dxa" w:w="15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0.0372</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0.0032</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0.0000</w:t>
                  </w:r>
                </w:p>
              </w:tc>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✓通过</w:t>
                  </w:r>
                </w:p>
              </w:tc>
            </w:tr>
            <w:tr>
              <w:tc>
                <w:tcPr>
                  <w:tcW w:type="dxa" w:w="13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MOGONET</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0.0248</w:t>
                  </w:r>
                </w:p>
              </w:tc>
              <w:tc>
                <w:tcPr>
                  <w:tcW w:type="dxa" w:w="15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0.0663</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-0.0655</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-0.0592</w:t>
                  </w:r>
                </w:p>
              </w:tc>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✓通过</w:t>
                  </w:r>
                </w:p>
              </w:tc>
            </w:tr>
            <w:tr>
              <w:tc>
                <w:tcPr>
                  <w:tcW w:type="dxa" w:w="13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TransTEE</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0.1919</w:t>
                  </w:r>
                </w:p>
              </w:tc>
              <w:tc>
                <w:tcPr>
                  <w:tcW w:type="dxa" w:w="15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0.0646</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-0.0807</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0.0552</w:t>
                  </w:r>
                </w:p>
              </w:tc>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✗失败</w:t>
                  </w:r>
                </w:p>
              </w:tc>
            </w:tr>
            <w:tr>
              <w:tc>
                <w:tcPr>
                  <w:tcW w:type="dxa" w:w="13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DLC (Ours)</w:t>
                  </w:r>
                </w:p>
              </w:tc>
              <w:tc>
                <w:tcPr>
                  <w:tcW w:type="dxa" w:w="14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0.0007</w:t>
                  </w:r>
                </w:p>
              </w:tc>
              <w:tc>
                <w:tcPr>
                  <w:tcW w:type="dxa" w:w="15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w:t>
                  </w:r>
                </w:p>
              </w:tc>
              <w:tc>
                <w:tcPr>
                  <w:tcW w:type="dxa" w:w="11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✓通过</w:t>
                  </w:r>
                </w:p>
              </w:tc>
            </w:tr>
          </w:tbl>
          <w:p>
            <w:pPr>
              <w:spacing w:after="120" w:before="60"/>
              <w:jc w:val="center"/>
            </w:pPr>
            <w:r>
              <w:rPr>
                <w:rFonts w:ascii="宋体" w:cs="宋体" w:eastAsia="宋体" w:hAnsi="宋体"/>
                <w:sz w:val="21"/>
                <w:szCs w:val="21"/>
              </w:rPr>
              <w:t xml:space="preserve">表4 混杂敏感性分析结果</w:t>
            </w:r>
          </w:p>
          <w:p>
            <w:pPr>
              <w:spacing w:line="360" w:lineRule="auto"/>
              <w:ind w:firstLine="480"/>
            </w:pPr>
            <w:r>
              <w:rPr>
                <w:rFonts w:ascii="宋体" w:cs="宋体" w:eastAsia="宋体" w:hAnsi="宋体"/>
                <w:sz w:val="24"/>
                <w:szCs w:val="24"/>
              </w:rPr>
              <w:t xml:space="preserve">DLC模型的Sensitivity Score仅为0.0007（远低于其他所有模型），证明HSIC约束与对抗性年龄预测头的协同作用成功将年龄混杂效应从因果效应估计中解耦。TransTEE（0.1919）和TabR（0.0631）未能通过验证，其ITE估计受到了年龄混杂的污染。</w:t>
            </w:r>
          </w:p>
          <w:p>
            <w:pPr>
              <w:spacing w:line="360" w:lineRule="auto"/>
              <w:ind w:firstLine="480"/>
            </w:pPr>
            <w:r>
              <w:rPr>
                <w:rFonts w:ascii="宋体" w:cs="宋体" w:eastAsia="宋体" w:hAnsi="宋体"/>
                <w:sz w:val="24"/>
                <w:szCs w:val="24"/>
              </w:rPr>
              <w:t xml:space="preserve">（4）参数敏感性分析。针寽DLC模型的关键超参数进行了系统的敏感性实验，主要包括因果监督权重λ_cate、去混杂权重λ_hsic以及网络架构参数。</w:t>
            </w:r>
          </w:p>
          <w:p>
            <w:pPr>
              <w:spacing w:line="360" w:lineRule="auto"/>
              <w:ind w:firstLine="480"/>
            </w:pPr>
            <w:r>
              <w:rPr>
                <w:rFonts w:ascii="宋体" w:cs="宋体" w:eastAsia="宋体" w:hAnsi="宋体"/>
                <w:sz w:val="24"/>
                <w:szCs w:val="24"/>
              </w:rPr>
              <w:t xml:space="preserve">① λ_cate（因果监督权重）扫描结果如表5所示：</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λ_cate</w:t>
                  </w:r>
                </w:p>
              </w:tc>
              <w:tc>
                <w:tcPr>
                  <w:tcW w:type="dxa" w:w="2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AUC</w:t>
                  </w:r>
                </w:p>
              </w:tc>
              <w:tc>
                <w:tcPr>
                  <w:tcW w:type="dxa" w:w="2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PEHE</w:t>
                  </w:r>
                </w:p>
              </w:tc>
              <w:tc>
                <w:tcPr>
                  <w:tcW w:type="dxa" w:w="2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Delta CATE</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0.7879</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0.1319</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0.0644</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0.5</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0.7883</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0.1262</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0.1195</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1.0</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0.7885</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0.1214</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0.1443</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2.0</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0.7888</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0.1203</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0.1697</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3.0</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0.7871</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0.1165</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0.1820</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5.0</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0.7938</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0.1125</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0.1975</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7.0</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0.7925</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0.1122</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0.2018</w:t>
                  </w:r>
                </w:p>
              </w:tc>
            </w:tr>
          </w:tbl>
          <w:p>
            <w:pPr>
              <w:spacing w:after="120" w:before="60"/>
              <w:jc w:val="center"/>
            </w:pPr>
            <w:r>
              <w:rPr>
                <w:rFonts w:ascii="宋体" w:cs="宋体" w:eastAsia="宋体" w:hAnsi="宋体"/>
                <w:sz w:val="21"/>
                <w:szCs w:val="21"/>
              </w:rPr>
              <w:t xml:space="preserve">表5 λ_cate参数敏感性分析结果</w:t>
            </w:r>
          </w:p>
          <w:p>
            <w:pPr>
              <w:spacing w:line="360" w:lineRule="auto"/>
              <w:ind w:firstLine="480"/>
            </w:pPr>
            <w:r>
              <w:rPr>
                <w:rFonts w:ascii="宋体" w:cs="宋体" w:eastAsia="宋体" w:hAnsi="宋体"/>
                <w:sz w:val="24"/>
                <w:szCs w:val="24"/>
              </w:rPr>
              <w:t xml:space="preserve">λ_cate为强敏感参数。AUC在λ_cate=5.0时达到峰值（0.7938），Delta CATE和PEHE均随λ_cate增大而单调改善。λ_cate=5.0提供了最佳的综合平衡。</w:t>
            </w:r>
          </w:p>
          <w:p>
            <w:pPr>
              <w:jc w:val="center"/>
            </w:pPr>
            <w:r>
              <w:drawing>
                <wp:inline distT="0" distB="0" distL="0" distR="0">
                  <wp:extent cx="4000500" cy="2857500"/>
                  <wp:effectExtent t="0" r="0" b="0" l="0"/>
                  <wp:docPr id="1" name="图4 λ_cate参数敏感性分析（AUC、PEHE、Delta CATE权衡）" descr="图4 λ_cate参数敏感性分析（AUC、PEHE、Delta CATE权衡）" title="图4 λ_cate参数敏感性分析（AUC、PEHE、Delta CATE权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spacing w:after="120" w:before="60"/>
              <w:jc w:val="center"/>
            </w:pPr>
            <w:r>
              <w:rPr>
                <w:rFonts w:ascii="宋体" w:cs="宋体" w:eastAsia="宋体" w:hAnsi="宋体"/>
                <w:sz w:val="21"/>
                <w:szCs w:val="21"/>
              </w:rPr>
              <w:t xml:space="preserve">图4 λ_cate参数敏感性分析（AUC、PEHE、Delta CATE权衡）</w:t>
            </w:r>
          </w:p>
          <w:p>
            <w:pPr>
              <w:spacing w:line="360" w:lineRule="auto"/>
              <w:ind w:firstLine="480"/>
            </w:pPr>
            <w:r>
              <w:rPr>
                <w:rFonts w:ascii="宋体" w:cs="宋体" w:eastAsia="宋体" w:hAnsi="宋体"/>
                <w:sz w:val="24"/>
                <w:szCs w:val="24"/>
              </w:rPr>
              <w:t xml:space="preserve">② λ_hsic（去混杂权重）扫描结果如表6所示：</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λ_hsic</w:t>
                  </w:r>
                </w:p>
              </w:tc>
              <w:tc>
                <w:tcPr>
                  <w:tcW w:type="dxa" w:w="2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AUC</w:t>
                  </w:r>
                </w:p>
              </w:tc>
              <w:tc>
                <w:tcPr>
                  <w:tcW w:type="dxa" w:w="2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PEHE</w:t>
                  </w:r>
                </w:p>
              </w:tc>
              <w:tc>
                <w:tcPr>
                  <w:tcW w:type="dxa" w:w="22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Delta CATE</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0.7868</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0.1177</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0.1723</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0.01</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0.7864</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0.1176</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0.1724</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0.7868</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0.1179</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0.1721</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1.0</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0.7867</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0.1177</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0.1724</w:t>
                  </w:r>
                </w:p>
              </w:tc>
            </w:tr>
            <w:tr>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10.0</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0.7869</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0.1176</w:t>
                  </w:r>
                </w:p>
              </w:tc>
              <w:tc>
                <w:tcPr>
                  <w:tcW w:type="dxa" w:w="22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0.1717</w:t>
                  </w:r>
                </w:p>
              </w:tc>
            </w:tr>
          </w:tbl>
          <w:p>
            <w:pPr>
              <w:spacing w:after="120" w:before="60"/>
              <w:jc w:val="center"/>
            </w:pPr>
            <w:r>
              <w:rPr>
                <w:rFonts w:ascii="宋体" w:cs="宋体" w:eastAsia="宋体" w:hAnsi="宋体"/>
                <w:sz w:val="21"/>
                <w:szCs w:val="21"/>
              </w:rPr>
              <w:t xml:space="preserve">表6 λ_hsic参数敏感性分析结果</w:t>
            </w:r>
          </w:p>
          <w:p>
            <w:pPr>
              <w:spacing w:line="360" w:lineRule="auto"/>
              <w:ind w:firstLine="480"/>
            </w:pPr>
            <w:r>
              <w:rPr>
                <w:rFonts w:ascii="宋体" w:cs="宋体" w:eastAsia="宋体" w:hAnsi="宋体"/>
                <w:sz w:val="24"/>
                <w:szCs w:val="24"/>
              </w:rPr>
              <w:t xml:space="preserve">λ_hsic为极弱敏感参数。在跨4个数量级的范围内（0.01→10.0），所有指标变化均小于0.5%。这证明HSIC约束作为结构性正则化，其效果不依赖于权重的精确调节——独立性约束更像一个二值开关而非连续旋钮。保持λ_hsic=0.1作为合理默认值。</w:t>
            </w:r>
          </w:p>
          <w:p>
            <w:pPr>
              <w:jc w:val="center"/>
            </w:pPr>
            <w:r>
              <w:drawing>
                <wp:inline distT="0" distB="0" distL="0" distR="0">
                  <wp:extent cx="4000500" cy="2857500"/>
                  <wp:effectExtent t="0" r="0" b="0" l="0"/>
                  <wp:docPr id="1" name="图5 λ_hsic参数敏感性分析（跨4个数量级的稳定性验证）" descr="图5 λ_hsic参数敏感性分析（跨4个数量级的稳定性验证）" title="图5 λ_hsic参数敏感性分析（跨4个数量级的稳定性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spacing w:after="120" w:before="60"/>
              <w:jc w:val="center"/>
            </w:pPr>
            <w:r>
              <w:rPr>
                <w:rFonts w:ascii="宋体" w:cs="宋体" w:eastAsia="宋体" w:hAnsi="宋体"/>
                <w:sz w:val="21"/>
                <w:szCs w:val="21"/>
              </w:rPr>
              <w:t xml:space="preserve">图5 λ_hsic参数敏感性分析（跨4个数量级的稳定性验证）</w:t>
            </w:r>
          </w:p>
          <w:p>
            <w:pPr>
              <w:spacing w:line="360" w:lineRule="auto"/>
              <w:ind w:firstLine="480"/>
            </w:pPr>
            <w:r>
              <w:rPr>
                <w:rFonts w:ascii="宋体" w:cs="宋体" w:eastAsia="宋体" w:hAnsi="宋体"/>
                <w:sz w:val="24"/>
                <w:szCs w:val="24"/>
              </w:rPr>
              <w:t xml:space="preserve">③ 网络架构搜索结果如表7所示：</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d_hidden</w:t>
                  </w:r>
                </w:p>
              </w:tc>
              <w:tc>
                <w:tcPr>
                  <w:tcW w:type="dxa" w:w="16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num_layers</w:t>
                  </w:r>
                </w:p>
              </w:tc>
              <w:tc>
                <w:tcPr>
                  <w:tcW w:type="dxa" w:w="18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AUC</w:t>
                  </w:r>
                </w:p>
              </w:tc>
              <w:tc>
                <w:tcPr>
                  <w:tcW w:type="dxa" w:w="18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PEHE</w:t>
                  </w:r>
                </w:p>
              </w:tc>
              <w:tc>
                <w:tcPr>
                  <w:tcW w:type="dxa" w:w="1800"/>
                  <w:tcBorders>
                    <w:top w:val="single" w:color="000000" w:sz="1"/>
                    <w:left w:val="single" w:color="000000" w:sz="1"/>
                    <w:bottom w:val="single" w:color="000000" w:sz="1"/>
                    <w:right w:val="single" w:color="000000" w:sz="1"/>
                  </w:tcBorders>
                  <w:shd w:fill="D9E2F3" w:val="clear"/>
                  <w:tcMar>
                    <w:top w:type="dxa" w:w="57"/>
                    <w:left w:type="dxa" w:w="57"/>
                    <w:bottom w:type="dxa" w:w="57"/>
                    <w:right w:type="dxa" w:w="57"/>
                  </w:tcMar>
                  <w:vAlign w:val="center"/>
                </w:tcPr>
                <w:p>
                  <w:pPr>
                    <w:jc w:val="center"/>
                  </w:pPr>
                  <w:r>
                    <w:rPr>
                      <w:rFonts w:ascii="宋体" w:cs="宋体" w:eastAsia="宋体" w:hAnsi="宋体"/>
                      <w:b/>
                      <w:bCs/>
                      <w:sz w:val="20"/>
                      <w:szCs w:val="20"/>
                    </w:rPr>
                    <w:t xml:space="preserve">Delta CATE</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64</w:t>
                  </w:r>
                </w:p>
              </w:tc>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0.8188</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0.0824</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0.0199</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64</w:t>
                  </w:r>
                </w:p>
              </w:tc>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3</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0.8173</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0.0789</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0.0535</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128</w:t>
                  </w:r>
                </w:p>
              </w:tc>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0.8128</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0.0765</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0.0938</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128</w:t>
                  </w:r>
                </w:p>
              </w:tc>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3</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0.8105</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0.0772</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b/>
                      <w:bCs/>
                      <w:sz w:val="20"/>
                      <w:szCs w:val="20"/>
                    </w:rPr>
                    <w:t xml:space="preserve">0.1060</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128</w:t>
                  </w:r>
                </w:p>
              </w:tc>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4</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0.8108</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0.0851</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0.1052</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256</w:t>
                  </w:r>
                </w:p>
              </w:tc>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0.7774</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0.1270</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0.1191</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256</w:t>
                  </w:r>
                </w:p>
              </w:tc>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3</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0.7651</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0.1310</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0.1093</w:t>
                  </w:r>
                </w:p>
              </w:tc>
            </w:tr>
            <w:tr>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256</w:t>
                  </w:r>
                </w:p>
              </w:tc>
              <w:tc>
                <w:tcPr>
                  <w:tcW w:type="dxa" w:w="16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5</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0.7584</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0.1149</w:t>
                  </w:r>
                </w:p>
              </w:tc>
              <w:tc>
                <w:tcPr>
                  <w:tcW w:type="dxa" w:w="1800"/>
                  <w:tcBorders>
                    <w:top w:val="single" w:color="000000" w:sz="1"/>
                    <w:left w:val="single" w:color="000000" w:sz="1"/>
                    <w:bottom w:val="single" w:color="000000" w:sz="1"/>
                    <w:right w:val="single" w:color="000000" w:sz="1"/>
                  </w:tcBorders>
                  <w:tcMar>
                    <w:top w:type="dxa" w:w="57"/>
                    <w:left w:type="dxa" w:w="57"/>
                    <w:bottom w:type="dxa" w:w="57"/>
                    <w:right w:type="dxa" w:w="57"/>
                  </w:tcMar>
                  <w:vAlign w:val="center"/>
                </w:tcPr>
                <w:p>
                  <w:pPr>
                    <w:jc w:val="center"/>
                  </w:pPr>
                  <w:r>
                    <w:rPr>
                      <w:rFonts w:ascii="宋体" w:cs="宋体" w:eastAsia="宋体" w:hAnsi="宋体"/>
                      <w:sz w:val="20"/>
                      <w:szCs w:val="20"/>
                    </w:rPr>
                    <w:t xml:space="preserve">0.1115</w:t>
                  </w:r>
                </w:p>
              </w:tc>
            </w:tr>
          </w:tbl>
          <w:p>
            <w:pPr>
              <w:spacing w:after="120" w:before="60"/>
              <w:jc w:val="center"/>
            </w:pPr>
            <w:r>
              <w:rPr>
                <w:rFonts w:ascii="宋体" w:cs="宋体" w:eastAsia="宋体" w:hAnsi="宋体"/>
                <w:sz w:val="21"/>
                <w:szCs w:val="21"/>
              </w:rPr>
              <w:t xml:space="preserve">表7 网络架构搜索结果（d_hidden × num_layers）</w:t>
            </w:r>
          </w:p>
          <w:p>
            <w:pPr>
              <w:spacing w:line="360" w:lineRule="auto"/>
              <w:ind w:firstLine="480"/>
            </w:pPr>
            <w:r>
              <w:rPr>
                <w:rFonts w:ascii="宋体" w:cs="宋体" w:eastAsia="宋体" w:hAnsi="宋体"/>
                <w:sz w:val="24"/>
                <w:szCs w:val="24"/>
              </w:rPr>
              <w:t xml:space="preserve">128×3架构在多目标间取得最佳平衡：竞争性的AUC、较低的PEHE和强劲的Delta CATE。较大架构（256×*）表现出严重过拟合，AUC降至0.76。较小架构（64×*）因果学习容量不足，Delta CATE接近零。这验证了奥卡姆剃刀原则——在半合成医学小数据集上，精简且正则化良好的模型优于大型模型。</w:t>
            </w:r>
          </w:p>
          <w:p>
            <w:pPr>
              <w:jc w:val="center"/>
            </w:pPr>
            <w:r>
              <w:drawing>
                <wp:inline distT="0" distB="0" distL="0" distR="0">
                  <wp:extent cx="4000500" cy="3048000"/>
                  <wp:effectExtent t="0" r="0" b="0" l="0"/>
                  <wp:docPr id="1" name="图6 网络架构搜索热力图（d_hidden × num_layers对Delta CATE的影响）" descr="图6 网络架构搜索热力图（d_hidden × num_layers对Delta CATE的影响）" title="图6 网络架构搜索热力图（d_hidden × num_layers对Delta CATE的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48000"/>
                          </a:xfrm>
                          <a:prstGeom prst="rect">
                            <a:avLst/>
                          </a:prstGeom>
                        </pic:spPr>
                      </pic:pic>
                    </a:graphicData>
                  </a:graphic>
                </wp:inline>
              </w:drawing>
            </w:r>
          </w:p>
          <w:p>
            <w:pPr>
              <w:spacing w:after="120" w:before="60"/>
              <w:jc w:val="center"/>
            </w:pPr>
            <w:r>
              <w:rPr>
                <w:rFonts w:ascii="宋体" w:cs="宋体" w:eastAsia="宋体" w:hAnsi="宋体"/>
                <w:sz w:val="21"/>
                <w:szCs w:val="21"/>
              </w:rPr>
              <w:t xml:space="preserve">图6 网络架构搜索热力图（d_hidden × num_layers对Delta CATE的影响）</w:t>
            </w:r>
          </w:p>
        </w:tc>
      </w:tr>
    </w:tbl>
    <w:sectPr>
      <w:footerReference w:type="default" r:id="rId7"/>
      <w:pgSz w:w="11906" w:h="16838" w:orient="portrait"/>
      <w:pgMar w:top="1418" w:right="1191" w:bottom="1418" w:left="147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2cd3cd07051134ce916f4d3cb5c52331915a5e.png"/><Relationship Id="rId9" Type="http://schemas.openxmlformats.org/officeDocument/2006/relationships/image" Target="media/2c7b813f1009d26b63dd38071390e3e0525bfa86.png"/><Relationship Id="rId10" Type="http://schemas.openxmlformats.org/officeDocument/2006/relationships/image" Target="media/1a5ec92a9c8951007e3d69bcc97a1194f4e63c09.png"/><Relationship Id="rId11" Type="http://schemas.openxmlformats.org/officeDocument/2006/relationships/image" Target="media/5024ffcadfde1e9438fc8b27ef485c007ad60899.png"/><Relationship Id="rId12" Type="http://schemas.openxmlformats.org/officeDocument/2006/relationships/image" Target="media/adc2f1a4b8382cb25ccf666bb12d5ce62a6abba6.png"/><Relationship Id="rId13" Type="http://schemas.openxmlformats.org/officeDocument/2006/relationships/image" Target="media/b4e7531d6d25534c16f2bff9f23fe78ef95b649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2026-03-24T08:09:15.871Z</dcterms:created>
  <dcterms:modified xsi:type="dcterms:W3CDTF">2026-03-24T08:09:15.871Z</dcterms:modified>
</cp:coreProperties>
</file>

<file path=docProps/custom.xml><?xml version="1.0" encoding="utf-8"?>
<Properties xmlns="http://schemas.openxmlformats.org/officeDocument/2006/custom-properties" xmlns:vt="http://schemas.openxmlformats.org/officeDocument/2006/docPropsVTypes"/>
</file>