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北京区（2026年1月1日—5月6日）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本统计周期，北京区共计 19 家门店参与经营，其中可比门店（25年同期已开业）16 家，25年同期后新增门店 3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同店（16家）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13,137.9万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-0.2%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11,426.2万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-13.2%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1,160,636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+2.0%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1,023,769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-10.0%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424,251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+1.6%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369,423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-11.5%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¥310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-1.8%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-1.9%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2.74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2.77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+1.7%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67.0%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69.6%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14.1%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106,613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84,872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-29.4%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3,009,936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+16.9%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2,271,845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-11.7%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19 家门店；同店口径仅含 16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北京区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13,137.9万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-0.2%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11,426.2万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-13.2%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84,872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-11.7%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北京丰台NTP店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1,284.0万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94,455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35,564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12,996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244,291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北京顺义锦荟港店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1,245.2万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171,275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45,314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¥275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3.78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75.0%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6,428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166,250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北京昌平万优汇店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1,058.9万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78,618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30,016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4,310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248,224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北京朝阳新奥店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856.8万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66,184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24,507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61.6%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7,471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179,370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北京大兴世界之花店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720.6万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55,952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20,225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4,244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119,203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本北京区共有 3 家门店为25年同期后新开店铺，合计贡献销售额 1,711.7万。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北京通州万达店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647.3万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49,681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19,742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40.2%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9,363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147,731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北京海淀圣熙店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602.4万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49,991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18,915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5,135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115,547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三河燕郊天洋广场店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462.0万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37,195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16,171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7,243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474,813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本北京区共涉及 565 个品牌在售，TOP20 合计贡献销售额 9,415.3万，占整体 71.7%。"同店同比"仅在上年同店销售额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1,288.2万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68,689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-41.7%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1,142.5万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54,697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-25.3%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841.4万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36,495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-19.7%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564.1万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32,629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558.9万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35,364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-44.7%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546.2万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4.2%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27,935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-46.6%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499.9万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27,104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+6.9%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438.4万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32,230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371.9万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21,734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358.3万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23,467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+1.9%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339.0万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20,930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-48.9%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331.3万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35,271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¥94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321.7万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12,880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¥250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-37.6%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312.2万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15,183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+33.6%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outdoor products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270.6万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12,185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-36.0%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267.0万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11,457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茵曼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251.2万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12,761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-3.5%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The North Face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246.6万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6,481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¥380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241.9万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37,271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224.0万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10,077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-47.7%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-30.8万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其中：新店贡献（3家）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+1,711.7万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-5553.2%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其中：同店增量（16家）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-1,742.5万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+5653.2%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本期北京区整体销售额 13,137.9万，同比-0.2%。拆解后，3家新店贡献 1,711.7万，16家可比同店销售额同比-13.2%（-1,742.5万）。整体增长主要由新店驱动，同店销售同比承压，规模扩张掩盖了老店下滑。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同店客流同比-11.7%，客流仍在承压，同店订单量同比-11.5%、销售同比-13.2%。提袋率提升部分对冲了客流下滑。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判断：北京区目前处于门店数量扩张驱动增长阶段。若2026下半年新店扩张节奏放缓，同店基本盘的修复将成为增长可持续性的关键。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¥309（同比-1.9%），连带率 2.77 件/单（同比+1.7%）。件单价与连带率呈现结构性分化，与消费降级大环境吻合。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69.6%，同店新增会员同比-29.4%，已形成老客依赖加深、新客获取乏力的矛盾，需加大拉新力度。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16.3%，横向对比同店各指标同比——客流-11.7%、订单-11.5%、销额-13.2%——订单跌幅浅于客流，说明提袋率提升已部分对冲客流下滑。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重点盯防同店下滑：16家可比门店销额同比-13.2%，建议立项同店修复专项，按门店维度诊断客流（同店客流同比-11.7%）、客单、复购三要素，优先复盘同店同比下滑超10%的门店经营策略。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加码新客拉新：同店新会员同比-29.4%，建议加大到店礼、社群裂变、异业合流等拉新动作，避免客群老化对下半年经营形成传导。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69.6%，建议分层运营（高价值/沉默/流失预警），通过会员日、专属券、新品预约等方式延长老客LTV。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建立新店爬坡跟踪机制：3家新店贡献销售额 1,711.7万，建议按月跟踪单店销额、客流、会员数三项核心指标，识别爬坡落后门店并提前介入干预。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MANN、斯凯奇运动系列、阿迪达斯、PAULO PEDRO、彪马，合计占北京区 33.5%。TOP20 中有 9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已退场或接近清零品牌：MixBlu（上年195万→本期0万）、卡帝乐鳄鱼（上年478万→本期0万），建议核查是否因品牌方合约到期、货源切换或战略退出，若主动替代已完成应关注新接棒品牌的承接效果。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稳定品牌中同店承压较明显的有：Dickies(-77.5%)、班尼路(-77.5%)、盖尔斯(-75.5%)，建议与品牌方协商货品组合、促销资源与陈列位置，明确是款式老化、价格偏高还是渠道分流导致。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同店高增长稳定品牌：JEEP(+33.6%)，建议加大陈列面积、扩充 SKU 并强化会员推荐，把单品牌增势拉成结构性贡献。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33.5%，集中度偏高。建议按季度回顾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预警1：同店客流持续下滑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同店客流同比-11.7%，同店订单量同比-11.5%。客流下滑是同店销额承压的主要来源之一。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两周内启动客流诊断：按门店商圈类型（社区/商业中心/交通枢纽）拆解客流构成；同步推进外场导流（社群、异业、美团/抖音本地生活投放）与店内转化提升（动线优化、促销员培训）。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预警2：新客获取乏力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同店新增会员同比-29.4%，客群呈现老客依赖加深趋势；同店老客销售占比 69.6%，若新客持续下滑，LTV 替换将失衡。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立即上线门店拉新 KPI（月度新增会员同比目标），配套到店礼、"老带新"邀请返现、门店前台主动扫码；同步从抖音、小红书 LBS 投放截流搜索流量。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预警3：同店销售额大幅下滑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同店销售额同比-13.2%，16家可比门店下滑幅度超出正常季节性波动；同店订单量同比-11.5%，客单价同比-1.9%。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30天内完成同店修复专项立项：按销额同比下滑 &gt;10% 的门店逐店诊断，设立客流、客单、复购三条改善线；月度评审跌幅收敛情况，指标未改善的门店启动二次复盘。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预警4：稳定品牌集中退场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上年同店销售≥100万的稳定品牌中，有 2 个品牌本期同店销售接近清零，合计影响上年同店销售额 674万：MixBlu、卡帝乐鳄鱼。品牌方合约、货源切换或战略调整是可能原因。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两周内与采购团队核对退场品牌清单：标注"主动替代/被动流失"；主动替代的验证新接棒品牌承接率（目标≥70%）；被动流失的立即启动备选品牌引入，避免货架空置引发连锁同店下滑。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预警5：TOP20 品牌普遍承压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TOP20 品牌中有 9 个同店同比下滑 ≥15%，商品结构整体承压，可能源于品类切换期或大环境消费力收缩。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按品类（运动/休闲/童装/户外）拆解下滑品牌，识别品类级共性问题；运动品类下滑重点核查库龄与折扣深度；童装/户外品类重点核查新品迭代节奏。下滑品牌逐一制定季度回升方案并设退场阈值（连续两季下滑&gt;20% 启动替代评估）。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预警6：客群结构性老化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同店老客销售占比 69.6%（≥60%），且同店新增会员同比-29.4%，业务对老客的依赖已进入风险区间。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分层运营老客：高价值用户（年消费 &gt;3000 元）年度 VIP 权益+专属客服；沉默用户（90 天未购）短信/企微召回+专属券；流失预警用户（180 天未购）品牌焕新推送。目标将老客流失率控制在月 &lt;2%。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