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60" w:lineRule="auto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2026年经营简报</w:t>
      </w:r>
    </w:p>
    <w:p>
      <w:pPr>
        <w:spacing w:before="20" w:after="40" w:line="320" w:lineRule="auto"/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华中区（2026年1月1日—5月6日）</w:t>
      </w:r>
    </w:p>
    <w:p>
      <w:pPr>
        <w:spacing w:before="0" w:after="40" w:line="280" w:lineRule="auto"/>
        <w:jc w:val="center"/>
      </w:pPr>
      <w:r>
        <w:rPr>
          <w:rFonts w:ascii="微软雅黑" w:hAnsi="微软雅黑" w:eastAsia="微软雅黑"/>
          <w:color w:val="606060"/>
          <w:sz w:val="18"/>
        </w:rPr>
        <w:t>统计周期：2026年1月1日—5月6日</w:t>
      </w:r>
    </w:p>
    <w:p>
      <w:pPr>
        <w:spacing w:before="40" w:after="40" w:line="120" w:lineRule="auto"/>
        <w:pBdr>
          <w:bottom w:val="single" w:sz="12" w:space="4" w:color="1F497D"/>
        </w:pBdr>
      </w:pP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一、总体概况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本统计周期，华中区共计 3 家门店参与经营，其中可比门店（25年同期已开业）1 家，25年同期后新增门店 2 家。</w:t>
      </w:r>
    </w:p>
    <w:p>
      <w:pPr>
        <w:spacing w:before="60" w:after="40" w:line="280" w:lineRule="auto"/>
      </w:pPr>
      <w:r>
        <w:rPr>
          <w:rFonts w:ascii="微软雅黑" w:hAnsi="微软雅黑" w:eastAsia="微软雅黑"/>
          <w:b/>
          <w:color w:val="2E74B5"/>
          <w:sz w:val="20"/>
        </w:rPr>
        <w:t>核心指标总览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整体（26年）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同店（1家）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销售额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1,829.5万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+141.7%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767.7万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+1.4%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销量（件）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134,047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+160.7%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55,407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+7.8%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订单量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51,324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+135.9%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22,394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+2.9%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客单价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¥356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+2.5%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¥343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-1.5%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连带率（件/单）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2.61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+10.5%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2.47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+4.7%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老客销售占比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39.4%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57.6%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提袋率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11.4%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13.4%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新增会员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24,692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+130.9%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7,977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-25.4%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客流量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449,061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+169.3%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167,247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+0.3%</w:t>
            </w:r>
          </w:p>
        </w:tc>
      </w:tr>
    </w:tbl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注：整体口径含全部 3 家门店；同店口径仅含 1 家25年同期已开业门店，可直接与25年同期对比。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二、区域经营数据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店铺数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同店客流同比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华中区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1,829.5万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+141.7%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767.7万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7,977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+0.3%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三、销售额TOP5门店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武汉汉口K11广场店 ★新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华中区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880.0万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60,896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23,083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¥381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25.5%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13,110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190,677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武汉青山印象城店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华中区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767.7万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55,407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22,394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¥343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2.47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57.6%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7,977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167,247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武汉洪山光谷鲁巷店 ★新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华中区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181.9万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17,744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5,847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3.03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29.5%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3,605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91,137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四、25年同期后新增门店表现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本华中区共有 2 家门店为25年同期后新开店铺，合计贡献销售额 1,061.9万。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武汉汉口K11广场店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华中区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880.0万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60,896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23,083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¥381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25.5%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13,110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190,677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武汉洪山光谷鲁巷店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华中区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181.9万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17,744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5,847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¥311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3.03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29.5%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3,605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91,137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五、销售额TOP20品牌表现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本华中区共涉及 139 个品牌在售，TOP20 合计贡献销售额 1,387.8万，占整体 75.9%。"同店同比"仅在上年同店销售额 ≥100万的稳定品牌上展示；新引入或小基数品牌标注为"新进/小基数"，不参与同比。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覆盖门店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196.4万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10.7%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10,166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-24.2%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阿迪达斯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144.4万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7.9%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5,920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¥244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106.9万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5,216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彪马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102.4万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5.6%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5,733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安德玛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93.2万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5.1%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3,975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骆驼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83.4万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4.6%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4,169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PAULO PEDRO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65.8万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3.6%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3,557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三叶草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64.6万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3.5%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2,571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¥251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AIRWALK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62.5万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3.4%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3,458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David Fincher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55.6万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3.0%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3,063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Jeep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3.0%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2,561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¥217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The North Face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53.2万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2.9%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1,080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¥493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michael bublé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52.6万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2.9%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2,642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AVIA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50.5万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2,931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NAUTICA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40.8万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2.2%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1,818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1.10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茵曼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35.3万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1.9%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1,712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耐克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33.5万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1,346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¥249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Champion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33.1万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2,328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¥142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U.S. POLO ASSN.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30.3万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1,112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¥272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outdoor products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27.7万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1,240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¥223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六、增长来源拆解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增长来源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占整体增量比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口径说明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整体销售额增量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+1,072.7万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整体26年 - 整体25年同期</w:t>
            </w:r>
          </w:p>
        </w:tc>
      </w:tr>
      <w:tr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其中：新店贡献（2家）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+1,061.9万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+99.0%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2家25年同期后新开门店销售额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其中：同店增量（1家）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+10.8万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+1.0%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1家可比门店销售额差额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七、深度洞察与行动建议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从增长结构、同店质量、客群结构、新店爬坡、商品结构五个维度拆解经营表现，提炼关键行动建议。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7.1 增长来源：新店驱动还是同店驱动？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本期华中区整体销售额 1,829.5万，同比+141.7%。拆解后，2家新店贡献 1,061.9万，1家可比同店销售额同比+1.4%（+10.8万）。整体增长同时获得新店与同店双重支撑，经营质量健康。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同店客流同比+0.3%，客流有所回升，同店订单量同比+2.9%、销售同比+1.4%。各项指标同步变化，经营趋势一致。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判断：华中区目前处于同店与新店双轮驱动阶段。若2026下半年新店扩张节奏放缓，同店基本盘的修复将成为增长可持续性的关键。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7.2 同店经营画像：客单、连带、老客、转化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同店客单价 ¥343（同比-1.5%），连带率 2.47 件/单（同比+4.7%）。件单价与连带率呈现结构性分化，与消费降级大环境吻合。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同店老客销售占比 57.6%，同店新增会员同比-25.4%，已形成老客依赖加深、新客获取乏力的矛盾，需加大拉新力度。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同店提袋率 13.4%，横向对比同店各指标同比——客流+0.3%、订单+2.9%、销额+1.4%——各项指标走势相近，经营效率变化有限。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7.3 关键行动建议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巩固同店增长：1家可比门店销额同比+1.4%，建议总结增长门店的经营经验，推广至表现落后门店，保持同店正增长势头。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加码新客拉新：同店新会员同比-25.4%，建议加大到店礼、社群裂变、异业合流等拉新动作，避免客群老化对下半年经营形成传导。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释放老客复购潜能：老客销比 57.6%，建议分层运营（高价值/沉默/流失预警），通过会员日、专属券、新品预约等方式延长老客LTV。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建立新店爬坡跟踪机制：2家新店贡献销售额 1,061.9万，建议按月跟踪单店销额、客流、会员数三项核心指标，识别爬坡落后门店并提前介入干预。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7.4 商品结构与品牌建议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销售额 TOP5 品牌为 GABRILE MANN、阿迪达斯、斯凯奇运动系列、彪马、安德玛，合计占华中区 35.2%。TOP20 中有 1 个品牌同店销额同比下滑 ≥15%，商品结构正处于老品类退潮、新品类接棒的切换期。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稳定品牌中同店承压较明显的有：GABRILE MANN(-24.2%)，建议与品牌方协商货品组合、促销资源与陈列位置，明确是款式老化、价格偏高还是渠道分流导致。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TOP5 品牌贡献已达 35.2%，集中度偏高。建议按季度回顾 TOP20 品牌结构，设置'核心保量（≥8%）+ 成长加码（3—8%）+ 观察孵化（&lt;3%）'三层梯队，避免单一头部品牌波动对整体销额产生过大冲击。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八、经营预警与行动方案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基于前文同店、客流、客群、新店、品牌数据自动识别的风险项，按"风险—证据—行动"三段式呈现。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预警1：新客获取乏力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同店新增会员同比-25.4%，客群呈现老客依赖加深趋势；同店老客销售占比 57.6%，若新客持续下滑，LTV 替换将失衡。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立即上线门店拉新 KPI（月度新增会员同比目标），配套到店礼、"老带新"邀请返现、门店前台主动扫码；同步从抖音、小红书 LBS 投放截流搜索流量。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预警2：新店爬坡进度滞后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2家新店中，有 1 家销售额显著偏低：武汉洪山光谷鲁巷店(181.9万)。平均新店销售 531万 vs 同店中位数 768万。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建立"新店90天爬坡跟踪表"：按周跟踪销额、客流、会员增长三项核心指标；对进度&lt;60%的门店启动总部联合诊断（商品结构/促销节奏/团队能力三选一），未达标的 30 天内再评估。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预警3：头部品牌集中度偏高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TOP5 品牌贡献销售额占整体 35.2%（≥35%），任一头部品牌大幅波动都将对整体销额产生可观冲击。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建立品牌梯队管理：核心保量品牌（占比≥8%）签订年度返利+专属促销合作；成长加码品牌（3—8%）加大陈列面积与会员推荐；观察孵化品牌（&lt;3%）按季度评估动销率，末位汰换。目标 TOP5 占比 12 个月内降至 30% 以内。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预警等级：【红】=需立即干预，指标已突破关键阈值且直接影响整体健康度；【橙】=一个季度内必须改善，否则将恶化为红色；【黄】=结构性关注，需纳入半年度经营策略调整。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