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华北大区（华北区·北京区·华中区·华东区·东北区）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本统计周期，华北大区共计 50 家门店参与经营，其中可比门店（25年同期已开业）32 家，25年同期后新增门店 18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同店（32家）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32,931.4万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+28.5%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23,170.7万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-9.6%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2,985,853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+25.3%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2,249,123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-5.6%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1,121,551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+24.1%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831,255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-8.0%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¥294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+3.5%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-1.7%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+2.6%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56.7%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65.6%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12.8%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371,419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+33.4%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225,465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-19.0%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8,731,227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+42.2%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5,797,596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-5.6%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50 家门店；同店口径仅含 32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7,579.3万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+12.4%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6,421.7万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-4.7%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66.9%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75,599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-9.9%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北京区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13,137.9万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-0.2%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11,426.2万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-13.2%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84,872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-11.7%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华中区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1,829.5万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+141.7%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767.7万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+0.3%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华东区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5,834.8万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+385.1%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1,216.0万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+1.1%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53.1%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15,705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+10.2%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东北区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4,549.9万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+21.3%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3,339.2万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-11.0%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55.8%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41,312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+10.0%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天津南开仁恒店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1,932.6万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311,714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100,188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24,842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721,396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北京丰台NTP店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1,284.0万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94,455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35,564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54.4%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12,996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244,291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北京顺义锦荟港店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1,245.2万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171,275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45,314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3.78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75.0%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6,428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166,250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大连西岗印象城店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1,224.4万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85,072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37,021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12,932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303,625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天津南开鲁能城店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1,177.4万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252,588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73,685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71.2%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19,792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235,242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本华北大区共有 18 家门店为25年同期后新开店铺，合计贡献销售额 9,760.7万。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上海闵行虹桥龙湖天街店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1,006.6万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72,112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22,377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¥450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3.22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12,091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99,847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武汉汉口K11广场店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880.0万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60,896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23,083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13,110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190,677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上海浦东万嘉广场店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683.2万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49,873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19,677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9,726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141,233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北京通州万达店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647.3万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49,681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19,742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40.2%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9,363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147,731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天津和平国金汇店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620.2万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48,544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20,385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51.3%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8,533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128,596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无锡滨湖万达店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611.1万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43,901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19,049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3.3%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14,155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313,333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北京海淀圣熙店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602.4万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49,991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18,915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66.5%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5,135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115,547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杭州余杭西田城店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593.0万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44,072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8,207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138,849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青岛黄岛西海岸吾悦店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537.3万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39,590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17,734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8,686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179,851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长春欧亚新生活广场店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531.7万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40,525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16,313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¥326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35.7%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8,469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170,846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上海徐汇锦和尚城店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490.4万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38,170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11,665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¥420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3.27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30.2%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6,219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59,860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合肥蜀山弘阳广场店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477.1万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36,139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14,459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32.1%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7,295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98,470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三河燕郊天洋广场店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462.0万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37,195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16,171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42.4%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7,243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474,813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上海嘉定大融城店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429.4万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30,950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14,081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¥305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9,227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140,769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长春南关活力城店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424.1万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31,167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15,078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41.3%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7,194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215,644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苏州姑苏世茂广场店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华东区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328.2万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24,684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9,858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¥333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2.50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40.7%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4,465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142,556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长春高新栖乐荟店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254.9万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21,496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9,481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¥269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2.27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56.1%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3,231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83,872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武汉洪山光谷鲁巷店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181.9万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17,744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5,847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3,605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91,137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本华北大区共涉及 986 个品牌在售，TOP20 合计贡献销售额 24,267.9万，占整体 73.7%。"同店同比"仅在上年同店销售额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3,493.4万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181,272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-34.6%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2,866.3万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136,049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-19.7%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2,233.1万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95,517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-14.6%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1,579.1万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95,004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-37.5%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1,412.6万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68,957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-38.9%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1,386.6万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72,779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+24.8%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1,360.6万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77,109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1,135.9万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65,198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1,012.4万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64,190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+18.1%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932.2万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68,356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904.4万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35,385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¥256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-31.9%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850.3万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50,541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-42.6%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743.4万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36,002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+41.3%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716.4万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17,337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¥413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+252.2%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674.9万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29,510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652.9万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41,813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632.9万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69,829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¥91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574.0万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24,921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-43.6%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566.7万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87,524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539.7万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23,172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-50.6%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+7,310.0万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其中：新店贡献（18家）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+9,760.7万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+133.5%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其中：同店增量（32家）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-2,450.7万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-33.5%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本期华北大区整体销售额 32,931.4万，同比+28.5%。拆解后，18家新店贡献 9,760.7万，32家可比同店销售额同比-9.6%（-2,450.7万）。整体增长主要由新店驱动，同店销售同比承压，规模扩张掩盖了老店下滑。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同店客流同比-5.6%，客流仍在承压，同店订单量同比-8.0%、销售同比-9.6%。各项指标同步变化，经营趋势一致。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判断：华北大区目前处于门店数量扩张驱动增长阶段。若2026下半年新店扩张节奏放缓，同店基本盘的修复将成为增长可持续性的关键。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¥279（同比-1.7%），连带率 2.71 件/单（同比+2.6%）。件单价与连带率呈现结构性分化，与消费降级大环境吻合。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65.6%，同店新增会员同比-19.0%，已形成老客依赖加深、新客获取乏力的矛盾，需加大拉新力度。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14.3%，横向对比同店各指标同比——客流-5.6%、订单-8.0%、销额-9.6%——各项指标走势相近，经营效率变化有限。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重点盯防同店下滑：32家可比门店销额同比-9.6%，建议立项同店修复专项，按门店维度诊断客流（同店客流同比-5.6%）、客单、复购三要素，优先复盘同店同比下滑超10%的门店经营策略。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加码新客拉新：同店新会员同比-19.0%，建议加大到店礼、社群裂变、异业合流等拉新动作，避免客群老化对下半年经营形成传导。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65.6%，建议分层运营（高价值/沉默/流失预警），通过会员日、专属券、新品预约等方式延长老客LTV。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建立新店爬坡跟踪机制：18家新店贡献销售额 9,760.7万，建议按月跟踪单店销额、客流、会员数三项核心指标，识别爬坡落后门店并提前介入干预。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MANN、斯凯奇运动系列、阿迪达斯、彪马、安德玛，合计占华北大区 35.2%。TOP20 中有 8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已退场或接近清零品牌：MixBlu（上年356万→本期0万）、逸阳（上年148万→本期0万）、Kappa Kids（上年160万→本期0万）、卡帝乐鳄鱼（上年1001万→本期0万），建议核查是否因品牌方合约到期、货源切换或战略退出，若主动替代已完成应关注新接棒品牌的承接效果。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稳定品牌中同店承压较明显的有：阿迪达斯运动生活(-89.3%)，建议与品牌方协商货品组合、促销资源与陈列位置，明确是款式老化、价格偏高还是渠道分流导致。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同店高增长稳定品牌：The North Face(+252.2%)、JEEP(+41.3%)、鳄鱼恤(+31.8%)，建议加大陈列面积、扩充 SKU 并强化会员推荐，把单品牌增势拉成结构性贡献。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35.2%，集中度偏高。建议按季度回顾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预警1：增长结构失衡：规模扩张掩盖同店承压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整体销售额同比+28.5%，但同店销售额同比-9.6%，增长主要来自 18 家新店。若新店扩张节奏放缓或爬坡不及预期，整体增长可持续性存疑。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月度经营会新增"整体 vs 同店"双口径汇报；制定 2026 Q3 同店修复目标（同店同比回升至 -5% 以内）；新店开业节奏与同店健康度挂钩，同店承压区域暂缓新店扩张。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预警2：同店客流持续下滑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同店客流同比-5.6%，同店订单量同比-8.0%。客流下滑是同店销额承压的主要来源之一。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两周内启动客流诊断：按门店商圈类型（社区/商业中心/交通枢纽）拆解客流构成；同步推进外场导流（社群、异业、美团/抖音本地生活投放）与店内转化提升（动线优化、促销员培训）。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预警3：新客获取乏力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同店新增会员同比-19.0%，客群呈现老客依赖加深趋势；同店老客销售占比 65.6%，若新客持续下滑，LTV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预警4：稳定品牌集中退场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上年同店销售≥100万的稳定品牌中，有 4 个品牌本期同店销售接近清零，合计影响上年同店销售额 1664万：MixBlu、逸阳、Kappa Kids、卡帝乐鳄鱼。品牌方合约、货源切换或战略调整是可能原因。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两周内与采购团队核对退场品牌清单：标注"主动替代/被动流失"；主动替代的验证新接棒品牌承接率（目标≥70%）；被动流失的立即启动备选品牌引入，避免货架空置引发连锁同店下滑。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预警5：TOP20 品牌普遍承压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TOP20 品牌中有 8 个同店同比下滑 ≥15%，商品结构整体承压，可能源于品类切换期或大环境消费力收缩。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按品类（运动/休闲/童装/户外）拆解下滑品牌，识别品类级共性问题；运动品类下滑重点核查库龄与折扣深度；童装/户外品类重点核查新品迭代节奏。下滑品牌逐一制定季度回升方案并设退场阈值（连续两季下滑&gt;20% 启动替代评估）。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预警6：客群结构性老化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同店老客销售占比 65.6%（≥60%），且同店新增会员同比-19.0%，业务对老客的依赖已进入风险区间。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分层运营老客：高价值用户（年消费 &gt;3000 元）年度 VIP 权益+专属客服；沉默用户（90 天未购）短信/企微召回+专属券；流失预警用户（180 天未购）品牌焕新推送。目标将老客流失率控制在月 &lt;2%。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预警7：新店爬坡进度滞后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18家新店中，有 2 家销售额显著偏低：长春高新栖乐荟店(254.9万)、武汉洪山光谷鲁巷店(181.9万)。平均新店销售 542万 vs 同店中位数 639万。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建立"新店90天爬坡跟踪表"：按周跟踪销额、客流、会员增长三项核心指标；对进度&lt;60%的门店启动总部联合诊断（商品结构/促销节奏/团队能力三选一），未达标的 30 天内再评估。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预警8：头部品牌集中度偏高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35.2%（≥35%），任一头部品牌大幅波动都将对整体销额产生可观冲击。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