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60" w:lineRule="auto"/>
        <w:jc w:val="center"/>
      </w:pPr>
      <w:r>
        <w:rPr>
          <w:rFonts w:ascii="微软雅黑" w:hAnsi="微软雅黑" w:eastAsia="微软雅黑"/>
          <w:b/>
          <w:color w:val="1F497D"/>
          <w:sz w:val="44"/>
        </w:rPr>
        <w:t>2026年经营简报</w:t>
      </w:r>
    </w:p>
    <w:p>
      <w:pPr>
        <w:spacing w:before="20" w:after="40" w:line="320" w:lineRule="auto"/>
        <w:jc w:val="center"/>
      </w:pPr>
      <w:r>
        <w:rPr>
          <w:rFonts w:ascii="微软雅黑" w:hAnsi="微软雅黑" w:eastAsia="微软雅黑"/>
          <w:b/>
          <w:color w:val="2E74B5"/>
          <w:sz w:val="26"/>
        </w:rPr>
        <w:t>华南区（2026年1月1日—5月6日）</w:t>
      </w:r>
    </w:p>
    <w:p>
      <w:pPr>
        <w:spacing w:before="0" w:after="40" w:line="280" w:lineRule="auto"/>
        <w:jc w:val="center"/>
      </w:pPr>
      <w:r>
        <w:rPr>
          <w:rFonts w:ascii="微软雅黑" w:hAnsi="微软雅黑" w:eastAsia="微软雅黑"/>
          <w:color w:val="606060"/>
          <w:sz w:val="18"/>
        </w:rPr>
        <w:t>统计周期：2026年1月1日—5月6日</w:t>
      </w:r>
    </w:p>
    <w:p>
      <w:pPr>
        <w:spacing w:before="40" w:after="40" w:line="120" w:lineRule="auto"/>
        <w:pBdr>
          <w:bottom w:val="single" w:sz="12" w:space="4" w:color="1F497D"/>
        </w:pBdr>
      </w:pPr>
    </w:p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一、总体概况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本统计周期，华南区共计 7 家门店参与经营，其中可比门店（25年同期已开业）1 家，25年同期后新增门店 6 家。</w:t>
      </w:r>
    </w:p>
    <w:p>
      <w:pPr>
        <w:spacing w:before="60" w:after="40" w:line="280" w:lineRule="auto"/>
      </w:pPr>
      <w:r>
        <w:rPr>
          <w:rFonts w:ascii="微软雅黑" w:hAnsi="微软雅黑" w:eastAsia="微软雅黑"/>
          <w:b/>
          <w:color w:val="2E74B5"/>
          <w:sz w:val="20"/>
        </w:rPr>
        <w:t>核心指标总览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整体（26年）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同店（1家）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销售额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4,862.6万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+754.5%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509.8万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-10.4%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销量（件）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386,299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+828.8%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42,695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+2.7%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订单量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148,550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+755.0%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17,031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-2.0%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客单价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¥327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-0.1%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¥299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-8.6%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连带率（件/单）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2.60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+8.6%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2.51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+4.7%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老客销售占比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27.2%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50.6%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提袋率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8.8%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14.3%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新增会员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85,661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+804.1%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7,073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-25.4%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客流量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1,678,626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+1059.6%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118,827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-17.9%</w:t>
            </w:r>
          </w:p>
        </w:tc>
      </w:tr>
    </w:tbl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注：整体口径含全部 7 家门店；同店口径仅含 1 家25年同期已开业门店，可直接与25年同期对比。</w:t>
      </w:r>
    </w:p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二、区域经营数据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店铺数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同店销售额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同店客流同比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华南区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4,862.6万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+754.5%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509.8万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-10.4%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¥299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2.51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50.6%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7,073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-17.9%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三、销售额TOP5门店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销量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客流量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广州黄埔大悦汇店 ★新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886.4万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69,463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25,017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¥354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2.78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35.6%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12,618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148,475</w:t>
            </w:r>
          </w:p>
        </w:tc>
      </w:tr>
      <w:tr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佛山禅城创意产业园店 ★新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华南区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830.7万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65,248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24,983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¥333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2.61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3.4%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19,524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284,829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南宁良庆五象航洋城店 ★新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795.2万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68,080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26,925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¥295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2.53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34.6%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14,333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587,385</w:t>
            </w:r>
          </w:p>
        </w:tc>
      </w:tr>
      <w:tr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深圳宝安中洲mall店 ★新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华南区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758.6万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59,039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21,076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¥360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2.80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36.3%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10,503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208,898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深圳龙岗深铁汇里店 ★新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626.5万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45,884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18,670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¥336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2.46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16.4%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12,259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139,877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四、25年同期后新增门店表现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本华南区共有 6 家门店为25年同期后新开店铺，合计贡献销售额 4,352.8万。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销量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客流量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广州黄埔大悦汇店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华南区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886.4万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69,463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25,017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¥354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2.78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35.6%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12,618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148,475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佛山禅城创意产业园店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华南区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830.7万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65,248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24,983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¥333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2.61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3.4%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19,524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284,829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南宁良庆五象航洋城店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华南区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795.2万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68,080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26,925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¥295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2.53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34.6%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14,333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587,385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深圳宝安中洲mall店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华南区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758.6万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59,039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21,076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¥360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2.80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36.3%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10,503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208,898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深圳龙岗深铁汇里店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华南区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626.5万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45,884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18,670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¥336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2.46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16.4%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12,259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139,877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南宁西乡塘大唐天城店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华南区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455.5万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35,890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14,848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¥307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2.42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14.9%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9,351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190,335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五、销售额TOP20品牌表现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本华南区共涉及 162 个品牌在售，TOP20 合计贡献销售额 3,908.3万，占整体 80.4%。"同店同比"仅在上年同店销售额 ≥100万的稳定品牌上展示；新引入或小基数品牌标注为"新进/小基数"，不参与同比。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覆盖门店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GABRILE MANN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621.7万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12.8%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30,677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¥203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-29.0%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斯凯奇运动系列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379.0万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7.8%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19,128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¥198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阿迪达斯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378.9万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7.8%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16,347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¥232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1.30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彪马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313.9万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6.5%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19,107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¥164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骆驼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258.5万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5.3%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14,578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¥177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AIRWALK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240.7万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5.0%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13,538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¥178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1.31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安德玛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197.3万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4.1%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9,714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¥203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1.36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AVIA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193.7万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4.0%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11,919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¥162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PAULO PEDRO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192.4万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4.0%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10,401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¥185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michael bublé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150.4万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3.1%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9,025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¥167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1.31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David Fincher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140.4万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2.9%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9,688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¥145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Champion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138.0万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2.8%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9,917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¥139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三叶草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137.9万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2.8%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5,795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¥238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1.17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Jeep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100.3万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2.1%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4,895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¥205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1.25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GABRILE MANN|家居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91.3万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1.9%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13,846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¥66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NAUTICA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88.5万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1.8%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3,948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¥224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1.09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GAP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80.0万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1.6%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8,856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¥90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1.68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耐克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79.8万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1.6%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3,597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¥222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The North Face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66.6万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1,575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¥423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茵曼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58.8万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2,910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¥202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六、增长来源拆解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增长来源</w:t>
            </w:r>
          </w:p>
        </w:tc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金额</w:t>
            </w:r>
          </w:p>
        </w:tc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占整体增量比</w:t>
            </w:r>
          </w:p>
        </w:tc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口径说明</w:t>
            </w:r>
          </w:p>
        </w:tc>
      </w:tr>
      <w:tr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整体销售额增量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+4,293.6万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整体26年 - 整体25年同期</w:t>
            </w:r>
          </w:p>
        </w:tc>
      </w:tr>
      <w:tr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其中：新店贡献（6家）</w:t>
            </w:r>
          </w:p>
        </w:tc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+4,352.8万</w:t>
            </w:r>
          </w:p>
        </w:tc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+101.4%</w:t>
            </w:r>
          </w:p>
        </w:tc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6家25年同期后新开门店销售额</w:t>
            </w:r>
          </w:p>
        </w:tc>
      </w:tr>
      <w:tr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其中：同店增量（1家）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-59.2万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-1.4%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1家可比门店销售额差额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七、深度洞察与行动建议</w:t>
      </w:r>
    </w:p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从增长结构、同店质量、客群结构、新店爬坡、商品结构五个维度拆解经营表现，提炼关键行动建议。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7.1 增长来源：新店驱动还是同店驱动？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本期华南区整体销售额 4,862.6万，同比+754.5%。拆解后，6家新店贡献 4,352.8万，1家可比同店销售额同比-10.4%（-59.2万）。整体增长主要由新店驱动，同店销售同比承压，规模扩张掩盖了老店下滑。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同店客流同比-17.9%，客流仍在承压，同店订单量同比-2.0%、销售同比-10.4%。提袋率提升部分对冲了客流下滑。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判断：华南区目前处于门店数量扩张驱动增长阶段。若2026下半年新店扩张节奏放缓，同店基本盘的修复将成为增长可持续性的关键。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7.2 同店经营画像：客单、连带、老客、转化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同店客单价 ¥299（同比-8.6%），连带率 2.51 件/单（同比+4.7%）。件单价与连带率呈现结构性分化，与消费降级大环境吻合。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同店老客销售占比 50.6%，同店新增会员同比-25.4%，已形成老客依赖加深、新客获取乏力的矛盾，需加大拉新力度。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同店提袋率 14.3%，横向对比同店各指标同比——客流-17.9%、订单-2.0%、销额-10.4%——订单跌幅浅于客流，说明提袋率提升已部分对冲客流下滑。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7.3 关键行动建议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重点盯防同店下滑：1家可比门店销额同比-10.4%，建议立项同店修复专项，按门店维度诊断客流（同店客流同比-17.9%）、客单、复购三要素，优先复盘同店同比下滑超10%的门店经营策略。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加码新客拉新：同店新会员同比-25.4%，建议加大到店礼、社群裂变、异业合流等拉新动作，避免客群老化对下半年经营形成传导。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释放老客复购潜能：老客销比 50.6%，建议分层运营（高价值/沉默/流失预警），通过会员日、专属券、新品预约等方式延长老客LTV。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建立新店爬坡跟踪机制：6家新店贡献销售额 4,352.8万，建议按月跟踪单店销额、客流、会员数三项核心指标，识别爬坡落后门店并提前介入干预。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7.4 商品结构与品牌建议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销售额 TOP5 品牌为 GABRILE MANN、斯凯奇运动系列、阿迪达斯、彪马、骆驼，合计占华南区 40.1%。TOP20 中有 1 个品牌同店销额同比下滑 ≥15%，商品结构正处于老品类退潮、新品类接棒的切换期。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稳定品牌中同店承压较明显的有：GABRILE MANN(-29.0%)，建议与品牌方协商货品组合、促销资源与陈列位置，明确是款式老化、价格偏高还是渠道分流导致。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TOP5 品牌贡献已达 40.1%，集中度偏高。建议按季度回顾 TOP20 品牌结构，设置'核心保量（≥8%）+ 成长加码（3—8%）+ 观察孵化（&lt;3%）'三层梯队，避免单一头部品牌波动对整体销额产生过大冲击。</w:t>
      </w:r>
    </w:p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八、经营预警与行动方案</w:t>
      </w:r>
    </w:p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基于前文同店、客流、客群、新店、品牌数据自动识别的风险项，按"风险—证据—行动"三段式呈现。</w:t>
      </w:r>
    </w:p>
    <w:p>
      <w:pPr>
        <w:spacing w:before="160" w:after="40" w:line="320" w:lineRule="auto"/>
        <w:shd w:val="clear" w:color="auto" w:fill="FDECEA"/>
        <w:pBdr>
          <w:left w:val="single" w:sz="36" w:space="6" w:color="C00000"/>
        </w:pBdr>
      </w:pPr>
      <w:r>
        <w:rPr>
          <w:rFonts w:ascii="微软雅黑" w:hAnsi="微软雅黑" w:eastAsia="微软雅黑"/>
          <w:b/>
          <w:color w:val="C00000"/>
          <w:sz w:val="22"/>
        </w:rPr>
        <w:t xml:space="preserve">  【红】 </w:t>
      </w:r>
      <w:r>
        <w:rPr>
          <w:rFonts w:ascii="微软雅黑" w:hAnsi="微软雅黑" w:eastAsia="微软雅黑"/>
          <w:b/>
          <w:color w:val="1F497D"/>
          <w:sz w:val="22"/>
        </w:rPr>
        <w:t>预警1：同店客流持续下滑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同店客流同比-17.9%，同店订单量同比-2.0%。客流下滑是同店销额承压的主要来源之一。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两周内启动客流诊断：按门店商圈类型（社区/商业中心/交通枢纽）拆解客流构成；同步推进外场导流（社群、异业、美团/抖音本地生活投放）与店内转化提升（动线优化、促销员培训）。</w:t>
      </w:r>
    </w:p>
    <w:p>
      <w:pPr>
        <w:spacing w:before="160" w:after="40" w:line="320" w:lineRule="auto"/>
        <w:shd w:val="clear" w:color="auto" w:fill="FDECEA"/>
        <w:pBdr>
          <w:left w:val="single" w:sz="36" w:space="6" w:color="C00000"/>
        </w:pBdr>
      </w:pPr>
      <w:r>
        <w:rPr>
          <w:rFonts w:ascii="微软雅黑" w:hAnsi="微软雅黑" w:eastAsia="微软雅黑"/>
          <w:b/>
          <w:color w:val="C00000"/>
          <w:sz w:val="22"/>
        </w:rPr>
        <w:t xml:space="preserve">  【红】 </w:t>
      </w:r>
      <w:r>
        <w:rPr>
          <w:rFonts w:ascii="微软雅黑" w:hAnsi="微软雅黑" w:eastAsia="微软雅黑"/>
          <w:b/>
          <w:color w:val="1F497D"/>
          <w:sz w:val="22"/>
        </w:rPr>
        <w:t>预警2：新客获取乏力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同店新增会员同比-25.4%，客群呈现老客依赖加深趋势；同店老客销售占比 50.6%，若新客持续下滑，LTV 替换将失衡。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立即上线门店拉新 KPI（月度新增会员同比目标），配套到店礼、"老带新"邀请返现、门店前台主动扫码；同步从抖音、小红书 LBS 投放截流搜索流量。</w:t>
      </w:r>
    </w:p>
    <w:p>
      <w:pPr>
        <w:spacing w:before="160" w:after="40" w:line="320" w:lineRule="auto"/>
        <w:shd w:val="clear" w:color="auto" w:fill="FDECEA"/>
        <w:pBdr>
          <w:left w:val="single" w:sz="36" w:space="6" w:color="C00000"/>
        </w:pBdr>
      </w:pPr>
      <w:r>
        <w:rPr>
          <w:rFonts w:ascii="微软雅黑" w:hAnsi="微软雅黑" w:eastAsia="微软雅黑"/>
          <w:b/>
          <w:color w:val="C00000"/>
          <w:sz w:val="22"/>
        </w:rPr>
        <w:t xml:space="preserve">  【红】 </w:t>
      </w:r>
      <w:r>
        <w:rPr>
          <w:rFonts w:ascii="微软雅黑" w:hAnsi="微软雅黑" w:eastAsia="微软雅黑"/>
          <w:b/>
          <w:color w:val="1F497D"/>
          <w:sz w:val="22"/>
        </w:rPr>
        <w:t>预警3：增长结构失衡：规模扩张掩盖同店承压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整体销售额同比+754.5%，但同店销售额同比-10.4%，增长主要来自 6 家新店。若新店扩张节奏放缓或爬坡不及预期，整体增长可持续性存疑。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月度经营会新增"整体 vs 同店"双口径汇报；制定 2026 Q3 同店修复目标（同店同比回升至 -5% 以内）；新店开业节奏与同店健康度挂钩，同店承压区域暂缓新店扩张。</w:t>
      </w:r>
    </w:p>
    <w:p>
      <w:pPr>
        <w:spacing w:before="160" w:after="40" w:line="320" w:lineRule="auto"/>
        <w:shd w:val="clear" w:color="auto" w:fill="FDF3E0"/>
        <w:pBdr>
          <w:left w:val="single" w:sz="36" w:space="6" w:color="E07B00"/>
        </w:pBdr>
      </w:pPr>
      <w:r>
        <w:rPr>
          <w:rFonts w:ascii="微软雅黑" w:hAnsi="微软雅黑" w:eastAsia="微软雅黑"/>
          <w:b/>
          <w:color w:val="E07B00"/>
          <w:sz w:val="22"/>
        </w:rPr>
        <w:t xml:space="preserve">  【橙】 </w:t>
      </w:r>
      <w:r>
        <w:rPr>
          <w:rFonts w:ascii="微软雅黑" w:hAnsi="微软雅黑" w:eastAsia="微软雅黑"/>
          <w:b/>
          <w:color w:val="1F497D"/>
          <w:sz w:val="22"/>
        </w:rPr>
        <w:t>预警4：同店销售额大幅下滑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同店销售额同比-10.4%，1家可比门店下滑幅度超出正常季节性波动；同店订单量同比-2.0%，客单价同比-8.6%。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30天内完成同店修复专项立项：按销额同比下滑 &gt;10% 的门店逐店诊断，设立客流、客单、复购三条改善线；月度评审跌幅收敛情况，指标未改善的门店启动二次复盘。</w:t>
      </w:r>
    </w:p>
    <w:p>
      <w:pPr>
        <w:spacing w:before="160" w:after="40" w:line="320" w:lineRule="auto"/>
        <w:shd w:val="clear" w:color="auto" w:fill="FFF8D7"/>
        <w:pBdr>
          <w:left w:val="single" w:sz="36" w:space="6" w:color="B08F00"/>
        </w:pBdr>
      </w:pPr>
      <w:r>
        <w:rPr>
          <w:rFonts w:ascii="微软雅黑" w:hAnsi="微软雅黑" w:eastAsia="微软雅黑"/>
          <w:b/>
          <w:color w:val="B08F00"/>
          <w:sz w:val="22"/>
        </w:rPr>
        <w:t xml:space="preserve">  【黄】 </w:t>
      </w:r>
      <w:r>
        <w:rPr>
          <w:rFonts w:ascii="微软雅黑" w:hAnsi="微软雅黑" w:eastAsia="微软雅黑"/>
          <w:b/>
          <w:color w:val="1F497D"/>
          <w:sz w:val="22"/>
        </w:rPr>
        <w:t>预警5：头部品牌集中度偏高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TOP5 品牌贡献销售额占整体 40.1%（≥35%），任一头部品牌大幅波动都将对整体销额产生可观冲击。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建立品牌梯队管理：核心保量品牌（占比≥8%）签订年度返利+专属促销合作；成长加码品牌（3—8%）加大陈列面积与会员推荐；观察孵化品牌（&lt;3%）按季度评估动销率，末位汰换。目标 TOP5 占比 12 个月内降至 30% 以内。</w:t>
      </w:r>
    </w:p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预警等级：【红】=需立即干预，指标已突破关键阈值且直接影响整体健康度；【橙】=一个季度内必须改善，否则将恶化为红色；【黄】=结构性关注，需纳入半年度经营策略调整。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