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60" w:lineRule="auto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2026年经营简报</w:t>
      </w:r>
    </w:p>
    <w:p>
      <w:pPr>
        <w:spacing w:before="20" w:after="40" w:line="320" w:lineRule="auto"/>
        <w:jc w:val="center"/>
      </w:pPr>
      <w:r>
        <w:rPr>
          <w:rFonts w:ascii="微软雅黑" w:hAnsi="微软雅黑" w:eastAsia="微软雅黑"/>
          <w:b/>
          <w:color w:val="2E74B5"/>
          <w:sz w:val="26"/>
        </w:rPr>
        <w:t>西南区（2026年1月1日—5月6日）</w:t>
      </w:r>
    </w:p>
    <w:p>
      <w:pPr>
        <w:spacing w:before="0" w:after="40" w:line="280" w:lineRule="auto"/>
        <w:jc w:val="center"/>
      </w:pPr>
      <w:r>
        <w:rPr>
          <w:rFonts w:ascii="微软雅黑" w:hAnsi="微软雅黑" w:eastAsia="微软雅黑"/>
          <w:color w:val="606060"/>
          <w:sz w:val="18"/>
        </w:rPr>
        <w:t>统计周期：2026年1月1日—5月6日</w:t>
      </w:r>
    </w:p>
    <w:p>
      <w:pPr>
        <w:spacing w:before="40" w:after="40" w:line="120" w:lineRule="auto"/>
        <w:pBdr>
          <w:bottom w:val="single" w:sz="12" w:space="4" w:color="1F497D"/>
        </w:pBdr>
      </w:pP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一、总体概况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本统计周期，西南区共计 16 家门店参与经营，其中可比门店（25年同期已开业）13 家，25年同期后新增门店 3 家。</w:t>
      </w:r>
    </w:p>
    <w:p>
      <w:pPr>
        <w:spacing w:before="60" w:after="40" w:line="280" w:lineRule="auto"/>
      </w:pPr>
      <w:r>
        <w:rPr>
          <w:rFonts w:ascii="微软雅黑" w:hAnsi="微软雅黑" w:eastAsia="微软雅黑"/>
          <w:b/>
          <w:color w:val="2E74B5"/>
          <w:sz w:val="20"/>
        </w:rPr>
        <w:t>核心指标总览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整体（26年）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同店（13家）</w:t>
            </w:r>
          </w:p>
        </w:tc>
        <w:tc>
          <w:tcPr>
            <w:tcW w:type="dxa" w:w="204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销售额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12,944.8万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+0.2%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11,287.7万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-12.6%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销量（件）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958,670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+15.6%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832,114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+0.3%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订单量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365,125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+10.6%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312,833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-5.2%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客单价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¥355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-9.4%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¥361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-7.8%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连带率（件/单）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2.63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+4.5%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2.66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+5.9%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老客销售占比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50.8%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53.0%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提袋率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12.4%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16.2%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新增会员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144,914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-14.5%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118,086</w:t>
            </w:r>
          </w:p>
        </w:tc>
        <w:tc>
          <w:tcPr>
            <w:tcW w:type="dxa" w:w="204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-30.3%</w:t>
            </w:r>
          </w:p>
        </w:tc>
      </w:tr>
      <w:tr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客流量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2,939,480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+31.2%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1,932,594</w:t>
            </w:r>
          </w:p>
        </w:tc>
        <w:tc>
          <w:tcPr>
            <w:tcW w:type="dxa" w:w="204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-13.7%</w:t>
            </w:r>
          </w:p>
        </w:tc>
      </w:tr>
    </w:tbl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注：整体口径含全部 16 家门店；同店口径仅含 13 家25年同期已开业门店，可直接与25年同期对比。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二、区域经营数据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店铺数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同店客流同比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西南区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12,944.8万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+0.2%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11,287.7万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-12.6%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¥361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53.0%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118,086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-13.7%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三、销售额TOP5门店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927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成都锦江华宇店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1,587.8万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112,024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37,882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¥419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2.96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42.3%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17,326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201,146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成都温江新光天地店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1,361.6万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98,533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39,976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¥341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2.46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49.5%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16,572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242,323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成都高新凯德天府店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1,300.9万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89,803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33,233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¥391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2.70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47.9%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14,980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219,831</w:t>
            </w:r>
          </w:p>
        </w:tc>
      </w:tr>
      <w:tr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重庆渝北爱融荟城店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1,269.0万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92,500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35,190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¥361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2.63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59.9%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11,718</w:t>
            </w:r>
          </w:p>
        </w:tc>
        <w:tc>
          <w:tcPr>
            <w:tcW w:type="dxa" w:w="927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301,990</w:t>
            </w:r>
          </w:p>
        </w:tc>
      </w:tr>
      <w:tr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成都金牛龙湖北城天街店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1,119.2万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78,954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28,506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¥393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2.77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61.4%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8,545</w:t>
            </w:r>
          </w:p>
        </w:tc>
        <w:tc>
          <w:tcPr>
            <w:tcW w:type="dxa" w:w="927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127,390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四、25年同期后新增门店表现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本西南区共有 3 家门店为25年同期后新开店铺，合计贡献销售额 1,657.1万。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老客销比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新增会员</w:t>
            </w:r>
          </w:p>
        </w:tc>
        <w:tc>
          <w:tcPr>
            <w:tcW w:type="dxa" w:w="102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客流量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成都青羊鹏瑞利店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704.8万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54,183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22,476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¥314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42.6%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10,519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166,608</w:t>
            </w:r>
          </w:p>
        </w:tc>
      </w:tr>
      <w:tr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重庆渝中罗宾森广场店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483.8万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37,112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14,877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¥325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2.49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29.6%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8,313</w:t>
            </w:r>
          </w:p>
        </w:tc>
        <w:tc>
          <w:tcPr>
            <w:tcW w:type="dxa" w:w="102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284,324</w:t>
            </w:r>
          </w:p>
        </w:tc>
      </w:tr>
      <w:tr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成都高新新南天地店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西南区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468.4万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35,261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14,939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¥314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32.6%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7,996</w:t>
            </w:r>
          </w:p>
        </w:tc>
        <w:tc>
          <w:tcPr>
            <w:tcW w:type="dxa" w:w="102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555,954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五、销售额TOP20品牌表现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本西南区共涉及 194 个品牌在售，TOP20 合计贡献销售额 9,721.5万，占整体 75.1%。"同店同比"仅在上年同店销售额 ≥100万的稳定品牌上展示；新引入或小基数品牌标注为"新进/小基数"，不参与同比。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客单价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连带率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覆盖门店</w:t>
            </w:r>
          </w:p>
        </w:tc>
        <w:tc>
          <w:tcPr>
            <w:tcW w:type="dxa" w:w="1133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1,604.6万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12.4%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77,127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1.47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-28.6%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1,089.8万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8.4%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50,756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¥215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-14.7%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阿迪达斯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853.0万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6.6%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35,254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¥242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-15.3%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彪马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626.1万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4.8%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37,253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¥168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-32.5%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骆驼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614.7万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4.7%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31,597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¥195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C00000"/>
                <w:sz w:val="18"/>
              </w:rPr>
              <w:t>+25.4%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michael bublé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514.2万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4.0%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28,005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-33.8%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PAULO PEDRO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495.1万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3.8%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26,804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¥185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安德玛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439.5万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3.4%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21,166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-48.5%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AIRWALK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435.8万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3.4%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24,375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¥179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三叶草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403.2万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3.1%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14,855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¥271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1.13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-33.7%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David Fincher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385.4万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3.0%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24,401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¥158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-3.4%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AVIA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340.6万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2.6%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20,979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¥162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Champion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299.9万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2.3%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21,843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¥137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1.38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耐克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278.1万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10,878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¥256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1.24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-47.7%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Jeep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270.9万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2.1%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13,145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¥206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1.26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NAUTICA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264.7万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2.0%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11,458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outdoor products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223.5万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9,363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¥239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-29.5%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GAP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213.1万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1.6%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23,970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¥89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1.79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小基数</w:t>
            </w:r>
          </w:p>
        </w:tc>
      </w:tr>
      <w:tr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GABRILE MANN|家居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196.2万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1.5%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31,122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¥63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1.39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16家</w:t>
            </w:r>
          </w:p>
        </w:tc>
        <w:tc>
          <w:tcPr>
            <w:tcW w:type="dxa" w:w="1133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606060"/>
                <w:sz w:val="18"/>
              </w:rPr>
              <w:t>新进</w:t>
            </w:r>
          </w:p>
        </w:tc>
      </w:tr>
      <w:tr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茵曼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173.0万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1.3%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8,182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¥211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1.25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15家</w:t>
            </w:r>
          </w:p>
        </w:tc>
        <w:tc>
          <w:tcPr>
            <w:tcW w:type="dxa" w:w="113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color w:val="007000"/>
                <w:sz w:val="18"/>
              </w:rPr>
              <w:t>-13.8%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六、增长来源拆解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增长来源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金额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占整体增量比</w:t>
            </w:r>
          </w:p>
        </w:tc>
        <w:tc>
          <w:tcPr>
            <w:tcW w:type="dxa" w:w="2550"/>
            <w:shd w:val="clear" w:color="auto" w:fill="1F497D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口径说明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整体销售额增量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+22.5万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100.0%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整体26年 - 整体25年同期</w:t>
            </w:r>
          </w:p>
        </w:tc>
      </w:tr>
      <w:tr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其中：新店贡献（3家）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+1,657.1万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+7357.4%</w:t>
            </w:r>
          </w:p>
        </w:tc>
        <w:tc>
          <w:tcPr>
            <w:tcW w:type="dxa" w:w="2550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3家25年同期后新开门店销售额</w:t>
            </w:r>
          </w:p>
        </w:tc>
      </w:tr>
      <w:tr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其中：同店增量（13家）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-1,634.6万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right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-7257.4%</w:t>
            </w:r>
          </w:p>
        </w:tc>
        <w:tc>
          <w:tcPr>
            <w:tcW w:type="dxa" w:w="2550"/>
            <w:shd w:val="clear" w:color="auto" w:fill="F2F6FC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  <w:spacing w:before="0" w:after="0" w:line="260" w:lineRule="auto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13家可比门店销售额差额</w:t>
            </w:r>
          </w:p>
        </w:tc>
      </w:tr>
    </w:tbl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七、深度洞察与行动建议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从增长结构、同店质量、客群结构、新店爬坡、商品结构五个维度拆解经营表现，提炼关键行动建议。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7.1 增长来源：新店驱动还是同店驱动？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本期西南区整体销售额 12,944.8万，同比+0.2%。拆解后，3家新店贡献 1,657.1万，13家可比同店销售额同比-12.6%（-1,634.6万）。整体增长主要由新店驱动，同店销售同比承压，规模扩张掩盖了老店下滑。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同店客流同比-13.7%，客流仍在承压，同店订单量同比-5.2%、销售同比-12.6%。提袋率提升部分对冲了客流下滑。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判断：西南区目前处于门店数量扩张驱动增长阶段。若2026下半年新店扩张节奏放缓，同店基本盘的修复将成为增长可持续性的关键。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7.2 同店经营画像：客单、连带、老客、转化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同店客单价 ¥361（同比-7.8%），连带率 2.66 件/单（同比+5.9%）。件单价与连带率呈现结构性分化，与消费降级大环境吻合。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同店老客销售占比 53.0%，同店新增会员同比-30.3%，已形成老客依赖加深、新客获取乏力的矛盾，需加大拉新力度。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同店提袋率 16.2%，横向对比同店各指标同比——客流-13.7%、订单-5.2%、销额-12.6%——订单跌幅浅于客流，说明提袋率提升已部分对冲客流下滑。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7.3 关键行动建议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重点盯防同店下滑：13家可比门店销额同比-12.6%，建议立项同店修复专项，按门店维度诊断客流（同店客流同比-13.7%）、客单、复购三要素，优先复盘同店同比下滑超10%的门店经营策略。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加码新客拉新：同店新会员同比-30.3%，建议加大到店礼、社群裂变、异业合流等拉新动作，避免客群老化对下半年经营形成传导。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释放老客复购潜能：老客销比 53.0%，建议分层运营（高价值/沉默/流失预警），通过会员日、专属券、新品预约等方式延长老客LTV。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建立新店爬坡跟踪机制：3家新店贡献销售额 1,657.1万，建议按月跟踪单店销额、客流、会员数三项核心指标，识别爬坡落后门店并提前介入干预。</w:t>
      </w:r>
    </w:p>
    <w:p>
      <w:pPr>
        <w:spacing w:before="140" w:after="60" w:line="300" w:lineRule="auto"/>
        <w:pBdr>
          <w:left w:val="single" w:sz="24" w:space="6" w:color="2E74B5"/>
        </w:pBdr>
      </w:pPr>
      <w:r>
        <w:rPr>
          <w:rFonts w:ascii="微软雅黑" w:hAnsi="微软雅黑" w:eastAsia="微软雅黑"/>
          <w:b/>
          <w:color w:val="2E74B5"/>
          <w:sz w:val="22"/>
        </w:rPr>
        <w:t xml:space="preserve">  7.4 商品结构与品牌建议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销售额 TOP5 品牌为 GABRILE MANN、斯凯奇运动系列、阿迪达斯、彪马、骆驼，合计占西南区 37.0%。TOP20 中有 8 个品牌同店销额同比下滑 ≥15%，商品结构正处于老品类退潮、新品类接棒的切换期。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已退场或接近清零品牌：MixBlu（上年177万→本期0万）、卡帝乐鳄鱼（上年586万→本期0万）、Kappa Kids（上年132万→本期0万），建议核查是否因品牌方合约到期、货源切换或战略退出，若主动替代已完成应关注新接棒品牌的承接效果。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稳定品牌中同店承压较明显的有：Dickies(-76.2%)、拓路者(-57.1%)，建议与品牌方协商货品组合、促销资源与陈列位置，明确是款式老化、价格偏高还是渠道分流导致。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同店高增长稳定品牌：骆驼(+25.4%)、杰克琼斯(+11.9%)，建议加大陈列面积、扩充 SKU 并强化会员推荐，把单品牌增势拉成结构性贡献。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color w:val="333333"/>
          <w:sz w:val="20"/>
        </w:rPr>
        <w:t>TOP5 品牌贡献已达 37.0%，集中度偏高。建议按季度回顾 TOP20 品牌结构，设置'核心保量（≥8%）+ 成长加码（3—8%）+ 观察孵化（&lt;3%）'三层梯队，避免单一头部品牌波动对整体销额产生过大冲击。</w:t>
      </w:r>
    </w:p>
    <w:p>
      <w:pPr>
        <w:spacing w:before="200" w:after="100" w:line="320" w:lineRule="auto"/>
        <w:shd w:val="clear" w:color="auto" w:fill="EAF2FA"/>
        <w:pBdr>
          <w:left w:val="single" w:sz="48" w:space="6" w:color="1F497D"/>
        </w:pBdr>
        <w:pBdr>
          <w:bottom w:val="single" w:sz="4" w:space="4" w:color="B4C7E7"/>
        </w:pBdr>
      </w:pPr>
      <w:r>
        <w:rPr>
          <w:rFonts w:ascii="微软雅黑" w:hAnsi="微软雅黑" w:eastAsia="微软雅黑"/>
          <w:b/>
          <w:color w:val="1F497D"/>
          <w:sz w:val="28"/>
        </w:rPr>
        <w:t xml:space="preserve">  八、经营预警与行动方案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基于前文同店、客流、客群、新店、品牌数据自动识别的风险项，按"风险—证据—行动"三段式呈现。</w:t>
      </w:r>
    </w:p>
    <w:p>
      <w:pPr>
        <w:spacing w:before="160" w:after="40" w:line="320" w:lineRule="auto"/>
        <w:shd w:val="clear" w:color="auto" w:fill="FDECEA"/>
        <w:pBdr>
          <w:left w:val="single" w:sz="36" w:space="6" w:color="C00000"/>
        </w:pBdr>
      </w:pPr>
      <w:r>
        <w:rPr>
          <w:rFonts w:ascii="微软雅黑" w:hAnsi="微软雅黑" w:eastAsia="微软雅黑"/>
          <w:b/>
          <w:color w:val="C00000"/>
          <w:sz w:val="22"/>
        </w:rPr>
        <w:t xml:space="preserve">  【红】 </w:t>
      </w:r>
      <w:r>
        <w:rPr>
          <w:rFonts w:ascii="微软雅黑" w:hAnsi="微软雅黑" w:eastAsia="微软雅黑"/>
          <w:b/>
          <w:color w:val="1F497D"/>
          <w:sz w:val="22"/>
        </w:rPr>
        <w:t>预警1：同店客流持续下滑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同店客流同比-13.7%，同店订单量同比-5.2%。客流下滑是同店销额承压的主要来源之一。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两周内启动客流诊断：按门店商圈类型（社区/商业中心/交通枢纽）拆解客流构成；同步推进外场导流（社群、异业、美团/抖音本地生活投放）与店内转化提升（动线优化、促销员培训）。</w:t>
      </w:r>
    </w:p>
    <w:p>
      <w:pPr>
        <w:spacing w:before="160" w:after="40" w:line="320" w:lineRule="auto"/>
        <w:shd w:val="clear" w:color="auto" w:fill="FDECEA"/>
        <w:pBdr>
          <w:left w:val="single" w:sz="36" w:space="6" w:color="C00000"/>
        </w:pBdr>
      </w:pPr>
      <w:r>
        <w:rPr>
          <w:rFonts w:ascii="微软雅黑" w:hAnsi="微软雅黑" w:eastAsia="微软雅黑"/>
          <w:b/>
          <w:color w:val="C00000"/>
          <w:sz w:val="22"/>
        </w:rPr>
        <w:t xml:space="preserve">  【红】 </w:t>
      </w:r>
      <w:r>
        <w:rPr>
          <w:rFonts w:ascii="微软雅黑" w:hAnsi="微软雅黑" w:eastAsia="微软雅黑"/>
          <w:b/>
          <w:color w:val="1F497D"/>
          <w:sz w:val="22"/>
        </w:rPr>
        <w:t>预警2：新客获取乏力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同店新增会员同比-30.3%，客群呈现老客依赖加深趋势；同店老客销售占比 53.0%，若新客持续下滑，LTV 替换将失衡。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立即上线门店拉新 KPI（月度新增会员同比目标），配套到店礼、"老带新"邀请返现、门店前台主动扫码；同步从抖音、小红书 LBS 投放截流搜索流量。</w:t>
      </w:r>
    </w:p>
    <w:p>
      <w:pPr>
        <w:spacing w:before="160" w:after="40" w:line="320" w:lineRule="auto"/>
        <w:shd w:val="clear" w:color="auto" w:fill="FDECEA"/>
        <w:pBdr>
          <w:left w:val="single" w:sz="36" w:space="6" w:color="C00000"/>
        </w:pBdr>
      </w:pPr>
      <w:r>
        <w:rPr>
          <w:rFonts w:ascii="微软雅黑" w:hAnsi="微软雅黑" w:eastAsia="微软雅黑"/>
          <w:b/>
          <w:color w:val="C00000"/>
          <w:sz w:val="22"/>
        </w:rPr>
        <w:t xml:space="preserve">  【红】 </w:t>
      </w:r>
      <w:r>
        <w:rPr>
          <w:rFonts w:ascii="微软雅黑" w:hAnsi="微软雅黑" w:eastAsia="微软雅黑"/>
          <w:b/>
          <w:color w:val="1F497D"/>
          <w:sz w:val="22"/>
        </w:rPr>
        <w:t>预警3：增长结构失衡：规模扩张掩盖同店承压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整体销售额同比+0.2%，但同店销售额同比-12.6%，增长主要来自 3 家新店。若新店扩张节奏放缓或爬坡不及预期，整体增长可持续性存疑。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C000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月度经营会新增"整体 vs 同店"双口径汇报；制定 2026 Q3 同店修复目标（同店同比回升至 -5% 以内）；新店开业节奏与同店健康度挂钩，同店承压区域暂缓新店扩张。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预警4：同店销售额大幅下滑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同店销售额同比-12.6%，13家可比门店下滑幅度超出正常季节性波动；同店订单量同比-5.2%，客单价同比-7.8%。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30天内完成同店修复专项立项：按销额同比下滑 &gt;10% 的门店逐店诊断，设立客流、客单、复购三条改善线；月度评审跌幅收敛情况，指标未改善的门店启动二次复盘。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预警5：稳定品牌集中退场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上年同店销售≥100万的稳定品牌中，有 3 个品牌本期同店销售接近清零，合计影响上年同店销售额 895万：MixBlu、卡帝乐鳄鱼、Kappa Kids。品牌方合约、货源切换或战略调整是可能原因。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两周内与采购团队核对退场品牌清单：标注"主动替代/被动流失"；主动替代的验证新接棒品牌承接率（目标≥70%）；被动流失的立即启动备选品牌引入，避免货架空置引发连锁同店下滑。</w:t>
      </w:r>
    </w:p>
    <w:p>
      <w:pPr>
        <w:spacing w:before="160" w:after="40" w:line="320" w:lineRule="auto"/>
        <w:shd w:val="clear" w:color="auto" w:fill="FDF3E0"/>
        <w:pBdr>
          <w:left w:val="single" w:sz="36" w:space="6" w:color="E07B00"/>
        </w:pBdr>
      </w:pPr>
      <w:r>
        <w:rPr>
          <w:rFonts w:ascii="微软雅黑" w:hAnsi="微软雅黑" w:eastAsia="微软雅黑"/>
          <w:b/>
          <w:color w:val="E07B00"/>
          <w:sz w:val="22"/>
        </w:rPr>
        <w:t xml:space="preserve">  【橙】 </w:t>
      </w:r>
      <w:r>
        <w:rPr>
          <w:rFonts w:ascii="微软雅黑" w:hAnsi="微软雅黑" w:eastAsia="微软雅黑"/>
          <w:b/>
          <w:color w:val="1F497D"/>
          <w:sz w:val="22"/>
        </w:rPr>
        <w:t>预警6：TOP20 品牌普遍承压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TOP20 品牌中有 8 个同店同比下滑 ≥15%，商品结构整体承压，可能源于品类切换期或大环境消费力收缩。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E07B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按品类（运动/休闲/童装/户外）拆解下滑品牌，识别品类级共性问题；运动品类下滑重点核查库龄与折扣深度；童装/户外品类重点核查新品迭代节奏。下滑品牌逐一制定季度回升方案并设退场阈值（连续两季下滑&gt;20% 启动替代评估）。</w:t>
      </w:r>
    </w:p>
    <w:p>
      <w:pPr>
        <w:spacing w:before="160" w:after="40" w:line="320" w:lineRule="auto"/>
        <w:shd w:val="clear" w:color="auto" w:fill="FFF8D7"/>
        <w:pBdr>
          <w:left w:val="single" w:sz="36" w:space="6" w:color="B08F00"/>
        </w:pBdr>
      </w:pPr>
      <w:r>
        <w:rPr>
          <w:rFonts w:ascii="微软雅黑" w:hAnsi="微软雅黑" w:eastAsia="微软雅黑"/>
          <w:b/>
          <w:color w:val="B08F00"/>
          <w:sz w:val="22"/>
        </w:rPr>
        <w:t xml:space="preserve">  【黄】 </w:t>
      </w:r>
      <w:r>
        <w:rPr>
          <w:rFonts w:ascii="微软雅黑" w:hAnsi="微软雅黑" w:eastAsia="微软雅黑"/>
          <w:b/>
          <w:color w:val="1F497D"/>
          <w:sz w:val="22"/>
        </w:rPr>
        <w:t>预警7：头部品牌集中度偏高</w:t>
      </w:r>
    </w:p>
    <w:p>
      <w:pPr>
        <w:spacing w:before="0" w:after="3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证据  </w:t>
      </w:r>
      <w:r>
        <w:rPr>
          <w:rFonts w:ascii="微软雅黑" w:hAnsi="微软雅黑" w:eastAsia="微软雅黑"/>
          <w:color w:val="333333"/>
          <w:sz w:val="20"/>
        </w:rPr>
        <w:t>TOP5 品牌贡献销售额占整体 37.0%（≥35%），任一头部品牌大幅波动都将对整体销额产生可观冲击。</w:t>
      </w:r>
    </w:p>
    <w:p>
      <w:pPr>
        <w:spacing w:before="0" w:after="80" w:line="340" w:lineRule="auto"/>
      </w:pPr>
      <w:r>
        <w:rPr>
          <w:rFonts w:ascii="微软雅黑" w:hAnsi="微软雅黑" w:eastAsia="微软雅黑"/>
          <w:b/>
          <w:color w:val="B08F00"/>
          <w:sz w:val="20"/>
        </w:rPr>
        <w:t xml:space="preserve">行动  </w:t>
      </w:r>
      <w:r>
        <w:rPr>
          <w:rFonts w:ascii="微软雅黑" w:hAnsi="微软雅黑" w:eastAsia="微软雅黑"/>
          <w:color w:val="333333"/>
          <w:sz w:val="20"/>
        </w:rPr>
        <w:t>建立品牌梯队管理：核心保量品牌（占比≥8%）签订年度返利+专属促销合作；成长加码品牌（3—8%）加大陈列面积与会员推荐；观察孵化品牌（&lt;3%）按季度评估动销率，末位汰换。目标 TOP5 占比 12 个月内降至 30% 以内。</w:t>
      </w:r>
    </w:p>
    <w:p>
      <w:pPr>
        <w:spacing w:before="20" w:after="60" w:line="260" w:lineRule="auto"/>
      </w:pPr>
      <w:r>
        <w:rPr>
          <w:rFonts w:ascii="微软雅黑" w:hAnsi="微软雅黑" w:eastAsia="微软雅黑"/>
          <w:i/>
          <w:color w:val="606060"/>
          <w:sz w:val="16"/>
        </w:rPr>
        <w:t>预警等级：【红】=需立即干预，指标已突破关键阈值且直接影响整体健康度；【橙】=一个季度内必须改善，否则将恶化为红色；【黄】=结构性关注，需纳入半年度经营策略调整。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