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西南大区（西南区·西北区·华南区）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本统计周期，西南大区共计 28 家门店参与经营，其中可比门店（25年同期已开业）14 家，25年同期后新增门店 14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同店（14家）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20,399.3万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+51.2%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11,797.5万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-12.6%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1,546,125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+77.5%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874,809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+0.4%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597,128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+71.8%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329,864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-5.1%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¥342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-12.0%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¥358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-7.9%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2.65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+5.8%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42.5%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10.5%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16.1%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278,916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+55.9%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125,159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-30.1%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5,700,549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+139.1%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2,051,421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-14.0%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28 家门店；同店口径仅含 14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12,944.8万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11,287.7万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118,086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-13.7%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4,862.6万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+754.5%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509.8万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7,073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-17.9%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成都锦江华宇店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1,587.8万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112,024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37,882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17,326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201,146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成都温江新光天地店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1,361.6万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98,533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39,976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49.5%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16,572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242,323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成都高新凯德天府店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1,300.9万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89,803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33,233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¥391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14,980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219,831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重庆渝北爱融荟城店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1,269.0万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92,500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35,190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59.9%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11,718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301,990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成都金牛龙湖北城天街店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1,119.2万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78,954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28,506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¥393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8,545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127,390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本西南大区共有 14 家门店为25年同期后新开店铺，合计贡献销售额 8,601.7万。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广州黄埔大悦汇店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886.4万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69,463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25,017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148,475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佛山禅城创意产业园店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830.7万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65,248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19,524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284,829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南宁良庆五象航洋城店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795.2万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68,080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26,925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14,333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587,385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深圳宝安中洲mall店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758.6万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59,039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21,076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208,898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西安高新益田假日里店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56,113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21,609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33.9%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120,425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成都青羊鹏瑞利店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704.8万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54,183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22,476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10,519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166,608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深圳龙岗深铁汇里店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626.5万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45,884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18,670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12,259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139,877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542.8万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42,459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15,449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11,434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189,313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西安莲湖大兴星悦荟店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506.1万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38,551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17,657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9,474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169,529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重庆渝中罗宾森广场店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483.8万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37,112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14,877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8,313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284,324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西安灞桥凯德御锦城店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482.1万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37,908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17,889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38.0%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8,861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500,669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成都高新新南天地店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468.4万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35,261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7,996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555,954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南宁西乡塘大唐天城店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455.5万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35,890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14,848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14.9%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9,351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190,335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西安雁塔凯德新地城店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324.3万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26,125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10,849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6,546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102,507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本西南大区共涉及 210 个品牌在售，TOP20 合计贡献销售额 15,615.7万，占整体 76.6%。"同店同比"仅在上年同店销售额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2,533.2万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124,109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-28.6%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1,701.5万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81,567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-14.1%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1,395.6万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59,057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-14.7%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1,083.8万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65,186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-33.6%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1,029.9万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54,539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+29.3%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806.6万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43,751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788.1万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44,416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758.4万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43,104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-34.5%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751.1万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36,841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-47.0%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622.0万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38,646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605.4万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23,503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-33.5%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39,509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487.7万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35,748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424.5万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20,487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423.2万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18,449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396.5万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16,376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-47.9%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331.2万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52,245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330.3万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37,206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¥89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274.3万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11,989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-31.3%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271.8万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13,044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-13.4%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+6,907.9万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其中：新店贡献（14家）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+8,601.7万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+124.5%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其中：同店增量（14家）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-1,693.8万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-24.5%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本期西南大区整体销售额 20,399.3万，同比+51.2%。拆解后，14家新店贡献 8,601.7万，14家可比同店销售额同比-12.6%（-1,693.8万）。整体增长主要由新店驱动，同店销售同比承压，规模扩张掩盖了老店下滑。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同店客流同比-14.0%，客流仍在承压，同店订单量同比-5.1%、销售同比-12.6%。提袋率提升部分对冲了客流下滑。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判断：西南大区目前处于门店数量扩张驱动增长阶段。若2026下半年新店扩张节奏放缓，同店基本盘的修复将成为增长可持续性的关键。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¥358（同比-7.9%），连带率 2.65 件/单（同比+5.8%）。件单价与连带率呈现结构性分化，与消费降级大环境吻合。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52.9%，同店新增会员同比-30.1%，已形成老客依赖加深、新客获取乏力的矛盾，需加大拉新力度。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16.1%，横向对比同店各指标同比——客流-14.0%、订单-5.1%、销额-12.6%——订单跌幅浅于客流，说明提袋率提升已部分对冲客流下滑。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重点盯防同店下滑：14家可比门店销额同比-12.6%，建议立项同店修复专项，按门店维度诊断客流（同店客流同比-14.0%）、客单、复购三要素，优先复盘同店同比下滑超10%的门店经营策略。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加码新客拉新：同店新会员同比-30.1%，建议加大到店礼、社群裂变、异业合流等拉新动作，避免客群老化对下半年经营形成传导。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52.9%，建议分层运营（高价值/沉默/流失预警），通过会员日、专属券、新品预约等方式延长老客LTV。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建立新店爬坡跟踪机制：14家新店贡献销售额 8,601.7万，建议按月跟踪单店销额、客流、会员数三项核心指标，识别爬坡落后门店并提前介入干预。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MANN、斯凯奇运动系列、阿迪达斯、彪马、骆驼，合计占西南大区 38.0%。TOP20 中有 7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已退场或接近清零品牌：MixBlu（上年187万→本期0万）、卡帝乐鳄鱼（上年624万→本期0万）、Kappa Kids（上年135万→本期0万），建议核查是否因品牌方合约到期、货源切换或战略退出，若主动替代已完成应关注新接棒品牌的承接效果。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稳定品牌中同店承压较明显的有：Dickies(-77.3%)、拓路者(-55.2%)，建议与品牌方协商货品组合、促销资源与陈列位置，明确是款式老化、价格偏高还是渠道分流导致。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同店高增长稳定品牌：骆驼(+29.3%)、杰克琼斯(+11.9%)，建议加大陈列面积、扩充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38.0%，集中度偏高。建议按季度回顾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同店客流同比-14.0%，同店订单量同比-5.1%。客流下滑是同店销额承压的主要来源之一。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同店新增会员同比-30.1%，客群呈现老客依赖加深趋势；同店老客销售占比 52.9%，若新客持续下滑，LTV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预警3：增长结构失衡：规模扩张掩盖同店承压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整体销售额同比+51.2%，但同店销售额同比-12.6%，增长主要来自 14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同店销售额同比-12.6%，14家可比门店下滑幅度超出正常季节性波动；同店订单量同比-5.1%，客单价同比-7.9%。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预警5：稳定品牌集中退场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上年同店销售≥100万的稳定品牌中，有 3 个品牌本期同店销售接近清零，合计影响上年同店销售额 946万：MixBlu、卡帝乐鳄鱼、Kappa Kids。品牌方合约、货源切换或战略调整是可能原因。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两周内与采购团队核对退场品牌清单：标注"主动替代/被动流失"；主动替代的验证新接棒品牌承接率（目标≥70%）；被动流失的立即启动备选品牌引入，避免货架空置引发连锁同店下滑。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预警6：TOP20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7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预警7：新店爬坡进度滞后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14家新店中，有 1 家销售额显著偏低：西安雁塔凯德新地城店(324.3万)。平均新店销售 614万 vs 同店中位数 771万。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预警8：头部品牌集中度偏高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38.0%（≥35%），任一头部品牌大幅波动都将对整体销额产生可观冲击。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