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华中区经营简报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华中区 合计 3 家门店（其中同店 1 家、新增/非连续门店 2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226.6万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+178.3%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52.3万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-35.8%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6,984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+177.4%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1,639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-34.9%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21,608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+216.6%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4,732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-30.7%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324元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319元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-1.4%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3.09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+14.1%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2.89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+6.5%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82,931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+457.4%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10,371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8.42%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-50.2%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15.80%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-6.6%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3,842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670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58.3%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+83.0%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1,398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+83.9%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2,212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+78.0%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151元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19.1万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+106.9%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931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+129.9%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1,295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+81.0%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965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+94.2%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1,468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+105.3%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177元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13.6万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+226.5%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1,065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+240.3%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1,499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+247.8%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The North Face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250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533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462元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10.2万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+119.5%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531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+227.8%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775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+228.4%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+299.9%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627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+344.7%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836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+369.7%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+506.4%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475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+619.7%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673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+673.6%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487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148元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494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6.3万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+103.0%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351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+180.8%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445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+190.8%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179元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+1863.1%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413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+1866.7%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592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+2473.9%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144元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茵曼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5.7万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+124.9%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+118.9%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+125.8%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182元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outdoor products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5.6万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443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-18.2%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495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MANN|家居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873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1,208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51元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LOTTO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314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+54.8%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+99.4%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447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+90.2%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德玛纳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3.8万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+317.2%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+289.7%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335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+298.8%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143元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3.7万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+1521.1%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161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+1688.9%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+1944.4%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228元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武汉洪山光谷鲁巷店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131.4万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4,074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323元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武汉青山印象城店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52.3万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-35.8%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1,639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319元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武汉汉口K11广场店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42.9万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1,271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338元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2 家新增/非连续门店，合计贡献销售额 174.4万。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武汉洪山光谷鲁巷店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131.4万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4,074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323元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武汉汉口K11广场店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42.9万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1,271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338元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226.6万，同比 +178.3%，净增 145.2万。其中：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同店增量：-291721元（同店同比 -35.8%）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新增门店贡献：174.4万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-35.8%，出现下滑。新增门店贡献 174.4万，占总销售 76.9%（需关注同店承压）。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-30.3%，客单价 319元（上年 323元，同比 -1.4%），连带率 2.89，老客销售占比 58.3%。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内同比≥20%）：AIRWALK(+1863.1%)、NAUTICA(+1521.1%)、Jeep(+506.4%)、德玛纳(+317.2%)、骆驼(+299.9%)。建议加大陈列与选品倾斜。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同店销售同比 -35.8%，需要门店层面盘点客流、客单、连带三指标，定位症结。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同店客流同比 -30.3%，建议联动营销团队强化周末客流拉动与会员召回。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3. 新增门店贡献占比 76.9%，需关注同店承压情况，避免增长过度依赖新店。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-35.8%，存量门店基础盘受损。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-30.3%。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行动建议：紧急评估门店人气来源（周边客流、广告投放、促销力度）；启动会员到店召回活动。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报告范围：华中区  覆盖门店数：3  同店 1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