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华北区经营简报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华北区 合计 11 家门店（其中同店 9 家、新增/非连续门店 2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672.2万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+6.8%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557.9万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25,797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21,897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71,667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-19.5%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61,174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-31.3%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261元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+18.3%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255元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+15.7%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2.78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-10.9%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2.79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-10.4%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140,490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-5.0%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114,828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-22.3%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19.07%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9,573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7,395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57.7%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65.5万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-16.0%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4,305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-18.3%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6,498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2,604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3,428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209元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51.0万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-26.7%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2,891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3,901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+79.9%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2,082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+61.6%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2,649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+75.7%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2,110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2,931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-8.7%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1,490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+23.2%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2,081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+25.6%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+1224.5%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1,778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+1459.6%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2,427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+1633.6%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1,831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-26.7%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2,311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+63.2%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1,716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+93.2%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2,209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+89.1%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17.7万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+34.5%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999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+42.9%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+54.1%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The North Face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+535.1%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+282.2%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+395.1%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394元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+531853.5%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1,335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+133400.0%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1,865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+186400.0%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119元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-37.8%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1,164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1,567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+620.8%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+648.8%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+675.6%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1,114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1,449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-35.4%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615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-32.5%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-35.4%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2,425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3,274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13.2万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758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174元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髑髏兎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658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882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-26.0%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GAP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+535.2%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1,288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+627.7%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1,886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+757.3%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85元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天津南开仁恒店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172.3万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-12.4%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7,704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224元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天津南开鲁能城店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119.2万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+16.5%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4,064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293元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天津和平国金汇店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59.4万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1,997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297元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青岛黄岛西海岸吾悦店  ★新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54.9万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1,903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289元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天津滨海泰达永旺店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54.5万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-39.2%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2,141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254元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2 家新增/非连续门店，合计贡献销售额 114.3万。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天津和平国金汇店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1,997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297元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青岛黄岛西海岸吾悦店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54.9万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1,903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289元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672.2万，同比 +6.8%，净增 43.0万。其中：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同店增量：-712453元（同店同比 -11.3%）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新增门店贡献：114.3万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-11.3%，出现下滑。新增门店贡献 114.3万，占总销售 17.0%（需关注同店承压）。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-22.3%，客单价 255元（上年 220元，同比 +15.7%），连带率 2.79，老客销售占比 60.9%。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内同比≥20%）：Champion(+531853.5%)、AIRWALK(+1224.5%)、NAUTICA(+620.8%)、GAP(+535.2%)、The North Face(+535.1%)。建议加大陈列与选品倾斜。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下滑品牌（TOP20 内同比≤-20%）：michael bublé(-37.8%)、三叶草(-35.4%)、斯凯奇运动系列(-26.7%)、彪马(-24.8%)、髑髏兎(-23.2%)。建议复盘库存、陈列与价格带。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同店销售同比 -11.3%，需要门店层面盘点客流、客单、连带三指标，定位症结。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同店客流同比 -22.3%，建议联动营销团队强化周末客流拉动与会员召回。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-11.3%，存量门店基础盘受损。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-22.3%。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ED7D31"/>
          <w:sz w:val="22"/>
        </w:rPr>
        <w:t>【橙色】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多个 TOP 品牌同比下滑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描述：TOP20 品牌中有 5 个同比跌幅≥20%，含 michael bublé、三叶草、斯凯奇运动系列 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行动建议：与供应商对齐新品/旺季节奏；评估陈列面与折扣结构；必要时调整品牌组合。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报告范围：华北区  覆盖门店数：11  同店 9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