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华北大区经营简报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华北大区 合计 50 家门店（其中同店 34 家、新增/非连续门店 16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2745.5万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1952.7万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-19.6%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93,839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68,582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-22.5%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267,782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193,502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-24.7%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293元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285元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+3.7%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-1.8%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-2.9%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655,082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425,249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-17.8%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14.32%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-16.2%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-5.7%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38,003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24,097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55.8%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62.0%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二、各区域经营表现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门店数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客流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北京区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968.1万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-12.7%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32,119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-13.1%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183,921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-24.0%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华北区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672.2万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+6.8%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25,797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-9.7%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140,490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-22.3%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东北区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466.0万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-4.6%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16,255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+0.1%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157,103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-3.6%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华东区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412.5万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+244.4%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12,684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+203.3%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90,637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-11.8%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华中区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226.6万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+178.3%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6,984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+177.4%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82,931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-30.3%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244.8万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-16.2%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16,124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24,512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213.7万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12,020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-8.1%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16,415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210.3万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10,293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13,758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+18.5%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140.1万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+73.1%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9,237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+59.8%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12,173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+73.8%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124.2万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8,496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11,965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118.5万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-7.5%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8,914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12,055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114.3万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-12.7%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6,501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9,076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+21.9%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89.1万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+815.9%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5,998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+952.3%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8,146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+1105.0%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79.3万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+31.2%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4,390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+44.8%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5,820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+56.4%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181元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78.3万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+43.1%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6,541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+71.7%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8,503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+71.9%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+771.9%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2,857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+833.7%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3,185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+871.0%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5,110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6,848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-13.5%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3,106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3,665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63.4万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+19536.8%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5,377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+17245.2%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7,613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+7830.2%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-39.0%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4,916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-15.4%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6,672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-25.2%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The North Face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57.3万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+785.5%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1,527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+496.5%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2,436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+675.8%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376元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9,753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13,250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髑髏兎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-7.5%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2,953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-12.1%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3,948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51.3万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3,018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3,333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170元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49.1万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+37.5%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2,857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+28.5%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3,628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+34.4%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172元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天津南开仁恒店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172.3万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-12.4%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7,704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224元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武汉洪山光谷鲁巷店  ★新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131.4万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4,074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323元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天津南开鲁能城店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119.2万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+16.5%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4,064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293元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沈阳和平印象城店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108.7万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+31.9%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3,552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306元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北京丰台NTP店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106.1万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+17.7%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3,087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344元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16 家新增/非连续门店，合计贡献销售额 792.9万。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武汉洪山光谷鲁巷店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131.4万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4,074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323元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上海闵行虹桥龙湖天街店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82.2万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1,874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439元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长春欧亚新生活广场店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2,160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307元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天津和平国金汇店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59.4万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1,997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297元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青岛黄岛西海岸吾悦店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54.9万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1,903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289元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北京通州万达店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48.0万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1,602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299元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武汉汉口K11广场店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42.9万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1,271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338元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无锡滨湖万达店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42.9万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1,505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285元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杭州余杭西田城店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41.3万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1,247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331元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上海徐汇锦和尚城店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38.9万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976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399元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2745.5万，同比 +13.1%，净增 317.1万。其中：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同店增量：-4757895元（同店同比 -19.6%）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新增门店贡献：792.9万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-19.6%，出现下滑。新增门店贡献 792.9万，占总销售 28.9%（需关注同店承压）。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-17.8%，客单价 285元（上年 274元，同比 +3.7%），连带率 2.82，老客销售占比 62.0%。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内同比≥20%）：Champion(+19536.8%)、AIRWALK(+815.9%)、The North Face(+785.5%)、NAUTICA(+771.9%)、骆驼(+73.1%)。建议加大陈列与选品倾斜。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下滑品牌（TOP20 内同比≤-20%）：michael bublé(-39.0%)。建议复盘库存、陈列与价格带。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同店销售同比 -19.6%，需要门店层面盘点客流、客单、连带三指标，定位症结。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同店客流同比 -17.8%，建议联动营销团队强化周末客流拉动与会员召回。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八、预警与风险提示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-19.6%，存量门店基础盘受损。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-17.8%。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区域分化显著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描述：最弱区域 北京区 同比 -12.7%。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行动建议：对 北京区 启动专项诊断；调动集团资源支持。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报告范围：华北大区  覆盖门店数：50  同店 34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