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F497D"/>
          <w:sz w:val="40"/>
        </w:rPr>
        <w:t>西北区经营简报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2E74B5"/>
          <w:sz w:val="26"/>
        </w:rPr>
        <w:t>本期 2026-04-27 至 2026-05-03（上年同期 2025-04-28 至 2025-05-04）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一、总体概况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 西北区 合计 5 家门店（其中同店 0 家、新增/非连续门店 5 家）。同店定义：上年同期每个自然月均有销售的门店。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销售额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252.3万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订单量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8,478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件数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23,741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客单价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298元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连带率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0.00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客流量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77,390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提袋率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10.95%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新增会员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5,134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老客销售占比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34.1%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0.0%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注：金额单位按数值自动选择（万/亿为展示精度）；同比色标：红=正增长，绿=下滑。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二、销售额 TOP20 品牌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1,688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2,520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骆驼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22.2万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1,374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1,970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1,159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1,507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阿迪达斯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893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1,168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973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1,255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127元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PAULO PEDRO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796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1,068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138元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michael bublé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775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1,031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120元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AVIA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9.1万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721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安德玛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8.9万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531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721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168元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LOTTO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450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502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David Fincher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733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954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三叶草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350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215元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AIRWALK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545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668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137元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NAUTICA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Jeep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6.0万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彪马|kids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5.6万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459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MANN|家居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972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1,258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53元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茵曼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4.2万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175元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Dickies|kids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4.0万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563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迪士尼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340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505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112元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三、销售额 TOP5 门店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西安碑林王府井永宁门店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74.4万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2,111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352元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西安高新益田假日里店  ★新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69.3万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2,134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325元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西安莲湖大兴星悦荟店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39.7万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1,549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256元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西安灞桥凯德御锦城店  ★新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38.6万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1,591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243元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西安雁塔凯德新地城店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30.3万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1,093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277元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四、新增门店表现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本期该范围内共 5 家新增/非连续门店，合计贡献销售额 252.3万。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西安碑林王府井永宁门店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74.4万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2,111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352元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西安高新益田假日里店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69.3万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2,134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325元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西安莲湖大兴星悦荟店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39.7万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1,549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256元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西安灞桥凯德御锦城店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38.6万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1,591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243元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西安雁塔凯德新地城店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30.3万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1,093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277元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新增门店指上年同期未连续经营的门店（含今年新开或季节性重启）。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五、增长来源拆解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本期总销售额 252.3万，同比 -，净增 252.3万。其中：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同店增量：0元（同店同比 -）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新增门店贡献：252.3万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六、深度洞察与行动建议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1. 增长来源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同店销售额同比 -，出现下滑。新增门店贡献 252.3万，占总销售 100.0%（需关注同店承压）。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2. 同店画像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本范围内无符合同店定义的门店，暂无画像数据。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3. 商品建议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TOP20 品牌整体波动平稳，建议持续关注品牌结构老化与新品引入节奏。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4. 行动建议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1. 新增门店贡献占比 100.0%，需关注同店承压情况，避免增长过度依赖新店。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七、预警与风险提示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当前核心指标暂未触发预警阈值，建议保持既有经营节奏，持续监控周度趋势。</w:t>
      </w:r>
    </w:p>
    <w:p/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数据来源：bigoffs_sync  统计口径：parent_order_status = 5  同店定义：上年同期每月均有销售的门店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报告范围：西北区  覆盖门店数：5  同店 0 家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