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微软雅黑" w:hAnsi="微软雅黑" w:eastAsia="微软雅黑" w:cs="微软雅黑"/>
          <w:b/>
          <w:color w:val="1F497D"/>
          <w:sz w:val="40"/>
        </w:rPr>
        <w:t>西南区经营简报</w:t>
      </w:r>
    </w:p>
    <w:p>
      <w:pPr>
        <w:spacing w:after="200"/>
        <w:jc w:val="center"/>
      </w:pPr>
      <w:r>
        <w:rPr>
          <w:rFonts w:ascii="微软雅黑" w:hAnsi="微软雅黑" w:eastAsia="微软雅黑" w:cs="微软雅黑"/>
          <w:b/>
          <w:color w:val="2E74B5"/>
          <w:sz w:val="26"/>
        </w:rPr>
        <w:t>本期 2026-04-27 至 2026-05-03（上年同期 2025-04-28 至 2025-05-04）</w:t>
      </w:r>
    </w:p>
    <w:p>
      <w:pPr>
        <w:spacing w:after="80"/>
      </w:pPr>
      <w:r>
        <w:rPr>
          <w:rFonts w:ascii="微软雅黑" w:hAnsi="微软雅黑" w:eastAsia="微软雅黑" w:cs="微软雅黑"/>
          <w:b/>
          <w:color w:val="1F497D"/>
          <w:sz w:val="28"/>
        </w:rPr>
        <w:t>一、总体概况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sz w:val="20"/>
        </w:rPr>
        <w:t>本期 西南区 合计 16 家门店（其中同店 13 家、新增/非连续门店 3 家）。同店定义：上年同期每个自然月均有销售的门店。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1994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整体当期</w:t>
            </w:r>
          </w:p>
        </w:tc>
        <w:tc>
          <w:tcPr>
            <w:tcW w:type="dxa" w:w="1994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整体同比</w:t>
            </w:r>
          </w:p>
        </w:tc>
        <w:tc>
          <w:tcPr>
            <w:tcW w:type="dxa" w:w="1994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同店当期</w:t>
            </w:r>
          </w:p>
        </w:tc>
        <w:tc>
          <w:tcPr>
            <w:tcW w:type="dxa" w:w="1994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同店同比</w:t>
            </w:r>
          </w:p>
        </w:tc>
      </w:tr>
      <w:tr>
        <w:tc>
          <w:tcPr>
            <w:tcW w:type="dxa" w:w="1994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销售额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904.6万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-20.2%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780.3万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-31.2%</w:t>
            </w:r>
          </w:p>
        </w:tc>
      </w:tr>
      <w:tr>
        <w:tc>
          <w:tcPr>
            <w:tcW w:type="dxa" w:w="1994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订单量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28,249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-9.7%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24,042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-23.1%</w:t>
            </w:r>
          </w:p>
        </w:tc>
      </w:tr>
      <w:tr>
        <w:tc>
          <w:tcPr>
            <w:tcW w:type="dxa" w:w="1994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件数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83,336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-10.8%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71,375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-23.6%</w:t>
            </w:r>
          </w:p>
        </w:tc>
      </w:tr>
      <w:tr>
        <w:tc>
          <w:tcPr>
            <w:tcW w:type="dxa" w:w="1994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客单价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320元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-11.7%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325元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-10.5%</w:t>
            </w:r>
          </w:p>
        </w:tc>
      </w:tr>
      <w:tr>
        <w:tc>
          <w:tcPr>
            <w:tcW w:type="dxa" w:w="1994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连带率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2.95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-1.2%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2.97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-0.6%</w:t>
            </w:r>
          </w:p>
        </w:tc>
      </w:tr>
      <w:tr>
        <w:tc>
          <w:tcPr>
            <w:tcW w:type="dxa" w:w="1994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客流量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185,602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+8.1%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125,045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-27.2%</w:t>
            </w:r>
          </w:p>
        </w:tc>
      </w:tr>
      <w:tr>
        <w:tc>
          <w:tcPr>
            <w:tcW w:type="dxa" w:w="1994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提袋率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15.22%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-16.5%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19.23%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+5.5%</w:t>
            </w:r>
          </w:p>
        </w:tc>
      </w:tr>
      <w:tr>
        <w:tc>
          <w:tcPr>
            <w:tcW w:type="dxa" w:w="1994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新增会员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12,544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10,276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</w:tr>
      <w:tr>
        <w:tc>
          <w:tcPr>
            <w:tcW w:type="dxa" w:w="1994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老客销售占比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50.5%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52.1%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</w:tr>
    </w:tbl>
    <w:p>
      <w:pPr>
        <w:spacing w:after="80"/>
      </w:pPr>
      <w:r>
        <w:rPr>
          <w:rFonts w:ascii="微软雅黑" w:hAnsi="微软雅黑" w:eastAsia="微软雅黑" w:cs="微软雅黑"/>
          <w:b w:val="0"/>
          <w:color w:val="606060"/>
          <w:sz w:val="16"/>
        </w:rPr>
        <w:t>注：金额单位按数值自动选择（万/亿为展示精度）；同比色标：红=正增长，绿=下滑。</w:t>
      </w:r>
    </w:p>
    <w:p>
      <w:pPr>
        <w:spacing w:after="80"/>
      </w:pPr>
      <w:r>
        <w:rPr>
          <w:rFonts w:ascii="微软雅黑" w:hAnsi="微软雅黑" w:eastAsia="微软雅黑" w:cs="微软雅黑"/>
          <w:b/>
          <w:color w:val="1F497D"/>
          <w:sz w:val="28"/>
        </w:rPr>
        <w:t>二、销售额 TOP20 品牌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c>
          <w:tcPr>
            <w:tcW w:type="dxa" w:w="1108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排名</w:t>
            </w:r>
          </w:p>
        </w:tc>
        <w:tc>
          <w:tcPr>
            <w:tcW w:type="dxa" w:w="1108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品牌</w:t>
            </w:r>
          </w:p>
        </w:tc>
        <w:tc>
          <w:tcPr>
            <w:tcW w:type="dxa" w:w="1108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销售额</w:t>
            </w:r>
          </w:p>
        </w:tc>
        <w:tc>
          <w:tcPr>
            <w:tcW w:type="dxa" w:w="1108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同比</w:t>
            </w:r>
          </w:p>
        </w:tc>
        <w:tc>
          <w:tcPr>
            <w:tcW w:type="dxa" w:w="1108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订单量</w:t>
            </w:r>
          </w:p>
        </w:tc>
        <w:tc>
          <w:tcPr>
            <w:tcW w:type="dxa" w:w="1108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同比</w:t>
            </w:r>
          </w:p>
        </w:tc>
        <w:tc>
          <w:tcPr>
            <w:tcW w:type="dxa" w:w="1108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件数</w:t>
            </w:r>
          </w:p>
        </w:tc>
        <w:tc>
          <w:tcPr>
            <w:tcW w:type="dxa" w:w="1108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同比</w:t>
            </w:r>
          </w:p>
        </w:tc>
        <w:tc>
          <w:tcPr>
            <w:tcW w:type="dxa" w:w="1108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客单价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GABRILE MANN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87.7万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-42.4%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5,790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-40.9%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8,838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-46.3%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151元</w:t>
            </w:r>
          </w:p>
        </w:tc>
      </w:tr>
      <w:tr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阿迪达斯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73.0万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-24.3%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3,379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-15.8%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4,675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-15.8%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216元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3</w:t>
            </w:r>
          </w:p>
        </w:tc>
        <w:tc>
          <w:tcPr>
            <w:tcW w:type="dxa" w:w="1108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斯凯奇运动系列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63.8万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-34.0%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3,605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-27.0%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4,796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-29.9%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177元</w:t>
            </w:r>
          </w:p>
        </w:tc>
      </w:tr>
      <w:tr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4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骆驼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51.3万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+34.1%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3,360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+26.8%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4,582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+37.7%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153元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5</w:t>
            </w:r>
          </w:p>
        </w:tc>
        <w:tc>
          <w:tcPr>
            <w:tcW w:type="dxa" w:w="1108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彪马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41.1万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-37.0%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3,061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-31.0%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4,104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-35.1%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134元</w:t>
            </w:r>
          </w:p>
        </w:tc>
      </w:tr>
      <w:tr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6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PAULO PEDRO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40.6万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2,680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3,778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151元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7</w:t>
            </w:r>
          </w:p>
        </w:tc>
        <w:tc>
          <w:tcPr>
            <w:tcW w:type="dxa" w:w="1108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安德玛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31.2万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-45.5%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1,791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-21.6%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2,495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-21.9%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174元</w:t>
            </w:r>
          </w:p>
        </w:tc>
      </w:tr>
      <w:tr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8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AIRWALK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29.4万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+167.0%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1,954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+205.8%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2,601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+231.8%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150元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9</w:t>
            </w:r>
          </w:p>
        </w:tc>
        <w:tc>
          <w:tcPr>
            <w:tcW w:type="dxa" w:w="1108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三叶草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28.4万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-28.0%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1,168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-21.7%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1,392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-21.2%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243元</w:t>
            </w:r>
          </w:p>
        </w:tc>
      </w:tr>
      <w:tr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10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michael bublé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28.1万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-53.4%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2,236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-33.6%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3,287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-41.2%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125元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11</w:t>
            </w:r>
          </w:p>
        </w:tc>
        <w:tc>
          <w:tcPr>
            <w:tcW w:type="dxa" w:w="1108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AVIA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26.5万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2,060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2,744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129元</w:t>
            </w:r>
          </w:p>
        </w:tc>
      </w:tr>
      <w:tr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12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Jeep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26.5万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+16.9%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1,500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+20.9%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2,042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+32.0%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177元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13</w:t>
            </w:r>
          </w:p>
        </w:tc>
        <w:tc>
          <w:tcPr>
            <w:tcW w:type="dxa" w:w="1108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NAUTICA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26.1万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+1435.2%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1,104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+1709.8%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1,229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+1850.8%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236元</w:t>
            </w:r>
          </w:p>
        </w:tc>
      </w:tr>
      <w:tr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14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David Fincher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25.8万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-3.9%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2,210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+26.1%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2,915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+28.0%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117元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15</w:t>
            </w:r>
          </w:p>
        </w:tc>
        <w:tc>
          <w:tcPr>
            <w:tcW w:type="dxa" w:w="1108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outdoor products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17.3万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-8.3%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877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-11.1%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1,108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-9.8%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198元</w:t>
            </w:r>
          </w:p>
        </w:tc>
      </w:tr>
      <w:tr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16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Champion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16.1万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+1352.4%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1,444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+1249.5%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1,928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+468.7%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112元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17</w:t>
            </w:r>
          </w:p>
        </w:tc>
        <w:tc>
          <w:tcPr>
            <w:tcW w:type="dxa" w:w="1108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彪马|kids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16.0万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1,307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2,067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122元</w:t>
            </w:r>
          </w:p>
        </w:tc>
      </w:tr>
      <w:tr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18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GABRILE MANN|家居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15.6万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3,038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4,000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51元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19</w:t>
            </w:r>
          </w:p>
        </w:tc>
        <w:tc>
          <w:tcPr>
            <w:tcW w:type="dxa" w:w="1108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茵曼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14.1万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-25.1%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743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-33.1%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963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-30.9%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190元</w:t>
            </w:r>
          </w:p>
        </w:tc>
      </w:tr>
      <w:tr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20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耐克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13.3万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-56.8%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527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-53.6%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592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-55.7%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252元</w:t>
            </w:r>
          </w:p>
        </w:tc>
      </w:tr>
    </w:tbl>
    <w:p>
      <w:pPr>
        <w:spacing w:after="80"/>
      </w:pPr>
      <w:r>
        <w:rPr>
          <w:rFonts w:ascii="微软雅黑" w:hAnsi="微软雅黑" w:eastAsia="微软雅黑" w:cs="微软雅黑"/>
          <w:b/>
          <w:color w:val="1F497D"/>
          <w:sz w:val="28"/>
        </w:rPr>
        <w:t>三、销售额 TOP5 门店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排名</w:t>
            </w:r>
          </w:p>
        </w:tc>
        <w:tc>
          <w:tcPr>
            <w:tcW w:type="dxa" w:w="1662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门店</w:t>
            </w:r>
          </w:p>
        </w:tc>
        <w:tc>
          <w:tcPr>
            <w:tcW w:type="dxa" w:w="1662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销售额</w:t>
            </w:r>
          </w:p>
        </w:tc>
        <w:tc>
          <w:tcPr>
            <w:tcW w:type="dxa" w:w="1662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同比</w:t>
            </w:r>
          </w:p>
        </w:tc>
        <w:tc>
          <w:tcPr>
            <w:tcW w:type="dxa" w:w="1662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订单量</w:t>
            </w:r>
          </w:p>
        </w:tc>
        <w:tc>
          <w:tcPr>
            <w:tcW w:type="dxa" w:w="1662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客单价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type="dxa" w:w="1662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成都锦江华宇店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109.7万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+0.5%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2,881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381元</w:t>
            </w:r>
          </w:p>
        </w:tc>
      </w:tr>
      <w:tr>
        <w:tc>
          <w:tcPr>
            <w:tcW w:type="dxa" w:w="1662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</w:t>
            </w:r>
          </w:p>
        </w:tc>
        <w:tc>
          <w:tcPr>
            <w:tcW w:type="dxa" w:w="1662"/>
            <w:shd w:val="clear" w:color="auto" w:fill="F2F2F2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成都温江新光天地店</w:t>
            </w:r>
          </w:p>
        </w:tc>
        <w:tc>
          <w:tcPr>
            <w:tcW w:type="dxa" w:w="1662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98.5万</w:t>
            </w:r>
          </w:p>
        </w:tc>
        <w:tc>
          <w:tcPr>
            <w:tcW w:type="dxa" w:w="1662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-14.9%</w:t>
            </w:r>
          </w:p>
        </w:tc>
        <w:tc>
          <w:tcPr>
            <w:tcW w:type="dxa" w:w="1662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3,157</w:t>
            </w:r>
          </w:p>
        </w:tc>
        <w:tc>
          <w:tcPr>
            <w:tcW w:type="dxa" w:w="1662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312元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3</w:t>
            </w:r>
          </w:p>
        </w:tc>
        <w:tc>
          <w:tcPr>
            <w:tcW w:type="dxa" w:w="1662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成都高新凯德天府店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91.6万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-35.1%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2,694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340元</w:t>
            </w:r>
          </w:p>
        </w:tc>
      </w:tr>
      <w:tr>
        <w:tc>
          <w:tcPr>
            <w:tcW w:type="dxa" w:w="1662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4</w:t>
            </w:r>
          </w:p>
        </w:tc>
        <w:tc>
          <w:tcPr>
            <w:tcW w:type="dxa" w:w="1662"/>
            <w:shd w:val="clear" w:color="auto" w:fill="F2F2F2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重庆渝北爱融荟城店</w:t>
            </w:r>
          </w:p>
        </w:tc>
        <w:tc>
          <w:tcPr>
            <w:tcW w:type="dxa" w:w="1662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89.1万</w:t>
            </w:r>
          </w:p>
        </w:tc>
        <w:tc>
          <w:tcPr>
            <w:tcW w:type="dxa" w:w="1662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-21.0%</w:t>
            </w:r>
          </w:p>
        </w:tc>
        <w:tc>
          <w:tcPr>
            <w:tcW w:type="dxa" w:w="1662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2,580</w:t>
            </w:r>
          </w:p>
        </w:tc>
        <w:tc>
          <w:tcPr>
            <w:tcW w:type="dxa" w:w="1662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345元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5</w:t>
            </w:r>
          </w:p>
        </w:tc>
        <w:tc>
          <w:tcPr>
            <w:tcW w:type="dxa" w:w="1662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重庆南岸弹子石星泽汇店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82.1万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-6.9%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2,556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321元</w:t>
            </w:r>
          </w:p>
        </w:tc>
      </w:tr>
    </w:tbl>
    <w:p>
      <w:pPr>
        <w:spacing w:after="80"/>
      </w:pPr>
      <w:r>
        <w:rPr>
          <w:rFonts w:ascii="微软雅黑" w:hAnsi="微软雅黑" w:eastAsia="微软雅黑" w:cs="微软雅黑"/>
          <w:b/>
          <w:color w:val="1F497D"/>
          <w:sz w:val="28"/>
        </w:rPr>
        <w:t>四、新增门店表现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sz w:val="20"/>
        </w:rPr>
        <w:t>本期该范围内共 3 家新增/非连续门店，合计贡献销售额 124.3万。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门店</w:t>
            </w:r>
          </w:p>
        </w:tc>
        <w:tc>
          <w:tcPr>
            <w:tcW w:type="dxa" w:w="2493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销售额</w:t>
            </w:r>
          </w:p>
        </w:tc>
        <w:tc>
          <w:tcPr>
            <w:tcW w:type="dxa" w:w="2493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订单量</w:t>
            </w:r>
          </w:p>
        </w:tc>
        <w:tc>
          <w:tcPr>
            <w:tcW w:type="dxa" w:w="2493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客单价</w:t>
            </w:r>
          </w:p>
        </w:tc>
      </w:tr>
      <w:tr>
        <w:tc>
          <w:tcPr>
            <w:tcW w:type="dxa" w:w="2493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/>
                <w:color w:val="C00000"/>
                <w:sz w:val="18"/>
              </w:rPr>
              <w:t>成都青羊鹏瑞利店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60.7万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1,955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310元</w:t>
            </w:r>
          </w:p>
        </w:tc>
      </w:tr>
      <w:tr>
        <w:tc>
          <w:tcPr>
            <w:tcW w:type="dxa" w:w="2493"/>
            <w:shd w:val="clear" w:color="auto" w:fill="F2F2F2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/>
                <w:color w:val="C00000"/>
                <w:sz w:val="18"/>
              </w:rPr>
              <w:t>重庆渝中罗宾森广场店</w:t>
            </w:r>
          </w:p>
        </w:tc>
        <w:tc>
          <w:tcPr>
            <w:tcW w:type="dxa" w:w="2493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36.8万</w:t>
            </w:r>
          </w:p>
        </w:tc>
        <w:tc>
          <w:tcPr>
            <w:tcW w:type="dxa" w:w="2493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1,278</w:t>
            </w:r>
          </w:p>
        </w:tc>
        <w:tc>
          <w:tcPr>
            <w:tcW w:type="dxa" w:w="2493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288元</w:t>
            </w:r>
          </w:p>
        </w:tc>
      </w:tr>
      <w:tr>
        <w:tc>
          <w:tcPr>
            <w:tcW w:type="dxa" w:w="2493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/>
                <w:color w:val="C00000"/>
                <w:sz w:val="18"/>
              </w:rPr>
              <w:t>成都高新新南天地店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26.8万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974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275元</w:t>
            </w:r>
          </w:p>
        </w:tc>
      </w:tr>
    </w:tbl>
    <w:p>
      <w:pPr>
        <w:spacing w:after="80"/>
      </w:pPr>
      <w:r>
        <w:rPr>
          <w:rFonts w:ascii="微软雅黑" w:hAnsi="微软雅黑" w:eastAsia="微软雅黑" w:cs="微软雅黑"/>
          <w:b w:val="0"/>
          <w:color w:val="606060"/>
          <w:sz w:val="16"/>
        </w:rPr>
        <w:t>新增门店指上年同期未连续经营的门店（含今年新开或季节性重启）。</w:t>
      </w:r>
    </w:p>
    <w:p>
      <w:pPr>
        <w:spacing w:after="80"/>
      </w:pPr>
      <w:r>
        <w:rPr>
          <w:rFonts w:ascii="微软雅黑" w:hAnsi="微软雅黑" w:eastAsia="微软雅黑" w:cs="微软雅黑"/>
          <w:b/>
          <w:color w:val="1F497D"/>
          <w:sz w:val="28"/>
        </w:rPr>
        <w:t>五、增长来源拆解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sz w:val="20"/>
        </w:rPr>
        <w:t>本期总销售额 904.6万，同比 -20.2%，净增 -2296052元。其中：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sz w:val="20"/>
        </w:rPr>
        <w:t>• 同店增量：-3539212元（同店同比 -31.2%）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sz w:val="20"/>
        </w:rPr>
        <w:t>• 新增门店贡献：124.3万</w:t>
      </w:r>
    </w:p>
    <w:p>
      <w:pPr>
        <w:spacing w:after="80"/>
      </w:pPr>
      <w:r>
        <w:rPr>
          <w:rFonts w:ascii="微软雅黑" w:hAnsi="微软雅黑" w:eastAsia="微软雅黑" w:cs="微软雅黑"/>
          <w:b/>
          <w:color w:val="1F497D"/>
          <w:sz w:val="28"/>
        </w:rPr>
        <w:t>六、深度洞察与行动建议</w:t>
      </w:r>
    </w:p>
    <w:p>
      <w:pPr>
        <w:spacing w:after="60"/>
      </w:pPr>
      <w:r>
        <w:rPr>
          <w:rFonts w:ascii="微软雅黑" w:hAnsi="微软雅黑" w:eastAsia="微软雅黑" w:cs="微软雅黑"/>
          <w:b/>
          <w:color w:val="2E74B5"/>
          <w:sz w:val="22"/>
        </w:rPr>
        <w:t>1. 增长来源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sz w:val="20"/>
        </w:rPr>
        <w:t>同店销售额同比 -31.2%，出现下滑。新增门店贡献 124.3万，占总销售 13.7%（需关注同店承压）。</w:t>
      </w:r>
    </w:p>
    <w:p>
      <w:pPr>
        <w:spacing w:after="60"/>
      </w:pPr>
      <w:r>
        <w:rPr>
          <w:rFonts w:ascii="微软雅黑" w:hAnsi="微软雅黑" w:eastAsia="微软雅黑" w:cs="微软雅黑"/>
          <w:b/>
          <w:color w:val="2E74B5"/>
          <w:sz w:val="22"/>
        </w:rPr>
        <w:t>2. 同店画像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sz w:val="20"/>
        </w:rPr>
        <w:t>同店客流同比 -27.2%，客单价 325元（上年 363元，同比 -10.5%），连带率 2.97，老客销售占比 52.1%。</w:t>
      </w:r>
    </w:p>
    <w:p>
      <w:pPr>
        <w:spacing w:after="60"/>
      </w:pPr>
      <w:r>
        <w:rPr>
          <w:rFonts w:ascii="微软雅黑" w:hAnsi="微软雅黑" w:eastAsia="微软雅黑" w:cs="微软雅黑"/>
          <w:b/>
          <w:color w:val="2E74B5"/>
          <w:sz w:val="22"/>
        </w:rPr>
        <w:t>3. 商品建议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sz w:val="20"/>
        </w:rPr>
        <w:t>增长品牌（TOP20 内同比≥20%）：NAUTICA(+1435.2%)、Champion(+1352.4%)、AIRWALK(+167.0%)、骆驼(+34.1%)。建议加大陈列与选品倾斜。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sz w:val="20"/>
        </w:rPr>
        <w:t>下滑品牌（TOP20 内同比≤-20%）：耐克(-56.8%)、michael bublé(-53.4%)、安德玛(-45.5%)、GABRILE MANN(-42.4%)、彪马(-37.0%)。建议复盘库存、陈列与价格带。</w:t>
      </w:r>
    </w:p>
    <w:p>
      <w:pPr>
        <w:spacing w:after="60"/>
      </w:pPr>
      <w:r>
        <w:rPr>
          <w:rFonts w:ascii="微软雅黑" w:hAnsi="微软雅黑" w:eastAsia="微软雅黑" w:cs="微软雅黑"/>
          <w:b/>
          <w:color w:val="2E74B5"/>
          <w:sz w:val="22"/>
        </w:rPr>
        <w:t>4. 行动建议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sz w:val="20"/>
        </w:rPr>
        <w:t>1. 西南区整体销售同比下滑 -20.2%，需要组织复盘会议，聚焦核心下滑门店与品类。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sz w:val="20"/>
        </w:rPr>
        <w:t>2. 同店销售同比 -31.2%，需要门店层面盘点客流、客单、连带三指标，定位症结。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sz w:val="20"/>
        </w:rPr>
        <w:t>3. 同店客流同比 -27.2%，建议联动营销团队强化周末客流拉动与会员召回。</w:t>
      </w:r>
    </w:p>
    <w:p>
      <w:pPr>
        <w:spacing w:after="80"/>
      </w:pPr>
      <w:r>
        <w:rPr>
          <w:rFonts w:ascii="微软雅黑" w:hAnsi="微软雅黑" w:eastAsia="微软雅黑" w:cs="微软雅黑"/>
          <w:b/>
          <w:color w:val="1F497D"/>
          <w:sz w:val="28"/>
        </w:rPr>
        <w:t>七、预警与风险提示</w:t>
      </w:r>
    </w:p>
    <w:p>
      <w:pPr>
        <w:spacing w:after="80"/>
      </w:pPr>
      <w:r>
        <w:rPr>
          <w:rFonts w:ascii="微软雅黑" w:hAnsi="微软雅黑" w:eastAsia="微软雅黑" w:cs="微软雅黑"/>
          <w:b w:val="0"/>
          <w:color w:val="606060"/>
          <w:sz w:val="16"/>
        </w:rPr>
        <w:t>风险等级：红色=最高、橙色=中等、黄色=提示级。</w:t>
      </w:r>
    </w:p>
    <w:p>
      <w:pPr>
        <w:spacing w:after="40"/>
      </w:pPr>
      <w:r>
        <w:rPr>
          <w:rFonts w:ascii="微软雅黑" w:hAnsi="微软雅黑" w:eastAsia="微软雅黑" w:cs="微软雅黑"/>
          <w:b/>
          <w:color w:val="C00000"/>
          <w:sz w:val="22"/>
        </w:rPr>
        <w:t>【红色】</w:t>
      </w:r>
      <w:r>
        <w:rPr>
          <w:rFonts w:ascii="微软雅黑" w:hAnsi="微软雅黑" w:eastAsia="微软雅黑" w:cs="微软雅黑"/>
          <w:b/>
          <w:color w:val="2E74B5"/>
          <w:sz w:val="22"/>
        </w:rPr>
        <w:t>整体销售大幅下滑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sz w:val="20"/>
        </w:rPr>
        <w:t xml:space="preserve">  描述：西南区整体销售同比 -20.2%，幅度较大。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sz w:val="20"/>
        </w:rPr>
        <w:t xml:space="preserve">  行动建议：立即召集区域负责人复盘；锁定同比跌幅 TOP 门店与品类；7 天内输出整改行动。</w:t>
      </w:r>
    </w:p>
    <w:p>
      <w:pPr>
        <w:spacing w:after="40"/>
      </w:pPr>
      <w:r>
        <w:rPr>
          <w:rFonts w:ascii="微软雅黑" w:hAnsi="微软雅黑" w:eastAsia="微软雅黑" w:cs="微软雅黑"/>
          <w:b/>
          <w:color w:val="C00000"/>
          <w:sz w:val="22"/>
        </w:rPr>
        <w:t>【红色】</w:t>
      </w:r>
      <w:r>
        <w:rPr>
          <w:rFonts w:ascii="微软雅黑" w:hAnsi="微软雅黑" w:eastAsia="微软雅黑" w:cs="微软雅黑"/>
          <w:b/>
          <w:color w:val="2E74B5"/>
          <w:sz w:val="22"/>
        </w:rPr>
        <w:t>同店同比大幅下滑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sz w:val="20"/>
        </w:rPr>
        <w:t xml:space="preserve">  描述：同店销售额同比 -31.2%，存量门店基础盘受损。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sz w:val="20"/>
        </w:rPr>
        <w:t xml:space="preserve">  行动建议：按品牌+门店交叉拆解下滑点；评估营销/选品/陈列调整；设定 2 周内可验证的改善目标。</w:t>
      </w:r>
    </w:p>
    <w:p>
      <w:pPr>
        <w:spacing w:after="40"/>
      </w:pPr>
      <w:r>
        <w:rPr>
          <w:rFonts w:ascii="微软雅黑" w:hAnsi="微软雅黑" w:eastAsia="微软雅黑" w:cs="微软雅黑"/>
          <w:b/>
          <w:color w:val="C00000"/>
          <w:sz w:val="22"/>
        </w:rPr>
        <w:t>【红色】</w:t>
      </w:r>
      <w:r>
        <w:rPr>
          <w:rFonts w:ascii="微软雅黑" w:hAnsi="微软雅黑" w:eastAsia="微软雅黑" w:cs="微软雅黑"/>
          <w:b/>
          <w:color w:val="2E74B5"/>
          <w:sz w:val="22"/>
        </w:rPr>
        <w:t>同店客流大幅下滑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sz w:val="20"/>
        </w:rPr>
        <w:t xml:space="preserve">  描述：同店客流同比 -27.2%。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sz w:val="20"/>
        </w:rPr>
        <w:t xml:space="preserve">  行动建议：紧急评估门店人气来源（周边客流、广告投放、促销力度）；启动会员到店召回活动。</w:t>
      </w:r>
    </w:p>
    <w:p>
      <w:pPr>
        <w:spacing w:after="40"/>
      </w:pPr>
      <w:r>
        <w:rPr>
          <w:rFonts w:ascii="微软雅黑" w:hAnsi="微软雅黑" w:eastAsia="微软雅黑" w:cs="微软雅黑"/>
          <w:b/>
          <w:color w:val="ED7D31"/>
          <w:sz w:val="22"/>
        </w:rPr>
        <w:t>【橙色】</w:t>
      </w:r>
      <w:r>
        <w:rPr>
          <w:rFonts w:ascii="微软雅黑" w:hAnsi="微软雅黑" w:eastAsia="微软雅黑" w:cs="微软雅黑"/>
          <w:b/>
          <w:color w:val="2E74B5"/>
          <w:sz w:val="22"/>
        </w:rPr>
        <w:t>多个 TOP 品牌同比下滑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sz w:val="20"/>
        </w:rPr>
        <w:t xml:space="preserve">  描述：TOP20 品牌中有 9 个同比跌幅≥20%，含 耐克、michael bublé、安德玛 等。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sz w:val="20"/>
        </w:rPr>
        <w:t xml:space="preserve">  行动建议：与供应商对齐新品/旺季节奏；评估陈列面与折扣结构；必要时调整品牌组合。</w:t>
      </w:r>
    </w:p>
    <w:p>
      <w:pPr>
        <w:spacing w:after="40"/>
      </w:pPr>
      <w:r>
        <w:rPr>
          <w:rFonts w:ascii="微软雅黑" w:hAnsi="微软雅黑" w:eastAsia="微软雅黑" w:cs="微软雅黑"/>
          <w:b/>
          <w:color w:val="BF8F00"/>
          <w:sz w:val="22"/>
        </w:rPr>
        <w:t>【黄色】</w:t>
      </w:r>
      <w:r>
        <w:rPr>
          <w:rFonts w:ascii="微软雅黑" w:hAnsi="微软雅黑" w:eastAsia="微软雅黑" w:cs="微软雅黑"/>
          <w:b/>
          <w:color w:val="2E74B5"/>
          <w:sz w:val="22"/>
        </w:rPr>
        <w:t>同店客单价下滑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sz w:val="20"/>
        </w:rPr>
        <w:t xml:space="preserve">  描述：同店客单价同比 -10.5%。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sz w:val="20"/>
        </w:rPr>
        <w:t xml:space="preserve">  行动建议：排查单价/连带率变动，加强关联销售培训。</w:t>
      </w:r>
    </w:p>
    <w:p/>
    <w:p>
      <w:pPr>
        <w:spacing w:after="80"/>
      </w:pPr>
      <w:r>
        <w:rPr>
          <w:rFonts w:ascii="微软雅黑" w:hAnsi="微软雅黑" w:eastAsia="微软雅黑" w:cs="微软雅黑"/>
          <w:b w:val="0"/>
          <w:color w:val="606060"/>
          <w:sz w:val="16"/>
        </w:rPr>
        <w:t>数据来源：bigoffs_sync  统计口径：parent_order_status = 5  同店定义：上年同期每月均有销售的门店</w:t>
      </w:r>
    </w:p>
    <w:p>
      <w:pPr>
        <w:spacing w:after="80"/>
      </w:pPr>
      <w:r>
        <w:rPr>
          <w:rFonts w:ascii="微软雅黑" w:hAnsi="微软雅黑" w:eastAsia="微软雅黑" w:cs="微软雅黑"/>
          <w:b w:val="0"/>
          <w:color w:val="606060"/>
          <w:sz w:val="16"/>
        </w:rPr>
        <w:t>报告范围：西南区  覆盖门店数：16  同店 13 家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