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西南大区经营简报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西南大区 合计 28 家门店（其中同店 14 家、新增/非连续门店 14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1459.1万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+23.6%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812.0万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-31.2%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47,520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+44.2%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25,423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-22.8%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137,287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+40.6%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74,652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-23.5%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307元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319元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-10.8%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2.89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-2.5%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-0.9%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387,333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+108.4%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135,356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-27.2%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12.27%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18.78%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+5.9%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23,933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10,840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45.3%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二、各区域经营表现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门店数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客流</w:t>
            </w:r>
          </w:p>
        </w:tc>
        <w:tc>
          <w:tcPr>
            <w:tcW w:type="dxa" w:w="1246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西南区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904.6万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-20.2%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28,249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-9.7%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185,602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-27.2%</w:t>
            </w:r>
          </w:p>
        </w:tc>
      </w:tr>
      <w:tr>
        <w:tc>
          <w:tcPr>
            <w:tcW w:type="dxa" w:w="1246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华南区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302.2万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+558.8%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10,793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+547.8%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124,341</w:t>
            </w:r>
          </w:p>
        </w:tc>
        <w:tc>
          <w:tcPr>
            <w:tcW w:type="dxa" w:w="1246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-27.0%</w:t>
            </w:r>
          </w:p>
        </w:tc>
      </w:tr>
      <w:tr>
        <w:tc>
          <w:tcPr>
            <w:tcW w:type="dxa" w:w="1246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西北区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252.3万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8,478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77,390</w:t>
            </w:r>
          </w:p>
        </w:tc>
        <w:tc>
          <w:tcPr>
            <w:tcW w:type="dxa" w:w="1246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140.8万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-11.5%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9,418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-8.6%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14,272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150元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116.2万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5,519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+31.3%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7,557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+30.1%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211元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101.9万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5,824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7,678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94.3万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+136.7%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6,210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+123.4%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8,579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+146.4%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72.2万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5,436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7,392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67.8万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4,540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6,462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149元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50.5万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2,919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+23.4%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4,073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+22.5%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48.9万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3,807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5,122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48.7万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+343.3%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3,349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+424.1%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4,433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+465.4%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45.5万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1,982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2,375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45.3万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-29.2%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3,711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5,328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-10.6%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45.0万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+67.6%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3,928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+124.2%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5,212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+128.8%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+2119.8%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1,752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+2514.9%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1,928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+2694.2%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37.9万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+61.4%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2,152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2,893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+83.4%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28.7万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5,468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7,303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Champion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+2288.6%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2,382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+2126.2%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3,230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+852.8%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111元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彪马|kids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2,209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3,390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120元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LOTTO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1,424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1,574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茵曼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1,216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1,556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outdoor products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+14.0%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1,181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1,478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189元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成都锦江华宇店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109.7万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2,881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381元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成都温江新光天地店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98.5万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-14.9%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3,157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312元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成都高新凯德天府店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91.6万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-35.1%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2,694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340元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重庆渝北爱融荟城店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89.1万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-21.0%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2,580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345元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重庆南岸弹子石星泽汇店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82.1万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-6.9%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2,556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321元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14 家新增/非连续门店，合计贡献销售额 647.0万。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西安碑林王府井永宁门店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74.4万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352元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西安高新益田假日里店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69.3万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2,134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325元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南宁良庆五象航洋城店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62.8万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2,360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266元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成都青羊鹏瑞利店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60.7万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1,955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310元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佛山禅城创意产业园店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2,093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284元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广州黄埔大悦汇店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52.3万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1,712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306元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深圳宝安中洲mall店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41.6万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1,351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308元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西安莲湖大兴星悦荟店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39.7万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1,549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256元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西安灞桥凯德御锦城店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38.6万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1,591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243元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重庆渝中罗宾森广场店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36.8万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1,278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288元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1459.1万，同比 +23.6%，净增 279.0万。其中：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同店增量：-3680399元（同店同比 -31.2%）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新增门店贡献：647.0万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-31.2%，出现下滑。新增门店贡献 647.0万，占总销售 44.3%（需关注同店承压）。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-27.2%，客单价 319元（上年 358元，同比 -10.8%），连带率 2.94，老客销售占比 52.3%。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内同比≥20%）：Champion(+2288.6%)、NAUTICA(+2119.8%)、AIRWALK(+343.3%)、骆驼(+136.7%)、David Fincher(+67.6%)。建议加大陈列与选品倾斜。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下滑品牌（TOP20 内同比≤-20%）：michael bublé(-29.2%)。建议复盘库存、陈列与价格带。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同店销售同比 -31.2%，需要门店层面盘点客流、客单、连带三指标，定位症结。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同店客流同比 -27.2%，建议联动营销团队强化周末客流拉动与会员召回。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3. 新增门店贡献占比 44.3%，需关注同店承压情况，避免增长过度依赖新店。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八、预警与风险提示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-31.2%，存量门店基础盘受损。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-27.2%。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行动建议：紧急评估门店人气来源（周边客流、广告投放、促销力度）；启动会员到店召回活动。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BF8F00"/>
          <w:sz w:val="22"/>
        </w:rPr>
        <w:t>【黄色】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同店客单价下滑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描述：同店客单价同比 -10.8%。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行动建议：排查单价/连带率变动，加强关联销售培训。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区域分化显著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描述：最弱区域 西南区 同比 -20.2%。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行动建议：对 西南区 启动专项诊断；调动集团资源支持。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报告范围：西南大区  覆盖门店数：28  同店 14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