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360" w:lineRule="auto"/>
        <w:jc w:val="center"/>
      </w:pPr>
      <w:r>
        <w:rPr>
          <w:rFonts w:ascii="微软雅黑" w:hAnsi="微软雅黑" w:eastAsia="微软雅黑"/>
          <w:b/>
          <w:color w:val="1F497D"/>
          <w:sz w:val="44"/>
        </w:rPr>
        <w:t>2026年经营简报</w:t>
      </w:r>
    </w:p>
    <w:p>
      <w:pPr>
        <w:spacing w:before="20" w:after="40" w:line="320" w:lineRule="auto"/>
        <w:jc w:val="center"/>
      </w:pPr>
      <w:r>
        <w:rPr>
          <w:rFonts w:ascii="微软雅黑" w:hAnsi="微软雅黑" w:eastAsia="微软雅黑"/>
          <w:b/>
          <w:color w:val="2E74B5"/>
          <w:sz w:val="26"/>
        </w:rPr>
        <w:t>西北区（2026年1月1日—5月6日）</w:t>
      </w:r>
    </w:p>
    <w:p>
      <w:pPr>
        <w:spacing w:before="0" w:after="40" w:line="280" w:lineRule="auto"/>
        <w:jc w:val="center"/>
      </w:pPr>
      <w:r>
        <w:rPr>
          <w:rFonts w:ascii="微软雅黑" w:hAnsi="微软雅黑" w:eastAsia="微软雅黑"/>
          <w:color w:val="606060"/>
          <w:sz w:val="18"/>
        </w:rPr>
        <w:t>统计周期：2026年1月1日—5月6日</w:t>
      </w:r>
    </w:p>
    <w:p>
      <w:pPr>
        <w:spacing w:before="40" w:after="40" w:line="120" w:lineRule="auto"/>
        <w:pBdr>
          <w:bottom w:val="single" w:sz="12" w:space="4" w:color="1F497D"/>
        </w:pBdr>
      </w:pPr>
    </w:p>
    <w:p>
      <w:pPr>
        <w:spacing w:before="200" w:after="100" w:line="320" w:lineRule="auto"/>
        <w:shd w:val="clear" w:color="auto" w:fill="EAF2FA"/>
        <w:pBdr>
          <w:left w:val="single" w:sz="48" w:space="6" w:color="1F497D"/>
        </w:pBdr>
        <w:pBdr>
          <w:bottom w:val="single" w:sz="4" w:space="4" w:color="B4C7E7"/>
        </w:pBdr>
      </w:pPr>
      <w:r>
        <w:rPr>
          <w:rFonts w:ascii="微软雅黑" w:hAnsi="微软雅黑" w:eastAsia="微软雅黑"/>
          <w:b/>
          <w:color w:val="1F497D"/>
          <w:sz w:val="28"/>
        </w:rPr>
        <w:t xml:space="preserve">  一、总体概况</w:t>
      </w:r>
    </w:p>
    <w:p>
      <w:pPr>
        <w:spacing w:before="0" w:after="80" w:line="340" w:lineRule="auto"/>
      </w:pPr>
      <w:r>
        <w:rPr>
          <w:rFonts w:ascii="微软雅黑" w:hAnsi="微软雅黑" w:eastAsia="微软雅黑"/>
          <w:color w:val="333333"/>
          <w:sz w:val="20"/>
        </w:rPr>
        <w:t>本统计周期，西北区共计 5 家门店参与经营，全部为25年同期后新开门店，无25年同期已开业的同店可比口径；下文分析以整体数据为主。</w:t>
      </w:r>
    </w:p>
    <w:p>
      <w:pPr>
        <w:spacing w:before="60" w:after="40" w:line="280" w:lineRule="auto"/>
      </w:pPr>
      <w:r>
        <w:rPr>
          <w:rFonts w:ascii="微软雅黑" w:hAnsi="微软雅黑" w:eastAsia="微软雅黑"/>
          <w:b/>
          <w:color w:val="2E74B5"/>
          <w:sz w:val="20"/>
        </w:rPr>
        <w:t>核心指标总览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2040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整体（26年）</w:t>
            </w:r>
          </w:p>
        </w:tc>
        <w:tc>
          <w:tcPr>
            <w:tcW w:type="dxa" w:w="2040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整体同比</w:t>
            </w:r>
          </w:p>
        </w:tc>
        <w:tc>
          <w:tcPr>
            <w:tcW w:type="dxa" w:w="2040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同店（0家）</w:t>
            </w:r>
          </w:p>
        </w:tc>
        <w:tc>
          <w:tcPr>
            <w:tcW w:type="dxa" w:w="2040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同店同比</w:t>
            </w:r>
          </w:p>
        </w:tc>
      </w:tr>
      <w:tr>
        <w:tc>
          <w:tcPr>
            <w:tcW w:type="dxa" w:w="204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销售额</w:t>
            </w:r>
          </w:p>
        </w:tc>
        <w:tc>
          <w:tcPr>
            <w:tcW w:type="dxa" w:w="204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2,591.8万</w:t>
            </w:r>
          </w:p>
        </w:tc>
        <w:tc>
          <w:tcPr>
            <w:tcW w:type="dxa" w:w="204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-</w:t>
            </w:r>
          </w:p>
        </w:tc>
        <w:tc>
          <w:tcPr>
            <w:tcW w:type="dxa" w:w="204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-</w:t>
            </w:r>
          </w:p>
        </w:tc>
        <w:tc>
          <w:tcPr>
            <w:tcW w:type="dxa" w:w="204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-</w:t>
            </w:r>
          </w:p>
        </w:tc>
      </w:tr>
      <w:tr>
        <w:tc>
          <w:tcPr>
            <w:tcW w:type="dxa" w:w="204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销量（件）</w:t>
            </w:r>
          </w:p>
        </w:tc>
        <w:tc>
          <w:tcPr>
            <w:tcW w:type="dxa" w:w="204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201,156</w:t>
            </w:r>
          </w:p>
        </w:tc>
        <w:tc>
          <w:tcPr>
            <w:tcW w:type="dxa" w:w="204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-</w:t>
            </w:r>
          </w:p>
        </w:tc>
        <w:tc>
          <w:tcPr>
            <w:tcW w:type="dxa" w:w="204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-</w:t>
            </w:r>
          </w:p>
        </w:tc>
        <w:tc>
          <w:tcPr>
            <w:tcW w:type="dxa" w:w="204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-</w:t>
            </w:r>
          </w:p>
        </w:tc>
      </w:tr>
      <w:tr>
        <w:tc>
          <w:tcPr>
            <w:tcW w:type="dxa" w:w="204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订单量</w:t>
            </w:r>
          </w:p>
        </w:tc>
        <w:tc>
          <w:tcPr>
            <w:tcW w:type="dxa" w:w="204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83,453</w:t>
            </w:r>
          </w:p>
        </w:tc>
        <w:tc>
          <w:tcPr>
            <w:tcW w:type="dxa" w:w="204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-</w:t>
            </w:r>
          </w:p>
        </w:tc>
        <w:tc>
          <w:tcPr>
            <w:tcW w:type="dxa" w:w="204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-</w:t>
            </w:r>
          </w:p>
        </w:tc>
        <w:tc>
          <w:tcPr>
            <w:tcW w:type="dxa" w:w="204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-</w:t>
            </w:r>
          </w:p>
        </w:tc>
      </w:tr>
      <w:tr>
        <w:tc>
          <w:tcPr>
            <w:tcW w:type="dxa" w:w="204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客单价</w:t>
            </w:r>
          </w:p>
        </w:tc>
        <w:tc>
          <w:tcPr>
            <w:tcW w:type="dxa" w:w="204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¥311</w:t>
            </w:r>
          </w:p>
        </w:tc>
        <w:tc>
          <w:tcPr>
            <w:tcW w:type="dxa" w:w="204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-</w:t>
            </w:r>
          </w:p>
        </w:tc>
        <w:tc>
          <w:tcPr>
            <w:tcW w:type="dxa" w:w="204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-</w:t>
            </w:r>
          </w:p>
        </w:tc>
        <w:tc>
          <w:tcPr>
            <w:tcW w:type="dxa" w:w="204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-</w:t>
            </w:r>
          </w:p>
        </w:tc>
      </w:tr>
      <w:tr>
        <w:tc>
          <w:tcPr>
            <w:tcW w:type="dxa" w:w="204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连带率（件/单）</w:t>
            </w:r>
          </w:p>
        </w:tc>
        <w:tc>
          <w:tcPr>
            <w:tcW w:type="dxa" w:w="204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2.41</w:t>
            </w:r>
          </w:p>
        </w:tc>
        <w:tc>
          <w:tcPr>
            <w:tcW w:type="dxa" w:w="204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-</w:t>
            </w:r>
          </w:p>
        </w:tc>
        <w:tc>
          <w:tcPr>
            <w:tcW w:type="dxa" w:w="204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-</w:t>
            </w:r>
          </w:p>
        </w:tc>
        <w:tc>
          <w:tcPr>
            <w:tcW w:type="dxa" w:w="204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-</w:t>
            </w:r>
          </w:p>
        </w:tc>
      </w:tr>
      <w:tr>
        <w:tc>
          <w:tcPr>
            <w:tcW w:type="dxa" w:w="204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老客销售占比</w:t>
            </w:r>
          </w:p>
        </w:tc>
        <w:tc>
          <w:tcPr>
            <w:tcW w:type="dxa" w:w="204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29.9%</w:t>
            </w:r>
          </w:p>
        </w:tc>
        <w:tc>
          <w:tcPr>
            <w:tcW w:type="dxa" w:w="204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-</w:t>
            </w:r>
          </w:p>
        </w:tc>
        <w:tc>
          <w:tcPr>
            <w:tcW w:type="dxa" w:w="204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-</w:t>
            </w:r>
          </w:p>
        </w:tc>
        <w:tc>
          <w:tcPr>
            <w:tcW w:type="dxa" w:w="204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-</w:t>
            </w:r>
          </w:p>
        </w:tc>
      </w:tr>
      <w:tr>
        <w:tc>
          <w:tcPr>
            <w:tcW w:type="dxa" w:w="204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提袋率</w:t>
            </w:r>
          </w:p>
        </w:tc>
        <w:tc>
          <w:tcPr>
            <w:tcW w:type="dxa" w:w="204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7.7%</w:t>
            </w:r>
          </w:p>
        </w:tc>
        <w:tc>
          <w:tcPr>
            <w:tcW w:type="dxa" w:w="204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-</w:t>
            </w:r>
          </w:p>
        </w:tc>
        <w:tc>
          <w:tcPr>
            <w:tcW w:type="dxa" w:w="204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-</w:t>
            </w:r>
          </w:p>
        </w:tc>
        <w:tc>
          <w:tcPr>
            <w:tcW w:type="dxa" w:w="204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-</w:t>
            </w:r>
          </w:p>
        </w:tc>
      </w:tr>
      <w:tr>
        <w:tc>
          <w:tcPr>
            <w:tcW w:type="dxa" w:w="204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新增会员</w:t>
            </w:r>
          </w:p>
        </w:tc>
        <w:tc>
          <w:tcPr>
            <w:tcW w:type="dxa" w:w="204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48,341</w:t>
            </w:r>
          </w:p>
        </w:tc>
        <w:tc>
          <w:tcPr>
            <w:tcW w:type="dxa" w:w="204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-</w:t>
            </w:r>
          </w:p>
        </w:tc>
        <w:tc>
          <w:tcPr>
            <w:tcW w:type="dxa" w:w="204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-</w:t>
            </w:r>
          </w:p>
        </w:tc>
        <w:tc>
          <w:tcPr>
            <w:tcW w:type="dxa" w:w="204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-</w:t>
            </w:r>
          </w:p>
        </w:tc>
      </w:tr>
      <w:tr>
        <w:tc>
          <w:tcPr>
            <w:tcW w:type="dxa" w:w="204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客流量</w:t>
            </w:r>
          </w:p>
        </w:tc>
        <w:tc>
          <w:tcPr>
            <w:tcW w:type="dxa" w:w="204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1,082,443</w:t>
            </w:r>
          </w:p>
        </w:tc>
        <w:tc>
          <w:tcPr>
            <w:tcW w:type="dxa" w:w="204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-</w:t>
            </w:r>
          </w:p>
        </w:tc>
        <w:tc>
          <w:tcPr>
            <w:tcW w:type="dxa" w:w="204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-</w:t>
            </w:r>
          </w:p>
        </w:tc>
        <w:tc>
          <w:tcPr>
            <w:tcW w:type="dxa" w:w="204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-</w:t>
            </w:r>
          </w:p>
        </w:tc>
      </w:tr>
    </w:tbl>
    <w:p>
      <w:pPr>
        <w:spacing w:before="20" w:after="60" w:line="260" w:lineRule="auto"/>
      </w:pPr>
      <w:r>
        <w:rPr>
          <w:rFonts w:ascii="微软雅黑" w:hAnsi="微软雅黑" w:eastAsia="微软雅黑"/>
          <w:i/>
          <w:color w:val="606060"/>
          <w:sz w:val="16"/>
        </w:rPr>
        <w:t>注：本区域全部 5 家门店为25年同期后新开，同店列无可比数据。</w:t>
      </w:r>
    </w:p>
    <w:p>
      <w:pPr>
        <w:spacing w:before="200" w:after="100" w:line="320" w:lineRule="auto"/>
        <w:shd w:val="clear" w:color="auto" w:fill="EAF2FA"/>
        <w:pBdr>
          <w:left w:val="single" w:sz="48" w:space="6" w:color="1F497D"/>
        </w:pBdr>
        <w:pBdr>
          <w:bottom w:val="single" w:sz="4" w:space="4" w:color="B4C7E7"/>
        </w:pBdr>
      </w:pPr>
      <w:r>
        <w:rPr>
          <w:rFonts w:ascii="微软雅黑" w:hAnsi="微软雅黑" w:eastAsia="微软雅黑"/>
          <w:b/>
          <w:color w:val="1F497D"/>
          <w:sz w:val="28"/>
        </w:rPr>
        <w:t xml:space="preserve">  二、区域经营数据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927"/>
        <w:gridCol w:w="927"/>
        <w:gridCol w:w="927"/>
        <w:gridCol w:w="927"/>
        <w:gridCol w:w="927"/>
        <w:gridCol w:w="927"/>
        <w:gridCol w:w="927"/>
        <w:gridCol w:w="927"/>
        <w:gridCol w:w="927"/>
        <w:gridCol w:w="927"/>
        <w:gridCol w:w="927"/>
      </w:tblGrid>
      <w:tr>
        <w:tc>
          <w:tcPr>
            <w:tcW w:type="dxa" w:w="927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区域</w:t>
            </w:r>
          </w:p>
        </w:tc>
        <w:tc>
          <w:tcPr>
            <w:tcW w:type="dxa" w:w="927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店铺数</w:t>
            </w:r>
          </w:p>
        </w:tc>
        <w:tc>
          <w:tcPr>
            <w:tcW w:type="dxa" w:w="927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销售额</w:t>
            </w:r>
          </w:p>
        </w:tc>
        <w:tc>
          <w:tcPr>
            <w:tcW w:type="dxa" w:w="927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整体同比</w:t>
            </w:r>
          </w:p>
        </w:tc>
        <w:tc>
          <w:tcPr>
            <w:tcW w:type="dxa" w:w="927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同店销售额</w:t>
            </w:r>
          </w:p>
        </w:tc>
        <w:tc>
          <w:tcPr>
            <w:tcW w:type="dxa" w:w="927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同店同比</w:t>
            </w:r>
          </w:p>
        </w:tc>
        <w:tc>
          <w:tcPr>
            <w:tcW w:type="dxa" w:w="927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客单价</w:t>
            </w:r>
          </w:p>
        </w:tc>
        <w:tc>
          <w:tcPr>
            <w:tcW w:type="dxa" w:w="927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连带率</w:t>
            </w:r>
          </w:p>
        </w:tc>
        <w:tc>
          <w:tcPr>
            <w:tcW w:type="dxa" w:w="927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老客销比</w:t>
            </w:r>
          </w:p>
        </w:tc>
        <w:tc>
          <w:tcPr>
            <w:tcW w:type="dxa" w:w="927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新增会员</w:t>
            </w:r>
          </w:p>
        </w:tc>
        <w:tc>
          <w:tcPr>
            <w:tcW w:type="dxa" w:w="927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同店客流同比</w:t>
            </w:r>
          </w:p>
        </w:tc>
      </w:tr>
      <w:tr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西北区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2,591.8万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-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-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-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-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-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-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-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-</w:t>
            </w:r>
          </w:p>
        </w:tc>
      </w:tr>
    </w:tbl>
    <w:p>
      <w:pPr>
        <w:spacing w:before="200" w:after="100" w:line="320" w:lineRule="auto"/>
        <w:shd w:val="clear" w:color="auto" w:fill="EAF2FA"/>
        <w:pBdr>
          <w:left w:val="single" w:sz="48" w:space="6" w:color="1F497D"/>
        </w:pBdr>
        <w:pBdr>
          <w:bottom w:val="single" w:sz="4" w:space="4" w:color="B4C7E7"/>
        </w:pBdr>
      </w:pPr>
      <w:r>
        <w:rPr>
          <w:rFonts w:ascii="微软雅黑" w:hAnsi="微软雅黑" w:eastAsia="微软雅黑"/>
          <w:b/>
          <w:color w:val="1F497D"/>
          <w:sz w:val="28"/>
        </w:rPr>
        <w:t xml:space="preserve">  三、销售额TOP5门店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927"/>
        <w:gridCol w:w="927"/>
        <w:gridCol w:w="927"/>
        <w:gridCol w:w="927"/>
        <w:gridCol w:w="927"/>
        <w:gridCol w:w="927"/>
        <w:gridCol w:w="927"/>
        <w:gridCol w:w="927"/>
        <w:gridCol w:w="927"/>
        <w:gridCol w:w="927"/>
        <w:gridCol w:w="927"/>
      </w:tblGrid>
      <w:tr>
        <w:tc>
          <w:tcPr>
            <w:tcW w:type="dxa" w:w="927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排名</w:t>
            </w:r>
          </w:p>
        </w:tc>
        <w:tc>
          <w:tcPr>
            <w:tcW w:type="dxa" w:w="927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门店</w:t>
            </w:r>
          </w:p>
        </w:tc>
        <w:tc>
          <w:tcPr>
            <w:tcW w:type="dxa" w:w="927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区域</w:t>
            </w:r>
          </w:p>
        </w:tc>
        <w:tc>
          <w:tcPr>
            <w:tcW w:type="dxa" w:w="927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销售额</w:t>
            </w:r>
          </w:p>
        </w:tc>
        <w:tc>
          <w:tcPr>
            <w:tcW w:type="dxa" w:w="927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销量</w:t>
            </w:r>
          </w:p>
        </w:tc>
        <w:tc>
          <w:tcPr>
            <w:tcW w:type="dxa" w:w="927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订单量</w:t>
            </w:r>
          </w:p>
        </w:tc>
        <w:tc>
          <w:tcPr>
            <w:tcW w:type="dxa" w:w="927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客单价</w:t>
            </w:r>
          </w:p>
        </w:tc>
        <w:tc>
          <w:tcPr>
            <w:tcW w:type="dxa" w:w="927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连带率</w:t>
            </w:r>
          </w:p>
        </w:tc>
        <w:tc>
          <w:tcPr>
            <w:tcW w:type="dxa" w:w="927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老客销比</w:t>
            </w:r>
          </w:p>
        </w:tc>
        <w:tc>
          <w:tcPr>
            <w:tcW w:type="dxa" w:w="927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新增会员</w:t>
            </w:r>
          </w:p>
        </w:tc>
        <w:tc>
          <w:tcPr>
            <w:tcW w:type="dxa" w:w="927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客流量</w:t>
            </w:r>
          </w:p>
        </w:tc>
      </w:tr>
      <w:tr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西安高新益田假日里店 ★新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西北区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736.6万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56,113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21,609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¥341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2.60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33.9%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12,026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120,425</w:t>
            </w:r>
          </w:p>
        </w:tc>
      </w:tr>
      <w:tr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西安碑林王府井永宁门店 ★新</w:t>
            </w:r>
          </w:p>
        </w:tc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西北区</w:t>
            </w:r>
          </w:p>
        </w:tc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542.8万</w:t>
            </w:r>
          </w:p>
        </w:tc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42,459</w:t>
            </w:r>
          </w:p>
        </w:tc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15,449</w:t>
            </w:r>
          </w:p>
        </w:tc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¥351</w:t>
            </w:r>
          </w:p>
        </w:tc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2.75</w:t>
            </w:r>
          </w:p>
        </w:tc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11.6%</w:t>
            </w:r>
          </w:p>
        </w:tc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11,434</w:t>
            </w:r>
          </w:p>
        </w:tc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189,313</w:t>
            </w:r>
          </w:p>
        </w:tc>
      </w:tr>
      <w:tr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西安莲湖大兴星悦荟店 ★新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西北区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506.1万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38,551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17,657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¥287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2.18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37.4%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9,474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169,529</w:t>
            </w:r>
          </w:p>
        </w:tc>
      </w:tr>
      <w:tr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西安灞桥凯德御锦城店 ★新</w:t>
            </w:r>
          </w:p>
        </w:tc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西北区</w:t>
            </w:r>
          </w:p>
        </w:tc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482.1万</w:t>
            </w:r>
          </w:p>
        </w:tc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37,908</w:t>
            </w:r>
          </w:p>
        </w:tc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17,889</w:t>
            </w:r>
          </w:p>
        </w:tc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¥269</w:t>
            </w:r>
          </w:p>
        </w:tc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2.12</w:t>
            </w:r>
          </w:p>
        </w:tc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38.0%</w:t>
            </w:r>
          </w:p>
        </w:tc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8,861</w:t>
            </w:r>
          </w:p>
        </w:tc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500,669</w:t>
            </w:r>
          </w:p>
        </w:tc>
      </w:tr>
      <w:tr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西安雁塔凯德新地城店 ★新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西北区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324.3万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26,125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10,849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¥299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2.41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27.6%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6,546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102,507</w:t>
            </w:r>
          </w:p>
        </w:tc>
      </w:tr>
    </w:tbl>
    <w:p>
      <w:pPr>
        <w:spacing w:before="200" w:after="100" w:line="320" w:lineRule="auto"/>
        <w:shd w:val="clear" w:color="auto" w:fill="EAF2FA"/>
        <w:pBdr>
          <w:left w:val="single" w:sz="48" w:space="6" w:color="1F497D"/>
        </w:pBdr>
        <w:pBdr>
          <w:bottom w:val="single" w:sz="4" w:space="4" w:color="B4C7E7"/>
        </w:pBdr>
      </w:pPr>
      <w:r>
        <w:rPr>
          <w:rFonts w:ascii="微软雅黑" w:hAnsi="微软雅黑" w:eastAsia="微软雅黑"/>
          <w:b/>
          <w:color w:val="1F497D"/>
          <w:sz w:val="28"/>
        </w:rPr>
        <w:t xml:space="preserve">  四、25年同期后新增门店表现</w:t>
      </w:r>
    </w:p>
    <w:p>
      <w:pPr>
        <w:spacing w:before="0" w:after="80" w:line="340" w:lineRule="auto"/>
      </w:pPr>
      <w:r>
        <w:rPr>
          <w:rFonts w:ascii="微软雅黑" w:hAnsi="微软雅黑" w:eastAsia="微软雅黑"/>
          <w:color w:val="333333"/>
          <w:sz w:val="20"/>
        </w:rPr>
        <w:t>本西北区共有 5 家门店为25年同期后新开店铺，合计贡献销售额 2,591.8万。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</w:tblGrid>
      <w:tr>
        <w:tc>
          <w:tcPr>
            <w:tcW w:type="dxa" w:w="1020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门店</w:t>
            </w:r>
          </w:p>
        </w:tc>
        <w:tc>
          <w:tcPr>
            <w:tcW w:type="dxa" w:w="1020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区域</w:t>
            </w:r>
          </w:p>
        </w:tc>
        <w:tc>
          <w:tcPr>
            <w:tcW w:type="dxa" w:w="1020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销售额</w:t>
            </w:r>
          </w:p>
        </w:tc>
        <w:tc>
          <w:tcPr>
            <w:tcW w:type="dxa" w:w="1020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销量</w:t>
            </w:r>
          </w:p>
        </w:tc>
        <w:tc>
          <w:tcPr>
            <w:tcW w:type="dxa" w:w="1020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订单量</w:t>
            </w:r>
          </w:p>
        </w:tc>
        <w:tc>
          <w:tcPr>
            <w:tcW w:type="dxa" w:w="1020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客单价</w:t>
            </w:r>
          </w:p>
        </w:tc>
        <w:tc>
          <w:tcPr>
            <w:tcW w:type="dxa" w:w="1020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连带率</w:t>
            </w:r>
          </w:p>
        </w:tc>
        <w:tc>
          <w:tcPr>
            <w:tcW w:type="dxa" w:w="1020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老客销比</w:t>
            </w:r>
          </w:p>
        </w:tc>
        <w:tc>
          <w:tcPr>
            <w:tcW w:type="dxa" w:w="1020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新增会员</w:t>
            </w:r>
          </w:p>
        </w:tc>
        <w:tc>
          <w:tcPr>
            <w:tcW w:type="dxa" w:w="1020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客流量</w:t>
            </w:r>
          </w:p>
        </w:tc>
      </w:tr>
      <w:tr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西安高新益田假日里店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西北区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736.6万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56,113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21,609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¥341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2.60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33.9%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12,026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120,425</w:t>
            </w:r>
          </w:p>
        </w:tc>
      </w:tr>
      <w:tr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西安碑林王府井永宁门店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西北区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542.8万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42,459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15,449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¥351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2.75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11.6%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11,434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189,313</w:t>
            </w:r>
          </w:p>
        </w:tc>
      </w:tr>
      <w:tr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西安莲湖大兴星悦荟店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西北区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506.1万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38,551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17,657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¥287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2.18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37.4%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9,474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169,529</w:t>
            </w:r>
          </w:p>
        </w:tc>
      </w:tr>
      <w:tr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西安灞桥凯德御锦城店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西北区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482.1万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37,908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17,889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¥269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2.12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38.0%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8,861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500,669</w:t>
            </w:r>
          </w:p>
        </w:tc>
      </w:tr>
      <w:tr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西安雁塔凯德新地城店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西北区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324.3万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26,125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10,849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¥299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2.41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27.6%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6,546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102,507</w:t>
            </w:r>
          </w:p>
        </w:tc>
      </w:tr>
    </w:tbl>
    <w:p>
      <w:pPr>
        <w:spacing w:before="200" w:after="100" w:line="320" w:lineRule="auto"/>
        <w:shd w:val="clear" w:color="auto" w:fill="EAF2FA"/>
        <w:pBdr>
          <w:left w:val="single" w:sz="48" w:space="6" w:color="1F497D"/>
        </w:pBdr>
        <w:pBdr>
          <w:bottom w:val="single" w:sz="4" w:space="4" w:color="B4C7E7"/>
        </w:pBdr>
      </w:pPr>
      <w:r>
        <w:rPr>
          <w:rFonts w:ascii="微软雅黑" w:hAnsi="微软雅黑" w:eastAsia="微软雅黑"/>
          <w:b/>
          <w:color w:val="1F497D"/>
          <w:sz w:val="28"/>
        </w:rPr>
        <w:t xml:space="preserve">  五、销售额TOP20品牌表现</w:t>
      </w:r>
    </w:p>
    <w:p>
      <w:pPr>
        <w:spacing w:before="0" w:after="80" w:line="340" w:lineRule="auto"/>
      </w:pPr>
      <w:r>
        <w:rPr>
          <w:rFonts w:ascii="微软雅黑" w:hAnsi="微软雅黑" w:eastAsia="微软雅黑"/>
          <w:color w:val="333333"/>
          <w:sz w:val="20"/>
        </w:rPr>
        <w:t>本西北区共涉及 129 个品牌在售，TOP20 合计贡献销售额 2,046.5万，占整体 79.0%。"同店同比"仅在上年同店销售额 ≥100万的稳定品牌上展示；新引入或小基数品牌标注为"新进/小基数"，不参与同比。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</w:tblGrid>
      <w:tr>
        <w:tc>
          <w:tcPr>
            <w:tcW w:type="dxa" w:w="1133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排名</w:t>
            </w:r>
          </w:p>
        </w:tc>
        <w:tc>
          <w:tcPr>
            <w:tcW w:type="dxa" w:w="1133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品牌</w:t>
            </w:r>
          </w:p>
        </w:tc>
        <w:tc>
          <w:tcPr>
            <w:tcW w:type="dxa" w:w="1133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销售额</w:t>
            </w:r>
          </w:p>
        </w:tc>
        <w:tc>
          <w:tcPr>
            <w:tcW w:type="dxa" w:w="1133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  <w:tc>
          <w:tcPr>
            <w:tcW w:type="dxa" w:w="1133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订单量</w:t>
            </w:r>
          </w:p>
        </w:tc>
        <w:tc>
          <w:tcPr>
            <w:tcW w:type="dxa" w:w="1133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客单价</w:t>
            </w:r>
          </w:p>
        </w:tc>
        <w:tc>
          <w:tcPr>
            <w:tcW w:type="dxa" w:w="1133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连带率</w:t>
            </w:r>
          </w:p>
        </w:tc>
        <w:tc>
          <w:tcPr>
            <w:tcW w:type="dxa" w:w="1133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覆盖门店</w:t>
            </w:r>
          </w:p>
        </w:tc>
        <w:tc>
          <w:tcPr>
            <w:tcW w:type="dxa" w:w="1133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同店同比</w:t>
            </w:r>
          </w:p>
        </w:tc>
      </w:tr>
      <w:tr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GABRILE MANN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306.9万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11.8%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16,305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¥188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1.40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5家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-</w:t>
            </w:r>
          </w:p>
        </w:tc>
      </w:tr>
      <w:tr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斯凯奇运动系列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232.7万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9.0%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11,683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¥199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1.31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5家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-</w:t>
            </w:r>
          </w:p>
        </w:tc>
      </w:tr>
      <w:tr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阿迪达斯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163.7万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6.3%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7,456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¥220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1.25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5家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-</w:t>
            </w:r>
          </w:p>
        </w:tc>
      </w:tr>
      <w:tr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骆驼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156.6万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6.0%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8,364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¥187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1.29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5家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-</w:t>
            </w:r>
          </w:p>
        </w:tc>
      </w:tr>
      <w:tr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彪马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143.8万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5.5%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8,826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¥163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1.29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5家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-</w:t>
            </w:r>
          </w:p>
        </w:tc>
      </w:tr>
      <w:tr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PAULO PEDRO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119.0万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4.6%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6,546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¥182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1.32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5家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-</w:t>
            </w:r>
          </w:p>
        </w:tc>
      </w:tr>
      <w:tr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安德玛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114.3万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4.4%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5,961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¥192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1.34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5家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-</w:t>
            </w:r>
          </w:p>
        </w:tc>
      </w:tr>
      <w:tr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AIRWALK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111.7万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4.3%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6,503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¥172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1.23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5家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-</w:t>
            </w:r>
          </w:p>
        </w:tc>
      </w:tr>
      <w:tr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michael bublé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93.8万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3.6%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6,074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¥154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1.25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5家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-</w:t>
            </w:r>
          </w:p>
        </w:tc>
      </w:tr>
      <w:tr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AVIA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87.7万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3.4%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5,748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¥153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1.27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5家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-</w:t>
            </w:r>
          </w:p>
        </w:tc>
      </w:tr>
      <w:tr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David Fincher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75.0万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2.9%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5,420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¥138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1.29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5家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-</w:t>
            </w:r>
          </w:p>
        </w:tc>
      </w:tr>
      <w:tr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NAUTICA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69.9万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2.7%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3,043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¥230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1.10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5家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-</w:t>
            </w:r>
          </w:p>
        </w:tc>
      </w:tr>
      <w:tr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13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三叶草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64.3万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2.5%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2,853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¥225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1.21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5家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-</w:t>
            </w:r>
          </w:p>
        </w:tc>
      </w:tr>
      <w:tr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14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Jeep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53.2万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2.1%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2,447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¥217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1.17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5家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-</w:t>
            </w:r>
          </w:p>
        </w:tc>
      </w:tr>
      <w:tr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15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Champion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49.8万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1.9%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3,988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¥125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1.30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5家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-</w:t>
            </w:r>
          </w:p>
        </w:tc>
      </w:tr>
      <w:tr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16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鳄鱼恤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44.8万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1.7%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2,187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¥205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1.21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5家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-</w:t>
            </w:r>
          </w:p>
        </w:tc>
      </w:tr>
      <w:tr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17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GABRILE MANN|家居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43.6万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1.7%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7,277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¥60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1.33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5家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-</w:t>
            </w:r>
          </w:p>
        </w:tc>
      </w:tr>
      <w:tr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茵曼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40.0万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1.5%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1,952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¥205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1.27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5家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-</w:t>
            </w:r>
          </w:p>
        </w:tc>
      </w:tr>
      <w:tr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19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耐克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38.6万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1.5%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1,901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¥203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1.16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5家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-</w:t>
            </w:r>
          </w:p>
        </w:tc>
      </w:tr>
      <w:tr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20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GAP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37.2万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1.4%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4,380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¥85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1.88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5家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-</w:t>
            </w:r>
          </w:p>
        </w:tc>
      </w:tr>
    </w:tbl>
    <w:p>
      <w:pPr>
        <w:spacing w:before="200" w:after="100" w:line="320" w:lineRule="auto"/>
        <w:shd w:val="clear" w:color="auto" w:fill="EAF2FA"/>
        <w:pBdr>
          <w:left w:val="single" w:sz="48" w:space="6" w:color="1F497D"/>
        </w:pBdr>
        <w:pBdr>
          <w:bottom w:val="single" w:sz="4" w:space="4" w:color="B4C7E7"/>
        </w:pBdr>
      </w:pPr>
      <w:r>
        <w:rPr>
          <w:rFonts w:ascii="微软雅黑" w:hAnsi="微软雅黑" w:eastAsia="微软雅黑"/>
          <w:b/>
          <w:color w:val="1F497D"/>
          <w:sz w:val="28"/>
        </w:rPr>
        <w:t xml:space="preserve">  六、增长来源拆解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增长来源</w:t>
            </w:r>
          </w:p>
        </w:tc>
        <w:tc>
          <w:tcPr>
            <w:tcW w:type="dxa" w:w="3400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金额</w:t>
            </w:r>
          </w:p>
        </w:tc>
        <w:tc>
          <w:tcPr>
            <w:tcW w:type="dxa" w:w="3400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40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本期整体销售额</w:t>
            </w:r>
          </w:p>
        </w:tc>
        <w:tc>
          <w:tcPr>
            <w:tcW w:type="dxa" w:w="340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2,591.8万</w:t>
            </w:r>
          </w:p>
        </w:tc>
        <w:tc>
          <w:tcPr>
            <w:tcW w:type="dxa" w:w="340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本期 5 家门店合计</w:t>
            </w:r>
          </w:p>
        </w:tc>
      </w:tr>
      <w:tr>
        <w:tc>
          <w:tcPr>
            <w:tcW w:type="dxa" w:w="340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新店贡献（5家）</w:t>
            </w:r>
          </w:p>
        </w:tc>
        <w:tc>
          <w:tcPr>
            <w:tcW w:type="dxa" w:w="340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2,591.8万</w:t>
            </w:r>
          </w:p>
        </w:tc>
        <w:tc>
          <w:tcPr>
            <w:tcW w:type="dxa" w:w="340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25年同期后新开门店销售额</w:t>
            </w:r>
          </w:p>
        </w:tc>
      </w:tr>
      <w:tr>
        <w:tc>
          <w:tcPr>
            <w:tcW w:type="dxa" w:w="340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同店增量</w:t>
            </w:r>
          </w:p>
        </w:tc>
        <w:tc>
          <w:tcPr>
            <w:tcW w:type="dxa" w:w="340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-</w:t>
            </w:r>
          </w:p>
        </w:tc>
        <w:tc>
          <w:tcPr>
            <w:tcW w:type="dxa" w:w="340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本区域无25年同期已开业同店，无法计算同店增量</w:t>
            </w:r>
          </w:p>
        </w:tc>
      </w:tr>
    </w:tbl>
    <w:p>
      <w:pPr>
        <w:spacing w:before="200" w:after="100" w:line="320" w:lineRule="auto"/>
        <w:shd w:val="clear" w:color="auto" w:fill="EAF2FA"/>
        <w:pBdr>
          <w:left w:val="single" w:sz="48" w:space="6" w:color="1F497D"/>
        </w:pBdr>
        <w:pBdr>
          <w:bottom w:val="single" w:sz="4" w:space="4" w:color="B4C7E7"/>
        </w:pBdr>
      </w:pPr>
      <w:r>
        <w:rPr>
          <w:rFonts w:ascii="微软雅黑" w:hAnsi="微软雅黑" w:eastAsia="微软雅黑"/>
          <w:b/>
          <w:color w:val="1F497D"/>
          <w:sz w:val="28"/>
        </w:rPr>
        <w:t xml:space="preserve">  七、深度洞察与行动建议</w:t>
      </w:r>
    </w:p>
    <w:p>
      <w:pPr>
        <w:spacing w:before="20" w:after="60" w:line="260" w:lineRule="auto"/>
      </w:pPr>
      <w:r>
        <w:rPr>
          <w:rFonts w:ascii="微软雅黑" w:hAnsi="微软雅黑" w:eastAsia="微软雅黑"/>
          <w:i/>
          <w:color w:val="606060"/>
          <w:sz w:val="16"/>
        </w:rPr>
        <w:t>从增长结构、同店质量、客群结构、新店爬坡、商品结构五个维度拆解经营表现，提炼关键行动建议。</w:t>
      </w:r>
    </w:p>
    <w:p>
      <w:pPr>
        <w:spacing w:before="140" w:after="60" w:line="300" w:lineRule="auto"/>
        <w:pBdr>
          <w:left w:val="single" w:sz="24" w:space="6" w:color="2E74B5"/>
        </w:pBdr>
      </w:pPr>
      <w:r>
        <w:rPr>
          <w:rFonts w:ascii="微软雅黑" w:hAnsi="微软雅黑" w:eastAsia="微软雅黑"/>
          <w:b/>
          <w:color w:val="2E74B5"/>
          <w:sz w:val="22"/>
        </w:rPr>
        <w:t xml:space="preserve">  7.1 增长来源：新店驱动还是同店驱动？</w:t>
      </w:r>
    </w:p>
    <w:p>
      <w:pPr>
        <w:spacing w:before="0" w:after="80" w:line="340" w:lineRule="auto"/>
      </w:pPr>
      <w:r>
        <w:rPr>
          <w:rFonts w:ascii="微软雅黑" w:hAnsi="微软雅黑" w:eastAsia="微软雅黑"/>
          <w:color w:val="333333"/>
          <w:sz w:val="20"/>
        </w:rPr>
        <w:t>本期西北区整体销售额 2,591.8万（无同比参照）。本区域 5 家门店全部为25年同期后新开店铺，暂无同店可比口径；整体表现完全来自新增门店贡献，建议关注新店爬坡节奏。</w:t>
      </w:r>
    </w:p>
    <w:p>
      <w:pPr>
        <w:spacing w:before="140" w:after="60" w:line="300" w:lineRule="auto"/>
        <w:pBdr>
          <w:left w:val="single" w:sz="24" w:space="6" w:color="2E74B5"/>
        </w:pBdr>
      </w:pPr>
      <w:r>
        <w:rPr>
          <w:rFonts w:ascii="微软雅黑" w:hAnsi="微软雅黑" w:eastAsia="微软雅黑"/>
          <w:b/>
          <w:color w:val="2E74B5"/>
          <w:sz w:val="22"/>
        </w:rPr>
        <w:t xml:space="preserve">  7.3 关键行动建议</w:t>
      </w:r>
    </w:p>
    <w:p>
      <w:pPr>
        <w:spacing w:before="0" w:after="80" w:line="340" w:lineRule="auto"/>
      </w:pPr>
      <w:r>
        <w:rPr>
          <w:rFonts w:ascii="微软雅黑" w:hAnsi="微软雅黑" w:eastAsia="微软雅黑"/>
          <w:color w:val="333333"/>
          <w:sz w:val="20"/>
        </w:rPr>
        <w:t>建立新店爬坡跟踪机制：5家新店贡献销售额 2,591.8万，建议按月跟踪单店销额、客流、会员数三项核心指标，识别爬坡落后门店并提前介入干预。</w:t>
      </w:r>
    </w:p>
    <w:p>
      <w:pPr>
        <w:spacing w:before="140" w:after="60" w:line="300" w:lineRule="auto"/>
        <w:pBdr>
          <w:left w:val="single" w:sz="24" w:space="6" w:color="2E74B5"/>
        </w:pBdr>
      </w:pPr>
      <w:r>
        <w:rPr>
          <w:rFonts w:ascii="微软雅黑" w:hAnsi="微软雅黑" w:eastAsia="微软雅黑"/>
          <w:b/>
          <w:color w:val="2E74B5"/>
          <w:sz w:val="22"/>
        </w:rPr>
        <w:t xml:space="preserve">  7.4 商品结构与品牌建议</w:t>
      </w:r>
    </w:p>
    <w:p>
      <w:pPr>
        <w:spacing w:before="0" w:after="80" w:line="340" w:lineRule="auto"/>
      </w:pPr>
      <w:r>
        <w:rPr>
          <w:rFonts w:ascii="微软雅黑" w:hAnsi="微软雅黑" w:eastAsia="微软雅黑"/>
          <w:color w:val="333333"/>
          <w:sz w:val="20"/>
        </w:rPr>
        <w:t>销售额 TOP5 品牌为 GABRILE MANN、斯凯奇运动系列、阿迪达斯、骆驼、彪马，合计占西北区 38.7%。TOP20 整体同店表现平稳，未出现大面积下滑风险。</w:t>
      </w:r>
    </w:p>
    <w:p>
      <w:pPr>
        <w:spacing w:before="0" w:after="80" w:line="340" w:lineRule="auto"/>
      </w:pPr>
      <w:r>
        <w:rPr>
          <w:rFonts w:ascii="微软雅黑" w:hAnsi="微软雅黑" w:eastAsia="微软雅黑"/>
          <w:color w:val="333333"/>
          <w:sz w:val="20"/>
        </w:rPr>
        <w:t>TOP5 品牌贡献已达 38.7%，集中度偏高。建议按季度回顾 TOP20 品牌结构，设置'核心保量（≥8%）+ 成长加码（3—8%）+ 观察孵化（&lt;3%）'三层梯队，避免单一头部品牌波动对整体销额产生过大冲击。</w:t>
      </w:r>
    </w:p>
    <w:p>
      <w:pPr>
        <w:spacing w:before="200" w:after="100" w:line="320" w:lineRule="auto"/>
        <w:shd w:val="clear" w:color="auto" w:fill="EAF2FA"/>
        <w:pBdr>
          <w:left w:val="single" w:sz="48" w:space="6" w:color="1F497D"/>
        </w:pBdr>
        <w:pBdr>
          <w:bottom w:val="single" w:sz="4" w:space="4" w:color="B4C7E7"/>
        </w:pBdr>
      </w:pPr>
      <w:r>
        <w:rPr>
          <w:rFonts w:ascii="微软雅黑" w:hAnsi="微软雅黑" w:eastAsia="微软雅黑"/>
          <w:b/>
          <w:color w:val="1F497D"/>
          <w:sz w:val="28"/>
        </w:rPr>
        <w:t xml:space="preserve">  八、经营预警与行动方案</w:t>
      </w:r>
    </w:p>
    <w:p>
      <w:pPr>
        <w:spacing w:before="20" w:after="60" w:line="260" w:lineRule="auto"/>
      </w:pPr>
      <w:r>
        <w:rPr>
          <w:rFonts w:ascii="微软雅黑" w:hAnsi="微软雅黑" w:eastAsia="微软雅黑"/>
          <w:i/>
          <w:color w:val="606060"/>
          <w:sz w:val="16"/>
        </w:rPr>
        <w:t>基于前文同店、客流、客群、新店、品牌数据自动识别的风险项，按"风险—证据—行动"三段式呈现。</w:t>
      </w:r>
    </w:p>
    <w:p>
      <w:pPr>
        <w:spacing w:before="160" w:after="40" w:line="320" w:lineRule="auto"/>
        <w:shd w:val="clear" w:color="auto" w:fill="FFF8D7"/>
        <w:pBdr>
          <w:left w:val="single" w:sz="36" w:space="6" w:color="B08F00"/>
        </w:pBdr>
      </w:pPr>
      <w:r>
        <w:rPr>
          <w:rFonts w:ascii="微软雅黑" w:hAnsi="微软雅黑" w:eastAsia="微软雅黑"/>
          <w:b/>
          <w:color w:val="B08F00"/>
          <w:sz w:val="22"/>
        </w:rPr>
        <w:t xml:space="preserve">  【黄】 </w:t>
      </w:r>
      <w:r>
        <w:rPr>
          <w:rFonts w:ascii="微软雅黑" w:hAnsi="微软雅黑" w:eastAsia="微软雅黑"/>
          <w:b/>
          <w:color w:val="1F497D"/>
          <w:sz w:val="22"/>
        </w:rPr>
        <w:t>预警1：头部品牌集中度偏高</w:t>
      </w:r>
    </w:p>
    <w:p>
      <w:pPr>
        <w:spacing w:before="0" w:after="30" w:line="340" w:lineRule="auto"/>
      </w:pPr>
      <w:r>
        <w:rPr>
          <w:rFonts w:ascii="微软雅黑" w:hAnsi="微软雅黑" w:eastAsia="微软雅黑"/>
          <w:b/>
          <w:color w:val="B08F00"/>
          <w:sz w:val="20"/>
        </w:rPr>
        <w:t xml:space="preserve">证据  </w:t>
      </w:r>
      <w:r>
        <w:rPr>
          <w:rFonts w:ascii="微软雅黑" w:hAnsi="微软雅黑" w:eastAsia="微软雅黑"/>
          <w:color w:val="333333"/>
          <w:sz w:val="20"/>
        </w:rPr>
        <w:t>TOP5 品牌贡献销售额占整体 38.7%（≥35%），任一头部品牌大幅波动都将对整体销额产生可观冲击。</w:t>
      </w:r>
    </w:p>
    <w:p>
      <w:pPr>
        <w:spacing w:before="0" w:after="80" w:line="340" w:lineRule="auto"/>
      </w:pPr>
      <w:r>
        <w:rPr>
          <w:rFonts w:ascii="微软雅黑" w:hAnsi="微软雅黑" w:eastAsia="微软雅黑"/>
          <w:b/>
          <w:color w:val="B08F00"/>
          <w:sz w:val="20"/>
        </w:rPr>
        <w:t xml:space="preserve">行动  </w:t>
      </w:r>
      <w:r>
        <w:rPr>
          <w:rFonts w:ascii="微软雅黑" w:hAnsi="微软雅黑" w:eastAsia="微软雅黑"/>
          <w:color w:val="333333"/>
          <w:sz w:val="20"/>
        </w:rPr>
        <w:t>建立品牌梯队管理：核心保量品牌（占比≥8%）签订年度返利+专属促销合作；成长加码品牌（3—8%）加大陈列面积与会员推荐；观察孵化品牌（&lt;3%）按季度评估动销率，末位汰换。目标 TOP5 占比 12 个月内降至 30% 以内。</w:t>
      </w:r>
    </w:p>
    <w:p>
      <w:pPr>
        <w:spacing w:before="160" w:after="40" w:line="320" w:lineRule="auto"/>
        <w:shd w:val="clear" w:color="auto" w:fill="FFF8D7"/>
        <w:pBdr>
          <w:left w:val="single" w:sz="36" w:space="6" w:color="B08F00"/>
        </w:pBdr>
      </w:pPr>
      <w:r>
        <w:rPr>
          <w:rFonts w:ascii="微软雅黑" w:hAnsi="微软雅黑" w:eastAsia="微软雅黑"/>
          <w:b/>
          <w:color w:val="B08F00"/>
          <w:sz w:val="22"/>
        </w:rPr>
        <w:t xml:space="preserve">  【黄】 </w:t>
      </w:r>
      <w:r>
        <w:rPr>
          <w:rFonts w:ascii="微软雅黑" w:hAnsi="微软雅黑" w:eastAsia="微软雅黑"/>
          <w:b/>
          <w:color w:val="1F497D"/>
          <w:sz w:val="22"/>
        </w:rPr>
        <w:t>预警2：全域新店缺少同店参照</w:t>
      </w:r>
    </w:p>
    <w:p>
      <w:pPr>
        <w:spacing w:before="0" w:after="30" w:line="340" w:lineRule="auto"/>
      </w:pPr>
      <w:r>
        <w:rPr>
          <w:rFonts w:ascii="微软雅黑" w:hAnsi="微软雅黑" w:eastAsia="微软雅黑"/>
          <w:b/>
          <w:color w:val="B08F00"/>
          <w:sz w:val="20"/>
        </w:rPr>
        <w:t xml:space="preserve">证据  </w:t>
      </w:r>
      <w:r>
        <w:rPr>
          <w:rFonts w:ascii="微软雅黑" w:hAnsi="微软雅黑" w:eastAsia="微软雅黑"/>
          <w:color w:val="333333"/>
          <w:sz w:val="20"/>
        </w:rPr>
        <w:t>本西北区 5 家门店均为25年同期后新开，无同店可比口径，无法评估同区内老店的内生增长水平；整体表现高度依赖新店爬坡节奏。</w:t>
      </w:r>
    </w:p>
    <w:p>
      <w:pPr>
        <w:spacing w:before="0" w:after="80" w:line="340" w:lineRule="auto"/>
      </w:pPr>
      <w:r>
        <w:rPr>
          <w:rFonts w:ascii="微软雅黑" w:hAnsi="微软雅黑" w:eastAsia="微软雅黑"/>
          <w:b/>
          <w:color w:val="B08F00"/>
          <w:sz w:val="20"/>
        </w:rPr>
        <w:t xml:space="preserve">行动  </w:t>
      </w:r>
      <w:r>
        <w:rPr>
          <w:rFonts w:ascii="微软雅黑" w:hAnsi="微软雅黑" w:eastAsia="微软雅黑"/>
          <w:color w:val="333333"/>
          <w:sz w:val="20"/>
        </w:rPr>
        <w:t>建立"新店首年经营看板"：以全国同店中位数、客单价、连带率为参照，月度评估每家新店的达成度；培育6个月以上的门店转入"准同店"观察口径，为下年度同店统计做数据准备。</w:t>
      </w:r>
    </w:p>
    <w:p>
      <w:pPr>
        <w:spacing w:before="20" w:after="60" w:line="260" w:lineRule="auto"/>
      </w:pPr>
      <w:r>
        <w:rPr>
          <w:rFonts w:ascii="微软雅黑" w:hAnsi="微软雅黑" w:eastAsia="微软雅黑"/>
          <w:i/>
          <w:color w:val="606060"/>
          <w:sz w:val="16"/>
        </w:rPr>
        <w:t>预警等级：【红】=需立即干预，指标已突破关键阈值且直接影响整体健康度；【橙】=一个季度内必须改善，否则将恶化为红色；【黄】=结构性关注，需纳入半年度经营策略调整。</w:t>
      </w:r>
    </w:p>
    <w:sectPr w:rsidR="00FC693F" w:rsidRPr="0006063C" w:rsidSect="00034616">
      <w:pgSz w:w="12240" w:h="15840"/>
      <w:pgMar w:top="1134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