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华北区（2026年1月1日—5月6日）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本统计周期，华北区共计 11 家门店参与经营，其中可比门店（25年同期已开业）9 家，25年同期后新增门店 2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同店（9家）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7,579.3万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+12.4%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6,421.7万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-4.7%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926,531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+8.3%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838,397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-2.0%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330,019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291,900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-5.1%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+4.7%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+0.3%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+3.2%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63.6%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66.9%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92,818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+20.3%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75,599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-2.0%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2,034,548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1,726,101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-9.9%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11 家门店；同店口径仅含 9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7,579.3万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+12.4%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6,421.7万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-4.7%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66.9%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75,599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-9.9%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天津南开仁恒店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1,932.6万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311,714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100,188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24,842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721,396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天津南开鲁能城店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1,177.4万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252,588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73,685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71.2%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19,792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235,242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天津滨海泰达永旺店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656.1万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51,747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23,374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66.0%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7,019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121,933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天津和平国金汇店 ★新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620.2万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48,544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20,385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51.3%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8,533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128,596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天津北辰辰悦广场店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607.2万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52,076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21,303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73.2%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4,360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126,260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本华北区共有 2 家门店为25年同期后新开店铺，合计贡献销售额 1,157.6万。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天津和平国金汇店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620.2万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48,544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20,385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51.3%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8,533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128,596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青岛黄岛西海岸吾悦店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537.3万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39,590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17,734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8,686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179,851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本华北区共涉及 675 个品牌在售，TOP20 合计贡献销售额 5,586.1万，占整体 73.7%。"同店同比"仅在上年同店销售额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882.6万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46,251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-28.1%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655.1万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31,723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-12.8%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537.0万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23,130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-9.4%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387.2万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21,957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-29.5%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331.9万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18,807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318.7万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15,024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-24.2%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289.9万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16,770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287.5万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15,184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+49.5%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258.5万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16,338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+63.1%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14,563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199.5万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11,924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-31.3%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7,529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¥253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-31.7%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153.9万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3,757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¥410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139.9万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15,248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¥92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138.6万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7,055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134.3万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5,939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129.2万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5,439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-53.7%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129.0万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20,192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116.7万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7,724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髑髏兎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103.3万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5,457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-30.9%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+838.3万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其中：新店贡献（2家）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+1,157.6万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+138.1%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其中：同店增量（9家）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-319.3万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-38.1%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本期华北区整体销售额 7,579.3万，同比+12.4%。拆解后，2家新店贡献 1,157.6万，9家可比同店销售额同比-4.7%（-319.3万）。整体增长主要由新店驱动，同店销售同比承压，规模扩张掩盖了老店下滑。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同店客流同比-9.9%，客流仍在承压，同店订单量同比-5.1%、销售同比-4.7%。提袋率提升部分对冲了客流下滑。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判断：华北区目前处于门店数量扩张驱动增长阶段。若2026下半年新店扩张节奏放缓，同店基本盘的修复将成为增长可持续性的关键。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¥220（同比+0.3%），连带率 2.87 件/单（同比+3.2%）。客单价与连带率同步提升，消费意愿改善。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66.9%，同店新增会员同比-2.0%，已形成老客依赖加深、新客获取乏力的矛盾，需加大拉新力度。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16.9%，横向对比同店各指标同比——客流-9.9%、订单-5.1%、销额-4.7%——订单跌幅浅于客流，说明提袋率提升已部分对冲客流下滑。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重点盯防同店下滑：9家可比门店销额同比-4.7%，建议立项同店修复专项，按门店维度诊断客流（同店客流同比-9.9%）、客单、复购三要素，优先复盘同店同比下滑超10%的门店经营策略。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加码新客拉新：同店新会员同比-2.0%，建议加大到店礼、社群裂变、异业合流等拉新动作，避免客群老化对下半年经营形成传导。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66.9%，建议分层运营（高价值/沉默/流失预警），通过会员日、专属券、新品预约等方式延长老客LTV。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建立新店爬坡跟踪机制：2家新店贡献销售额 1,157.6万，建议按月跟踪单店销额、客流、会员数三项核心指标，识别爬坡落后门店并提前介入干预。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MANN、斯凯奇运动系列、阿迪达斯、彪马、PAULO PEDRO，合计占华北区 36.9%。TOP20 中有 7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已退场或接近清零品牌：卡帝乐鳄鱼（上年324万→本期0万），建议核查是否因品牌方合约到期、货源切换或战略退出，若主动替代已完成应关注新接棒品牌的承接效果。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稳定品牌中同店承压较明显的有：outdoor products(-53.7%)、耐克(-51.2%)、三叶草(-31.7%)，建议与品牌方协商货品组合、促销资源与陈列位置，明确是款式老化、价格偏高还是渠道分流导致。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同店高增长稳定品牌：David Fincher(+63.1%)、骆驼(+49.5%)，建议加大陈列面积、扩充 SKU 并强化会员推荐，把单品牌增势拉成结构性贡献。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36.9%，集中度偏高。建议按季度回顾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预警1：同店客流持续下滑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同店客流同比-9.9%，同店订单量同比-5.1%。客流下滑是同店销额承压的主要来源之一。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两周内启动客流诊断：按门店商圈类型（社区/商业中心/交通枢纽）拆解客流构成；同步推进外场导流（社群、异业、美团/抖音本地生活投放）与店内转化提升（动线优化、促销员培训）。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预警2：TOP20 品牌普遍承压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TOP20 品牌中有 7 个同店同比下滑 ≥15%，商品结构整体承压，可能源于品类切换期或大环境消费力收缩。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按品类（运动/休闲/童装/户外）拆解下滑品牌，识别品类级共性问题；运动品类下滑重点核查库龄与折扣深度；童装/户外品类重点核查新品迭代节奏。下滑品牌逐一制定季度回升方案并设退场阈值（连续两季下滑&gt;20% 启动替代评估）。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预警3：客群结构性老化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同店老客销售占比 66.9%（≥60%），且同店新增会员同比-2.0%，业务对老客的依赖已进入风险区间。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分层运营老客：高价值用户（年消费 &gt;3000 元）年度 VIP 权益+专属客服；沉默用户（90 天未购）短信/企微召回+专属券；流失预警用户（180 天未购）品牌焕新推送。目标将老客流失率控制在月 &lt;2%。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预警4：头部品牌集中度偏高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36.9%（≥35%），任一头部品牌大幅波动都将对整体销额产生可观冲击。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