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Rivet pitch de propuesta académica</w:t>
      </w:r>
    </w:p>
    <w:p>
      <w:pPr>
        <w:pStyle w:val="Subtitle"/>
      </w:pPr>
      <w:r>
        <w:t>Propuesta de aplicación móvil Flutter</w:t>
      </w:r>
    </w:p>
    <w:p>
      <w:r>
        <w:t>12 de octubre de 2026  |  Versión 1.0</w:t>
      </w:r>
    </w:p>
    <w:p>
      <w:r>
        <w:rPr>
          <w:b/>
        </w:rPr>
        <w:t>Versión:</w:t>
      </w:r>
      <w:r>
        <w:t xml:space="preserve"> 12 de octubre de 2026 · </w:t>
      </w:r>
      <w:r>
        <w:rPr>
          <w:b/>
        </w:rPr>
        <w:t>Estado:</w:t>
      </w:r>
      <w:r>
        <w:t xml:space="preserve"> concepto para validar · </w:t>
      </w:r>
      <w:r>
        <w:rPr>
          <w:b/>
        </w:rPr>
        <w:t>Alcance propuesto:</w:t>
      </w:r>
      <w:r>
        <w:t xml:space="preserve"> servicios de pintura y estuco en una ciudad de Colombia.</w:t>
      </w:r>
    </w:p>
    <w:p>
      <w:r>
        <w:t>Rivet es un nombre de trabajo. Su disponibilidad comercial y registral no se ha consultado. Esta propuesta no acredita demanda, resultados, alianzas, tarifas aprobadas ni una operación de pagos habilitada.</w:t>
      </w:r>
    </w:p>
    <w:p>
      <w:pPr>
        <w:pStyle w:val="Heading1"/>
      </w:pPr>
      <w:r>
        <w:t>Propuesta de valor</w:t>
      </w:r>
    </w:p>
    <w:p>
      <w:r>
        <w:t>Ayudar a una persona a describir y comparar un trabajo de pintura o estuco con fotos, medidas, cantidades revisables y ofertas que separan materiales de mano de obra.</w:t>
      </w:r>
    </w:p>
    <w:p>
      <w:pPr>
        <w:pStyle w:val="Heading1"/>
      </w:pPr>
      <w:r>
        <w:t>Presentación breve 45 60 segundos</w:t>
      </w:r>
    </w:p>
    <w:p>
      <w:r>
        <w:t>Al cotizar pintura o estuco, una persona necesita explicar el espacio y comparar ofertas que cubran el mismo trabajo. Propongo Rivet, una app que organiza ese proceso entre clientes, contratistas y proveedores.</w:t>
      </w:r>
    </w:p>
    <w:p>
      <w:r>
        <w:t>El cliente registra fotos, medidas y una descripción por superficie. Revisa una versión de las fotos con menos información personal y recibe un rango orientativo de materiales. Los proveedores publican referencias y precios por tipo de comprador; el contratista revisa las cantidades y cotiza materiales y mano de obra por separado.</w:t>
      </w:r>
    </w:p>
    <w:p>
      <w:r>
        <w:t>Publicar, consultar y negociar será gratuito. La plataforma cobrará tarifas y comisiones al concretar una contratación o compra, informadas antes del pago. El cumplimiento y la entrega tendrán confirmaciones separadas. Para la materia demostraré el flujo con pagos de prueba; validaré con usuarios si mejora la preparación y comparación de cotizaciones.</w:t>
      </w:r>
    </w:p>
    <w:p>
      <w:pPr>
        <w:pStyle w:val="Heading1"/>
      </w:pPr>
      <w:r>
        <w:t>Presentación ampliada aproximadamente 2 minutos</w:t>
      </w:r>
    </w:p>
    <w:p>
      <w:r>
        <w:t>Propongo Rivet para reducir las aclaraciones y desplazamientos necesarios al cotizar trabajos de pintura y estuco. La primera versión se centrará en una ciudad de Colombia y conectará clientes, contratistas y proveedores.</w:t>
      </w:r>
    </w:p>
    <w:p>
      <w:r>
        <w:t>El cliente registra cada superficie con fotos, descripción y medidas que puede confirmar o corregir. Una ayuda de IA prepara una versión con menos información personal: el cliente la revisa, conserva visibles los defectos y conoce qué zonas fueron editadas. El expediente incluye un esquema 3D básico basado en medidas y un rango orientativo de materiales calculado con referencias técnicas. El profesional valida las cantidades; la aplicación no sustituye su inspección.</w:t>
      </w:r>
    </w:p>
    <w:p>
      <w:r>
        <w:t>El proveedor publica productos precisos y tarifas para cliente y contratista autorizado. Los contratistas presentan propuestas que separan materiales, mano de obra, cantidades y condiciones. El cliente compara el alcance y el total; también puede elegir un profesional y acordar una visita pagada.</w:t>
      </w:r>
    </w:p>
    <w:p>
      <w:r>
        <w:t>Publicar, consultar y negociar será gratuito para los tres roles. Los ingresos vendrán de una tarifa de gestión a cargo del cliente, una comisión al desembolso del contratista y una comisión sobre materiales inferior al 1%, con tasas y modalidad todavía por definir. Todos los cargos se mostrarán antes de aceptar. La fecha pactada no liberará dinero automáticamente: el cierre requiere confirmación y los desacuerdos tienen un proceso de revisión. Los materiales tendrán entrega y liquidación separadas.</w:t>
      </w:r>
    </w:p>
    <w:p>
      <w:r>
        <w:t>Existen alternativas como Timbrit, Habitissimo y Houzz Pro. Mi hipótesis es que un expediente especializado, precios identificables y ofertas comparables pueden facilitar este trabajo. Lo comprobaré con clientes, profesionales y proveedores. Para la materia presentaré pagos de prueba; la operación real requerirá validar costos, políticas y un operador compatible.</w:t>
      </w:r>
    </w:p>
    <w:p>
      <w:pPr>
        <w:pStyle w:val="Heading1"/>
      </w:pPr>
      <w:r>
        <w:t>Modelo de ingresos y decisiones pendientes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19"/>
              </w:rPr>
              <w:t>Quién paga</w:t>
            </w:r>
          </w:p>
        </w:tc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19"/>
              </w:rPr>
              <w:t>Propuesta</w:t>
            </w:r>
          </w:p>
        </w:tc>
        <w:tc>
          <w:tcPr>
            <w:tcW w:type="dxa" w:w="3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243B45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19"/>
              </w:rPr>
              <w:t>Pendiente por validar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Publicar, ver ofertas o negociar</w:t>
            </w:r>
          </w:p>
        </w:tc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Ninguno</w:t>
            </w:r>
          </w:p>
        </w:tc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Sin cobro en los tres roles; no hay suscripción Pro.</w:t>
            </w:r>
          </w:p>
        </w:tc>
        <w:tc>
          <w:tcPr>
            <w:tcW w:type="dxa" w:w="3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Confirmar costo de servicios gratuitos, límites de uso de IA y sostenibilidad.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Contratar</w:t>
            </w:r>
          </w:p>
        </w:tc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Cliente</w:t>
            </w:r>
          </w:p>
        </w:tc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Tarifa de gestión de contratación, mostrada antes de aceptar; su propósito propuesto es cubrir servicio e IA.</w:t>
            </w:r>
          </w:p>
        </w:tc>
        <w:tc>
          <w:tcPr>
            <w:tcW w:type="dxa" w:w="3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Importe, momento de cobro, cancelación, reembolso y relación con costos reales.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Desembolso de mano de obra</w:t>
            </w:r>
          </w:p>
        </w:tc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Contratista</w:t>
            </w:r>
          </w:p>
        </w:tc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Comisión descontada al desembolso. No se añade una segunda tarifa de gestión al contratista.</w:t>
            </w:r>
          </w:p>
        </w:tc>
        <w:tc>
          <w:tcPr>
            <w:tcW w:type="dxa" w:w="3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19"/>
              </w:rPr>
              <w:t>Tasa y base exacta, pagos parciales, impuestos y consecuencias de reclamaciones.</w:t>
            </w:r>
          </w:p>
        </w:tc>
      </w:tr>
      <w:tr>
        <w:trPr>
          <w:cantSplit/>
        </w:trPr>
        <w:tc>
          <w:tcPr>
            <w:tcW w:type="dxa" w:w="1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  <w:jc w:val="center"/>
            </w:pPr>
            <w:r>
              <w:rPr>
                <w:sz w:val="19"/>
              </w:rPr>
              <w:t>Compra de materiales</w:t>
            </w:r>
          </w:p>
        </w:tc>
        <w:tc>
          <w:tcPr>
            <w:tcW w:type="dxa" w:w="20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Proveedor/materiales</w:t>
            </w:r>
          </w:p>
        </w:tc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Comisión menor al 1% como hipótesis.</w:t>
            </w:r>
          </w:p>
        </w:tc>
        <w:tc>
          <w:tcPr>
            <w:tcW w:type="dxa" w:w="30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1F5F5"/>
          </w:tcPr>
          <w:p>
            <w:pPr>
              <w:spacing w:after="60" w:line="252" w:lineRule="auto"/>
            </w:pPr>
            <w:r>
              <w:rPr>
                <w:sz w:val="19"/>
              </w:rPr>
              <w:t>Tasa exacta, base, incidencia como deducción o recargo, comprobante y tratamiento de devoluciones.</w:t>
            </w:r>
          </w:p>
        </w:tc>
      </w:tr>
    </w:tbl>
    <w:p>
      <w:pPr>
        <w:spacing w:after="40"/>
      </w:pPr>
    </w:p>
    <w:p>
      <w:r>
        <w:rPr>
          <w:b/>
        </w:rPr>
        <w:t>Ejemplo de presentación, no de tarifa:</w:t>
      </w:r>
      <w:r>
        <w:t xml:space="preserve"> para una cotización con mano de obra de COP 1.000.000 y materiales de COP 500.000, el resumen mostraría ambos subtotales y la tarifa de gestión del cliente antes de aceptar. El renglón de comisión de mano de obra solo puede calcularse cuando se aprueben su tasa y base. Si se usa 0,8% únicamente para ilustrar la hipótesis de materiales, la comisión sobre COP 500.000 sería COP 4.000; el flujo todavía debe aclarar quién la soporta y cómo se liquida. El 0,8% es un ejemplo, no una tarifa elegida.</w:t>
      </w:r>
    </w:p>
    <w:p>
      <w:r>
        <w:t xml:space="preserve">El costo del operador de pagos puede consumir más que una comisión inferior al 1%: la página pública de Wompi lista para su Plan Avanzado 2,65% + COP 700 + IVA por transacción exitosa. Sobre COP 100.000 son COP 3.350 antes de IVA. Wompi no está seleccionado y esa tarifa no acredita una integración que permita pagos condicionados a la obra. La economía unitaria debe incluir además IA, soporte, reembolsos y reclamaciones. </w:t>
      </w:r>
      <w:hyperlink r:id="rId10">
        <w:r>
          <w:rPr>
            <w:color w:val="174E67"/>
          </w:rPr>
          <w:t>Planes y tarifas de Wompi</w:t>
        </w:r>
      </w:hyperlink>
      <w:r>
        <w:t xml:space="preserve"> (consulta: 12 de octubre de 2026).</w:t>
      </w:r>
    </w:p>
    <w:p>
      <w:pPr>
        <w:pStyle w:val="Heading1"/>
      </w:pPr>
      <w:r>
        <w:t>Alcance y validación</w:t>
      </w:r>
    </w:p>
    <w:p>
      <w:r>
        <w:rPr>
          <w:b/>
        </w:rPr>
        <w:t>V1 propuesta:</w:t>
      </w:r>
      <w:r>
        <w:t xml:space="preserve"> una ciudad; pintura y estuco; captura por pared/espacio; medidas que aporta o confirma el cliente; edición de imagen revisada por el cliente; catálogo manual con dos tarifas aprobadas; estimación de materiales apoyada en cobertura de ficha; revisión de cantidades y ofertas desglosadas; comparación y negociación; pagos y estados simulados para la presentación académica; visita cotizada como acuerdo entre las partes.</w:t>
      </w:r>
    </w:p>
    <w:p>
      <w:r>
        <w:rPr>
          <w:b/>
        </w:rPr>
        <w:t>V2 posible:</w:t>
      </w:r>
      <w:r>
        <w:t xml:space="preserve"> reconocimiento automático de medidas o reconstrucción desde imagen, solo después de evaluar precisión, privacidad y costo. No se presupone que sustituya la confirmación humana.</w:t>
      </w:r>
    </w:p>
    <w:p>
      <w:r>
        <w:rPr>
          <w:b/>
        </w:rPr>
        <w:t>Pruebas por hacer:</w:t>
      </w:r>
    </w:p>
    <w:p>
      <w:pPr>
        <w:pStyle w:val="ListNumber"/>
      </w:pPr>
      <w:r>
        <w:t>Entrevistar a personas que hayan contratado pintura o estuco recientemente y reconstruir cómo pidieron, corrigieron y compararon cotizaciones.</w:t>
      </w:r>
    </w:p>
    <w:p>
      <w:pPr>
        <w:pStyle w:val="ListNumber"/>
      </w:pPr>
      <w:r>
        <w:t>Acompañar a contratistas en la medición y preguntar qué unidades, preparación de superficie, capas y desperdicio explican sus cantidades.</w:t>
      </w:r>
    </w:p>
    <w:p>
      <w:pPr>
        <w:pStyle w:val="ListNumber"/>
      </w:pPr>
      <w:r>
        <w:t>Consultar proveedores sobre catálogo, vigencia de precios, rendimiento y validación de tarifas para ambos roles.</w:t>
      </w:r>
    </w:p>
    <w:p>
      <w:pPr>
        <w:pStyle w:val="ListNumber"/>
      </w:pPr>
      <w:r>
        <w:t>Probar un prototipo con solicitudes equivalentes y observar omisiones, aclaraciones, comprensión del precio y tiempo de preparación; no presentar una muestra pequeña como prueba de demanda.</w:t>
      </w:r>
    </w:p>
    <w:p>
      <w:pPr>
        <w:pStyle w:val="ListNumber"/>
      </w:pPr>
      <w:r>
        <w:t>Cotizar servicios de IA, pagos y soporte y modelar operaciones que no terminan en contratación, cancelaciones y disputas antes de afirmar rentabilidad.</w:t>
      </w:r>
    </w:p>
    <w:p>
      <w:r>
        <w:t>El proyecto solo podría pasar a una operación real después de validar usuarios, tarifas, protección de imágenes, reglas de reclamación y el acuerdo con un operador de pagos. No se prometen calidad del trabajo, entrega auténtica de materiales ni custodia regulada por el hecho de mostrar fichas o estados en la app.</w:t>
      </w:r>
    </w:p>
    <w:p>
      <w:pPr>
        <w:pStyle w:val="Heading1"/>
      </w:pPr>
      <w:r>
        <w:t>Problema y alternativas</w:t>
      </w:r>
    </w:p>
    <w:p>
      <w:r>
        <w:t>El cliente necesita describir el trabajo sin omitir medidas o condiciones; el contratista necesita información suficiente para cotizar y explicar cambios; el proveedor necesita identificar la referencia y la tarifa aplicable. La consecuencia que se propone investigar es repetir aclaraciones o comparar precios con alcances distintos. La frecuencia y el costo de ese problema deben medirse en entrevistas y pruebas.</w:t>
      </w:r>
    </w:p>
    <w:p>
      <w:r>
        <w:t xml:space="preserve">Las recomendaciones y el contacto directo por llamadas o WhatsApp son alternativas a investigar con los participantes. Timbrit presenta solicitudes y contacto con profesionales; Habitissimo contempla presupuestos detallados; Houzz Pro ofrece mediciones y estimaciones desde planos. Rivet debe demostrar una mejora en esta tarea específica, sin asumir que las alternativas carezcan de sus funciones. </w:t>
      </w:r>
      <w:hyperlink r:id="rId11">
        <w:r>
          <w:rPr>
            <w:color w:val="174E67"/>
          </w:rPr>
          <w:t>Timbrit</w:t>
        </w:r>
      </w:hyperlink>
      <w:r>
        <w:t xml:space="preserve"> · </w:t>
      </w:r>
      <w:hyperlink r:id="rId12">
        <w:r>
          <w:rPr>
            <w:color w:val="174E67"/>
          </w:rPr>
          <w:t>Habitissimo</w:t>
        </w:r>
      </w:hyperlink>
      <w:r>
        <w:t xml:space="preserve"> · </w:t>
      </w:r>
      <w:hyperlink r:id="rId13">
        <w:r>
          <w:rPr>
            <w:color w:val="174E67"/>
          </w:rPr>
          <w:t>Houzz Pro</w:t>
        </w:r>
      </w:hyperlink>
      <w:r>
        <w:t>.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Rivet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ompi.co/es/co/planes-tarifas/" TargetMode="External"/><Relationship Id="rId11" Type="http://schemas.openxmlformats.org/officeDocument/2006/relationships/hyperlink" Target="https://www.timbrit.com.co/" TargetMode="External"/><Relationship Id="rId12" Type="http://schemas.openxmlformats.org/officeDocument/2006/relationships/hyperlink" Target="https://soporte.habitissimo.com/hc/es/articles/204309883--Qu%C3%A9-debe-tener-un-presupuesto" TargetMode="External"/><Relationship Id="rId13" Type="http://schemas.openxmlformats.org/officeDocument/2006/relationships/hyperlink" Target="https://pro.houzz.com/pro-help/r/how-to-use-takeoffs-on-houzz-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Rivet — pitch de propuesta académica</dc:title>
  <dc:subject>Propuesta de aplicación móvil Flutter para cotizaciones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