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93C55" w14:textId="77777777" w:rsidR="00510EC2" w:rsidRPr="00510EC2" w:rsidRDefault="00510EC2" w:rsidP="00510EC2">
      <w:pPr>
        <w:jc w:val="center"/>
        <w:rPr>
          <w:rFonts w:ascii="Times New Roman" w:hAnsi="Times New Roman" w:cs="Times New Roman"/>
          <w:b/>
          <w:bCs/>
          <w:sz w:val="24"/>
          <w:szCs w:val="24"/>
        </w:rPr>
      </w:pPr>
      <w:r w:rsidRPr="00510EC2">
        <w:rPr>
          <w:rFonts w:ascii="Times New Roman" w:hAnsi="Times New Roman" w:cs="Times New Roman"/>
          <w:b/>
          <w:bCs/>
          <w:sz w:val="24"/>
          <w:szCs w:val="24"/>
        </w:rPr>
        <w:t>Second-Round Review</w:t>
      </w:r>
    </w:p>
    <w:p w14:paraId="03BC7B86" w14:textId="77777777" w:rsidR="00510EC2" w:rsidRDefault="00510EC2" w:rsidP="00510EC2">
      <w:pPr>
        <w:jc w:val="center"/>
        <w:rPr>
          <w:rFonts w:ascii="Times New Roman" w:hAnsi="Times New Roman" w:cs="Times New Roman"/>
          <w:b/>
          <w:bCs/>
          <w:sz w:val="24"/>
          <w:szCs w:val="24"/>
        </w:rPr>
      </w:pPr>
      <w:r w:rsidRPr="00510EC2">
        <w:rPr>
          <w:rFonts w:ascii="Times New Roman" w:hAnsi="Times New Roman" w:cs="Times New Roman"/>
          <w:b/>
          <w:bCs/>
          <w:sz w:val="24"/>
          <w:szCs w:val="24"/>
        </w:rPr>
        <w:t>Manuscript ID: 8872816</w:t>
      </w:r>
    </w:p>
    <w:p w14:paraId="5DB4C7B2" w14:textId="77777777" w:rsidR="00B1582D" w:rsidRPr="00B1582D" w:rsidRDefault="00B1582D" w:rsidP="00B158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82D">
        <w:rPr>
          <w:rFonts w:ascii="Times New Roman" w:eastAsia="Times New Roman" w:hAnsi="Times New Roman" w:cs="Times New Roman"/>
          <w:b/>
          <w:bCs/>
          <w:kern w:val="0"/>
          <w:sz w:val="27"/>
          <w:szCs w:val="27"/>
          <w14:ligatures w14:val="none"/>
        </w:rPr>
        <w:t>Methodology</w:t>
      </w:r>
    </w:p>
    <w:p w14:paraId="7B5DDC4A"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1. Data Ingestion, Provenance, and Preprocessing</w:t>
      </w:r>
    </w:p>
    <w:p w14:paraId="5AD900E9" w14:textId="77777777" w:rsidR="00B1582D" w:rsidRPr="00B1582D" w:rsidRDefault="00B1582D" w:rsidP="00B1582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The experimental pipeline begins by loading raw meteorological observation records from the Indian Weather Repository dataset. To ensure robust ingestion across varying CSV schema formats, an automated column resolution function maps raw column names to standardized target fields: near-surface dry-bulb temperature (°C), relative humidity (%), location name, region, and timestamp. A strict one-to-one mapping rule prevents duplicate key collision errors when candidate fields share similar names (e.g., distinguishing between local time and last updated timestamps).</w:t>
      </w:r>
    </w:p>
    <w:p w14:paraId="5204D890" w14:textId="77777777" w:rsidR="00B1582D" w:rsidRPr="00B1582D" w:rsidRDefault="00B1582D" w:rsidP="00B1582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Missing records in primary target parameters or spatial identifiers are identified and dropped. To maintain strict temporal order and prevent data leakage during subsequent feature extraction, the dataset is sorted chronologically per spatial city group.</w:t>
      </w:r>
    </w:p>
    <w:p w14:paraId="1EF4F810" w14:textId="77777777" w:rsidR="00B1582D" w:rsidRPr="00B1582D" w:rsidRDefault="00B1582D" w:rsidP="00B1582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To model diurnal (24-hour) and seasonal (12-month) periodicities without introducing artificial boundary discontinuities, cyclic temporal features are engineered using trigonometric transformations:</w:t>
      </w:r>
    </w:p>
    <w:p w14:paraId="36DD38EF" w14:textId="77777777" w:rsidR="00B1582D" w:rsidRPr="00B1582D" w:rsidRDefault="00B1582D" w:rsidP="00B1582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Hour Sine: sin(2 * pi * hour / 24)</w:t>
      </w:r>
    </w:p>
    <w:p w14:paraId="5FDDE85D" w14:textId="77777777" w:rsidR="00B1582D" w:rsidRPr="00B1582D" w:rsidRDefault="00B1582D" w:rsidP="00B1582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Hour Cosine: cos(2 * pi * hour / 24)</w:t>
      </w:r>
    </w:p>
    <w:p w14:paraId="5F2812D2" w14:textId="77777777" w:rsidR="00B1582D" w:rsidRPr="00B1582D" w:rsidRDefault="00B1582D" w:rsidP="00B1582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Month Sine: sin(2 * pi * month / 12)</w:t>
      </w:r>
    </w:p>
    <w:p w14:paraId="1F66F6BB" w14:textId="77777777" w:rsidR="00B1582D" w:rsidRPr="00B1582D" w:rsidRDefault="00B1582D" w:rsidP="00B1582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Month Cosine: cos(2 * pi * month / 12)</w:t>
      </w:r>
    </w:p>
    <w:p w14:paraId="4C1421C0" w14:textId="77777777" w:rsidR="00B1582D" w:rsidRPr="00B1582D" w:rsidRDefault="00B1582D" w:rsidP="00B1582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First-order temporal lag features (Temperature at t-1 and Relative Humidity at t-1) are constructed per city group to provide localized autoregressive context for short-term dependencies.</w:t>
      </w:r>
    </w:p>
    <w:p w14:paraId="3B5F96F8"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2. Exploratory Data Analysis (EDA) and Visualization Suite</w:t>
      </w:r>
    </w:p>
    <w:p w14:paraId="5D2F883A"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To analyze meteorological distributions, temporal dynamics, and spatial variations across the primary study cities (Delhi, Mumbai, Chennai, Kolkata, Bengaluru, Hyderabad, Ahmedabad, and Pune), the script generates a multi-figure visual suite:</w:t>
      </w:r>
    </w:p>
    <w:p w14:paraId="0389F4A3" w14:textId="77777777" w:rsidR="00B1582D" w:rsidRPr="00B1582D" w:rsidRDefault="00B1582D" w:rsidP="00B1582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Target Variable Density Distributions:</w:t>
      </w:r>
    </w:p>
    <w:p w14:paraId="5E7AC357" w14:textId="77777777" w:rsidR="00B1582D" w:rsidRPr="00B1582D" w:rsidRDefault="00B1582D" w:rsidP="00B1582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Dual-panel histogram and Kernel Density Estimation (KDE) plot displaying the global density distribution of near-surface temperature (°C) and relative humidity (%).</w:t>
      </w:r>
    </w:p>
    <w:p w14:paraId="26A4CE4D" w14:textId="77777777" w:rsidR="00B1582D" w:rsidRPr="00B1582D" w:rsidRDefault="00B1582D" w:rsidP="00B1582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Mean and median overlay reference lines to highlight central tendencies and skewness.</w:t>
      </w:r>
    </w:p>
    <w:p w14:paraId="1B8B36D1" w14:textId="77777777" w:rsidR="00B1582D" w:rsidRPr="00B1582D" w:rsidRDefault="00B1582D" w:rsidP="00B1582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City-Wise Distribution Variations:</w:t>
      </w:r>
    </w:p>
    <w:p w14:paraId="46C2B768" w14:textId="77777777" w:rsidR="00B1582D" w:rsidRPr="00B1582D" w:rsidRDefault="00B1582D" w:rsidP="00B1582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lastRenderedPageBreak/>
        <w:t>Stacked boxplots comparing target temperature and relative humidity distributions across all primary study cities to highlight microclimate variance and extreme outliers.</w:t>
      </w:r>
    </w:p>
    <w:p w14:paraId="3702F590" w14:textId="77777777" w:rsidR="00B1582D" w:rsidRPr="00B1582D" w:rsidRDefault="00B1582D" w:rsidP="00B1582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Diurnal Progression Profiles:</w:t>
      </w:r>
    </w:p>
    <w:p w14:paraId="0793548E" w14:textId="77777777" w:rsidR="00B1582D" w:rsidRPr="00B1582D" w:rsidRDefault="00B1582D" w:rsidP="00B1582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Dual 24-hour line plots mapping hourly mean progressions for temperature and relative humidity per city to illustrate regional diurnal heating and cooling cycles.</w:t>
      </w:r>
    </w:p>
    <w:p w14:paraId="3A1F8AC0" w14:textId="77777777" w:rsidR="00B1582D" w:rsidRPr="00B1582D" w:rsidRDefault="00B1582D" w:rsidP="00B1582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Meteorological Feature Correlation Heatmap:</w:t>
      </w:r>
    </w:p>
    <w:p w14:paraId="671AC64F" w14:textId="77777777" w:rsidR="00B1582D" w:rsidRPr="00B1582D" w:rsidRDefault="00B1582D" w:rsidP="00B1582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 square correlation matrix evaluating linear dependencies across target variables, lag features, and engineered cyclic time features.</w:t>
      </w:r>
    </w:p>
    <w:p w14:paraId="0936A762"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3. Validation Schemes</w:t>
      </w:r>
    </w:p>
    <w:p w14:paraId="10C0168C"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To evaluate predictive performance realistically without leaking future temporal information, three complementary validation protocols are integrated:</w:t>
      </w:r>
    </w:p>
    <w:p w14:paraId="342DB853" w14:textId="77777777" w:rsidR="00B1582D" w:rsidRPr="00B1582D" w:rsidRDefault="00B1582D" w:rsidP="00B1582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Expanding Walk-Forward Temporal Cross-Validation:</w:t>
      </w:r>
    </w:p>
    <w:p w14:paraId="59051C38" w14:textId="77777777" w:rsidR="00B1582D" w:rsidRPr="00B1582D" w:rsidRDefault="00B1582D" w:rsidP="00B1582D">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An expanding window scheme (</w:t>
      </w:r>
      <w:proofErr w:type="spellStart"/>
      <w:r w:rsidRPr="00B1582D">
        <w:rPr>
          <w:rFonts w:ascii="Times New Roman" w:eastAsia="Times New Roman" w:hAnsi="Times New Roman" w:cs="Times New Roman"/>
          <w:kern w:val="0"/>
          <w:sz w:val="24"/>
          <w:szCs w:val="24"/>
          <w14:ligatures w14:val="none"/>
        </w:rPr>
        <w:t>TimeSeriesSplit</w:t>
      </w:r>
      <w:proofErr w:type="spellEnd"/>
      <w:r w:rsidRPr="00B1582D">
        <w:rPr>
          <w:rFonts w:ascii="Times New Roman" w:eastAsia="Times New Roman" w:hAnsi="Times New Roman" w:cs="Times New Roman"/>
          <w:kern w:val="0"/>
          <w:sz w:val="24"/>
          <w:szCs w:val="24"/>
          <w14:ligatures w14:val="none"/>
        </w:rPr>
        <w:t xml:space="preserve"> with K = 5 folds) trains base models on historical sequences (indices 0 to t) and evaluates out-of-sample on future horizons (t+1 to </w:t>
      </w:r>
      <w:proofErr w:type="spellStart"/>
      <w:r w:rsidRPr="00B1582D">
        <w:rPr>
          <w:rFonts w:ascii="Times New Roman" w:eastAsia="Times New Roman" w:hAnsi="Times New Roman" w:cs="Times New Roman"/>
          <w:kern w:val="0"/>
          <w:sz w:val="24"/>
          <w:szCs w:val="24"/>
          <w14:ligatures w14:val="none"/>
        </w:rPr>
        <w:t>t+k</w:t>
      </w:r>
      <w:proofErr w:type="spellEnd"/>
      <w:r w:rsidRPr="00B1582D">
        <w:rPr>
          <w:rFonts w:ascii="Times New Roman" w:eastAsia="Times New Roman" w:hAnsi="Times New Roman" w:cs="Times New Roman"/>
          <w:kern w:val="0"/>
          <w:sz w:val="24"/>
          <w:szCs w:val="24"/>
          <w14:ligatures w14:val="none"/>
        </w:rPr>
        <w:t>).</w:t>
      </w:r>
    </w:p>
    <w:p w14:paraId="341888E8" w14:textId="77777777" w:rsidR="00B1582D" w:rsidRPr="00B1582D" w:rsidRDefault="00B1582D" w:rsidP="00B1582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Leave-One-City-Out (LOCO) Spatial Cross-Validation:</w:t>
      </w:r>
    </w:p>
    <w:p w14:paraId="2C48E9B9" w14:textId="77777777" w:rsidR="00B1582D" w:rsidRPr="00B1582D" w:rsidRDefault="00B1582D" w:rsidP="00B1582D">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Evaluates domain adaptation across unseen geographic locations. Explicit city identifiers are removed from the feature matrix and replaced with historical spatial target means computed strictly from training cities. A fallback to first-order persistence is triggered if target variance in a held-out test city drops below a minimal threshold (variance &lt; 0.001) to prevent zero-variance metric distortions.</w:t>
      </w:r>
    </w:p>
    <w:p w14:paraId="043B35F4" w14:textId="77777777" w:rsidR="00B1582D" w:rsidRPr="00B1582D" w:rsidRDefault="00B1582D" w:rsidP="00B1582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Multi-Step Forecast Horizon Degradation:</w:t>
      </w:r>
    </w:p>
    <w:p w14:paraId="6E9179A6" w14:textId="77777777" w:rsidR="00B1582D" w:rsidRPr="00B1582D" w:rsidRDefault="00B1582D" w:rsidP="00B1582D">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 xml:space="preserve">Autoregressive recursive multi-step forecasting across horizons h = 1, 6, 12, 24, and 48 hours. Predicted outputs at step </w:t>
      </w:r>
      <w:proofErr w:type="spellStart"/>
      <w:r w:rsidRPr="00B1582D">
        <w:rPr>
          <w:rFonts w:ascii="Times New Roman" w:eastAsia="Times New Roman" w:hAnsi="Times New Roman" w:cs="Times New Roman"/>
          <w:kern w:val="0"/>
          <w:sz w:val="24"/>
          <w:szCs w:val="24"/>
          <w14:ligatures w14:val="none"/>
        </w:rPr>
        <w:t>t+k</w:t>
      </w:r>
      <w:proofErr w:type="spellEnd"/>
      <w:r w:rsidRPr="00B1582D">
        <w:rPr>
          <w:rFonts w:ascii="Times New Roman" w:eastAsia="Times New Roman" w:hAnsi="Times New Roman" w:cs="Times New Roman"/>
          <w:kern w:val="0"/>
          <w:sz w:val="24"/>
          <w:szCs w:val="24"/>
          <w14:ligatures w14:val="none"/>
        </w:rPr>
        <w:t xml:space="preserve"> update the lag feature vector iteratively for step t+k+1.</w:t>
      </w:r>
    </w:p>
    <w:p w14:paraId="5DF4D55B"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4. Baseline and Benchmark Models</w:t>
      </w:r>
    </w:p>
    <w:p w14:paraId="14A9EE3C"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The proposed ensemble architecture is benchmarked against three baseline approaches:</w:t>
      </w:r>
    </w:p>
    <w:p w14:paraId="56253608" w14:textId="77777777" w:rsidR="00B1582D" w:rsidRPr="00B1582D" w:rsidRDefault="00B1582D" w:rsidP="00B1582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Persistence Baseline:</w:t>
      </w:r>
    </w:p>
    <w:p w14:paraId="6C96C09F" w14:textId="77777777" w:rsidR="00B1582D" w:rsidRPr="00B1582D" w:rsidRDefault="00B1582D" w:rsidP="00B1582D">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 parameter-free lag-1 naive forecast (</w:t>
      </w:r>
      <w:proofErr w:type="spellStart"/>
      <w:r w:rsidRPr="00B1582D">
        <w:rPr>
          <w:rFonts w:ascii="Times New Roman" w:eastAsia="Times New Roman" w:hAnsi="Times New Roman" w:cs="Times New Roman"/>
          <w:kern w:val="0"/>
          <w:sz w:val="24"/>
          <w:szCs w:val="24"/>
          <w14:ligatures w14:val="none"/>
        </w:rPr>
        <w:t>y_hat</w:t>
      </w:r>
      <w:proofErr w:type="spellEnd"/>
      <w:r w:rsidRPr="00B1582D">
        <w:rPr>
          <w:rFonts w:ascii="Times New Roman" w:eastAsia="Times New Roman" w:hAnsi="Times New Roman" w:cs="Times New Roman"/>
          <w:kern w:val="0"/>
          <w:sz w:val="24"/>
          <w:szCs w:val="24"/>
          <w14:ligatures w14:val="none"/>
        </w:rPr>
        <w:t xml:space="preserve">_{t+1} = </w:t>
      </w:r>
      <w:proofErr w:type="spellStart"/>
      <w:r w:rsidRPr="00B1582D">
        <w:rPr>
          <w:rFonts w:ascii="Times New Roman" w:eastAsia="Times New Roman" w:hAnsi="Times New Roman" w:cs="Times New Roman"/>
          <w:kern w:val="0"/>
          <w:sz w:val="24"/>
          <w:szCs w:val="24"/>
          <w14:ligatures w14:val="none"/>
        </w:rPr>
        <w:t>y_t</w:t>
      </w:r>
      <w:proofErr w:type="spellEnd"/>
      <w:r w:rsidRPr="00B1582D">
        <w:rPr>
          <w:rFonts w:ascii="Times New Roman" w:eastAsia="Times New Roman" w:hAnsi="Times New Roman" w:cs="Times New Roman"/>
          <w:kern w:val="0"/>
          <w:sz w:val="24"/>
          <w:szCs w:val="24"/>
          <w14:ligatures w14:val="none"/>
        </w:rPr>
        <w:t>) that establishes a lower bound for short-term temporal autocorrelation.</w:t>
      </w:r>
    </w:p>
    <w:p w14:paraId="6E688D4B" w14:textId="77777777" w:rsidR="00B1582D" w:rsidRPr="00B1582D" w:rsidRDefault="00B1582D" w:rsidP="00B1582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Rolling ARIMA:</w:t>
      </w:r>
    </w:p>
    <w:p w14:paraId="3C016810" w14:textId="77777777" w:rsidR="00B1582D" w:rsidRPr="00B1582D" w:rsidRDefault="00B1582D" w:rsidP="00B1582D">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An Autoregressive Integrated Moving Average (ARIMA 1,1,1) model fitted per meteorological series to capture univariate stationary autoregressive dynamics.</w:t>
      </w:r>
    </w:p>
    <w:p w14:paraId="1D02045B" w14:textId="77777777" w:rsidR="00B1582D" w:rsidRPr="00B1582D" w:rsidRDefault="00B1582D" w:rsidP="00B1582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Deep LSTM Sequence Architecture:</w:t>
      </w:r>
    </w:p>
    <w:p w14:paraId="716DE907" w14:textId="77777777" w:rsidR="00B1582D" w:rsidRPr="00B1582D" w:rsidRDefault="00B1582D" w:rsidP="00B1582D">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 multi-variable Long Short-Term Memory network trained on standardized historical lookback sequences (sequence length = 6 hours) using the Adam optimizer and Mean Squared Error (MSE) loss.</w:t>
      </w:r>
    </w:p>
    <w:p w14:paraId="2091A6CF"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lastRenderedPageBreak/>
        <w:t>5. Stacked Heterogeneous Ensemble Framework</w:t>
      </w:r>
    </w:p>
    <w:p w14:paraId="0EB91105"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The primary model uses a two-stage stacking regressor architecture (TimeSeriesStackingRegressor):</w:t>
      </w:r>
    </w:p>
    <w:p w14:paraId="6CCE9AAC" w14:textId="77777777" w:rsidR="00B1582D" w:rsidRPr="00B1582D" w:rsidRDefault="00B1582D" w:rsidP="00B1582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Level-0 Base Learners:</w:t>
      </w:r>
    </w:p>
    <w:p w14:paraId="4D10989E" w14:textId="77777777" w:rsidR="00B1582D" w:rsidRPr="00B1582D" w:rsidRDefault="00B1582D" w:rsidP="00B1582D">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XGBoost Regressor (Max depth = 5, learning rate = 0.05, estimators = 200)</w:t>
      </w:r>
    </w:p>
    <w:p w14:paraId="10BBC10A" w14:textId="77777777" w:rsidR="00B1582D" w:rsidRPr="00B1582D" w:rsidRDefault="00B1582D" w:rsidP="00B1582D">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LightGBM Regressor (Num leaves = 31, learning rate = 0.05, estimators = 200)</w:t>
      </w:r>
    </w:p>
    <w:p w14:paraId="0DE955BB" w14:textId="77777777" w:rsidR="00B1582D" w:rsidRPr="00B1582D" w:rsidRDefault="00B1582D" w:rsidP="00B1582D">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CatBoost Regressor (Tree depth = 6, learning rate = 0.05, iterations = 200)</w:t>
      </w:r>
    </w:p>
    <w:p w14:paraId="4B8AAA25" w14:textId="77777777" w:rsidR="00B1582D" w:rsidRPr="00B1582D" w:rsidRDefault="00B1582D" w:rsidP="00B1582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Level-1 Meta-Learner:</w:t>
      </w:r>
    </w:p>
    <w:p w14:paraId="21AE24A9" w14:textId="77777777" w:rsidR="00B1582D" w:rsidRPr="00B1582D" w:rsidRDefault="00B1582D" w:rsidP="00B1582D">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 xml:space="preserve">Out-Of-Fold (OOF) prediction matrices are generated via an internal 5-fold </w:t>
      </w:r>
      <w:proofErr w:type="spellStart"/>
      <w:r w:rsidRPr="00B1582D">
        <w:rPr>
          <w:rFonts w:ascii="Times New Roman" w:eastAsia="Times New Roman" w:hAnsi="Times New Roman" w:cs="Times New Roman"/>
          <w:kern w:val="0"/>
          <w:sz w:val="24"/>
          <w:szCs w:val="24"/>
          <w14:ligatures w14:val="none"/>
        </w:rPr>
        <w:t>TimeSeriesSplit</w:t>
      </w:r>
      <w:proofErr w:type="spellEnd"/>
      <w:r w:rsidRPr="00B1582D">
        <w:rPr>
          <w:rFonts w:ascii="Times New Roman" w:eastAsia="Times New Roman" w:hAnsi="Times New Roman" w:cs="Times New Roman"/>
          <w:kern w:val="0"/>
          <w:sz w:val="24"/>
          <w:szCs w:val="24"/>
          <w14:ligatures w14:val="none"/>
        </w:rPr>
        <w:t xml:space="preserve"> to prevent target leakage.</w:t>
      </w:r>
    </w:p>
    <w:p w14:paraId="30C12B5B" w14:textId="77777777" w:rsidR="00B1582D" w:rsidRPr="00B1582D" w:rsidRDefault="00B1582D" w:rsidP="00B1582D">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An L2-regularized Ridge Regression meta-learner fits the base prediction matrix to learn optimal multi-output blending weights.</w:t>
      </w:r>
    </w:p>
    <w:p w14:paraId="7DA9123A"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6. Model Performance Visualizations</w:t>
      </w:r>
    </w:p>
    <w:p w14:paraId="5A2D48E9"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After model execution, a second suite of comparative diagnostic plots is exported:</w:t>
      </w:r>
    </w:p>
    <w:p w14:paraId="1652E6A4" w14:textId="77777777" w:rsidR="00B1582D" w:rsidRPr="00B1582D" w:rsidRDefault="00B1582D" w:rsidP="00B1582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Unscaled Metric Comparison Bar Charts:</w:t>
      </w:r>
    </w:p>
    <w:p w14:paraId="0566ECCF" w14:textId="77777777" w:rsidR="00B1582D" w:rsidRPr="00B1582D" w:rsidRDefault="00B1582D" w:rsidP="00B1582D">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Side-by-side grouped bar plots comparing R² Score, Mean Absolute Error (MAE), and Root Mean Squared Error (RMSE) across all frameworks (Persistence, ARIMA, LSTM, and Stacked Ensemble) in physical units (°C and %).</w:t>
      </w:r>
    </w:p>
    <w:p w14:paraId="589782C3" w14:textId="77777777" w:rsidR="00B1582D" w:rsidRPr="00B1582D" w:rsidRDefault="00B1582D" w:rsidP="00B1582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Multi-Model Scatter Regression Diagnostics:</w:t>
      </w:r>
    </w:p>
    <w:p w14:paraId="47804A35" w14:textId="77777777" w:rsidR="00B1582D" w:rsidRPr="00B1582D" w:rsidRDefault="00B1582D" w:rsidP="00B1582D">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Scatter subplots mapping observed vs. predicted values for both temperature and relative humidity across all frameworks, overlaid with 1:1 identity reference lines and calculated R² metrics.</w:t>
      </w:r>
    </w:p>
    <w:p w14:paraId="1FABA527" w14:textId="77777777" w:rsidR="00B1582D" w:rsidRPr="00B1582D" w:rsidRDefault="00B1582D" w:rsidP="00B1582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Residual Diagnostics:</w:t>
      </w:r>
    </w:p>
    <w:p w14:paraId="16EB911A" w14:textId="77777777" w:rsidR="00B1582D" w:rsidRPr="00B1582D" w:rsidRDefault="00B1582D" w:rsidP="00B1582D">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Four-panel diagnostic layout for the top-performing model showing Residuals vs. Fitted Values, Normal Q-Q Plots, Error Density Histograms, and Residual Autocorrelation over the first 40 lags.</w:t>
      </w:r>
    </w:p>
    <w:p w14:paraId="662A544E" w14:textId="77777777" w:rsidR="00B1582D" w:rsidRPr="00B1582D" w:rsidRDefault="00B1582D" w:rsidP="00B1582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Multi-Step Forecast Horizon Degradation Plot:</w:t>
      </w:r>
    </w:p>
    <w:p w14:paraId="00F12794" w14:textId="77777777" w:rsidR="00B1582D" w:rsidRPr="00B1582D" w:rsidRDefault="00B1582D" w:rsidP="00B1582D">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Line plot illustrating Mean Absolute Error (MAE) performance decay across forecast horizons (1, 6, 12, 24, and 48 hours).</w:t>
      </w:r>
    </w:p>
    <w:p w14:paraId="3E881A2E" w14:textId="77777777" w:rsidR="00B1582D" w:rsidRPr="00B1582D" w:rsidRDefault="00B1582D" w:rsidP="00B1582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582D">
        <w:rPr>
          <w:rFonts w:ascii="Times New Roman" w:eastAsia="Times New Roman" w:hAnsi="Times New Roman" w:cs="Times New Roman"/>
          <w:b/>
          <w:bCs/>
          <w:kern w:val="0"/>
          <w:sz w:val="24"/>
          <w:szCs w:val="24"/>
          <w14:ligatures w14:val="none"/>
        </w:rPr>
        <w:t>7. Evaluation Metrics</w:t>
      </w:r>
    </w:p>
    <w:p w14:paraId="06612025" w14:textId="77777777" w:rsidR="00B1582D" w:rsidRPr="00B1582D" w:rsidRDefault="00B1582D" w:rsidP="00B158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All metrics are evaluated directly on unscaled physical units (°C for temperature and % for relative humidity):</w:t>
      </w:r>
    </w:p>
    <w:p w14:paraId="571AEAAE" w14:textId="77777777" w:rsidR="00B1582D" w:rsidRPr="00B1582D" w:rsidRDefault="00B1582D" w:rsidP="00B1582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Mean Absolute Error (MAE): Measures average absolute magnitude of error.</w:t>
      </w:r>
    </w:p>
    <w:p w14:paraId="3EA9FABD" w14:textId="77777777" w:rsidR="00B1582D" w:rsidRPr="00B1582D" w:rsidRDefault="00B1582D" w:rsidP="00B1582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Root Mean Squared Error (RMSE): Penalizes larger residual errors.</w:t>
      </w:r>
    </w:p>
    <w:p w14:paraId="1A050339" w14:textId="77777777" w:rsidR="00B1582D" w:rsidRPr="00B1582D" w:rsidRDefault="00B1582D" w:rsidP="00B1582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582D">
        <w:rPr>
          <w:rFonts w:ascii="Times New Roman" w:eastAsia="Times New Roman" w:hAnsi="Times New Roman" w:cs="Times New Roman"/>
          <w:kern w:val="0"/>
          <w:sz w:val="24"/>
          <w:szCs w:val="24"/>
          <w14:ligatures w14:val="none"/>
        </w:rPr>
        <w:t>Coefficient of Determination (R²): Quantifies proportion of variance explained.</w:t>
      </w:r>
    </w:p>
    <w:p w14:paraId="6A474C99" w14:textId="468519CB" w:rsidR="00B1582D" w:rsidRDefault="00B1582D" w:rsidP="00B1582D">
      <w:pPr>
        <w:tabs>
          <w:tab w:val="left" w:pos="420"/>
        </w:tabs>
        <w:rPr>
          <w:rFonts w:ascii="Times New Roman" w:hAnsi="Times New Roman" w:cs="Times New Roman"/>
          <w:b/>
          <w:bCs/>
          <w:sz w:val="24"/>
          <w:szCs w:val="24"/>
        </w:rPr>
      </w:pPr>
    </w:p>
    <w:p w14:paraId="14FB5B84" w14:textId="77777777" w:rsidR="00B1582D" w:rsidRDefault="00B1582D" w:rsidP="00510EC2">
      <w:pPr>
        <w:jc w:val="center"/>
        <w:rPr>
          <w:rFonts w:ascii="Times New Roman" w:hAnsi="Times New Roman" w:cs="Times New Roman"/>
          <w:b/>
          <w:bCs/>
          <w:sz w:val="24"/>
          <w:szCs w:val="24"/>
        </w:rPr>
      </w:pPr>
    </w:p>
    <w:p w14:paraId="37AFDB67" w14:textId="77777777" w:rsidR="00B1582D" w:rsidRDefault="00B1582D" w:rsidP="00510EC2">
      <w:pPr>
        <w:jc w:val="center"/>
        <w:rPr>
          <w:rFonts w:ascii="Times New Roman" w:hAnsi="Times New Roman" w:cs="Times New Roman"/>
          <w:b/>
          <w:bCs/>
          <w:sz w:val="24"/>
          <w:szCs w:val="24"/>
        </w:rPr>
      </w:pPr>
    </w:p>
    <w:p w14:paraId="2D4752B5" w14:textId="77777777" w:rsidR="00B1582D" w:rsidRDefault="00B1582D" w:rsidP="00510EC2">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6"/>
        <w:gridCol w:w="2990"/>
        <w:gridCol w:w="1853"/>
        <w:gridCol w:w="4051"/>
      </w:tblGrid>
      <w:tr w:rsidR="00B1582D" w:rsidRPr="00B1582D" w14:paraId="4715AD87" w14:textId="77777777" w:rsidTr="00B1582D">
        <w:tc>
          <w:tcPr>
            <w:tcW w:w="0" w:type="auto"/>
            <w:hideMark/>
          </w:tcPr>
          <w:p w14:paraId="71584742"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w:t>
            </w:r>
          </w:p>
        </w:tc>
        <w:tc>
          <w:tcPr>
            <w:tcW w:w="0" w:type="auto"/>
            <w:hideMark/>
          </w:tcPr>
          <w:p w14:paraId="62B2B15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Reviewer Comment Summary</w:t>
            </w:r>
          </w:p>
        </w:tc>
        <w:tc>
          <w:tcPr>
            <w:tcW w:w="0" w:type="auto"/>
            <w:hideMark/>
          </w:tcPr>
          <w:p w14:paraId="7C4AA5A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Technical Area Addressed</w:t>
            </w:r>
          </w:p>
        </w:tc>
        <w:tc>
          <w:tcPr>
            <w:tcW w:w="0" w:type="auto"/>
            <w:hideMark/>
          </w:tcPr>
          <w:p w14:paraId="56C10CD2"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How Addressed in Script &amp; Methodology</w:t>
            </w:r>
          </w:p>
        </w:tc>
      </w:tr>
      <w:tr w:rsidR="00B1582D" w:rsidRPr="00B1582D" w14:paraId="108A4E4F" w14:textId="77777777" w:rsidTr="00B1582D">
        <w:tc>
          <w:tcPr>
            <w:tcW w:w="0" w:type="auto"/>
            <w:hideMark/>
          </w:tcPr>
          <w:p w14:paraId="25AEFAB2"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1</w:t>
            </w:r>
          </w:p>
        </w:tc>
        <w:tc>
          <w:tcPr>
            <w:tcW w:w="0" w:type="auto"/>
            <w:hideMark/>
          </w:tcPr>
          <w:p w14:paraId="44D452A9"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Temporal Cross-Validation:</w:t>
            </w:r>
            <w:r w:rsidRPr="00B1582D">
              <w:rPr>
                <w:rFonts w:ascii="Times New Roman" w:eastAsia="Times New Roman" w:hAnsi="Times New Roman" w:cs="Times New Roman"/>
                <w:color w:val="1F1F1F"/>
                <w:kern w:val="0"/>
                <w:sz w:val="24"/>
                <w:szCs w:val="24"/>
                <w:bdr w:val="none" w:sz="0" w:space="0" w:color="auto" w:frame="1"/>
                <w14:ligatures w14:val="none"/>
              </w:rPr>
              <w:t xml:space="preserve"> Avoid random train-test splits to prevent temporal leakage.</w:t>
            </w:r>
          </w:p>
        </w:tc>
        <w:tc>
          <w:tcPr>
            <w:tcW w:w="0" w:type="auto"/>
            <w:hideMark/>
          </w:tcPr>
          <w:p w14:paraId="2073E8A0"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Validation Protocol</w:t>
            </w:r>
          </w:p>
        </w:tc>
        <w:tc>
          <w:tcPr>
            <w:tcW w:w="0" w:type="auto"/>
            <w:hideMark/>
          </w:tcPr>
          <w:p w14:paraId="19B003B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Implemented expanding window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TimeSeriesSplit</w:t>
            </w:r>
            <w:proofErr w:type="spellEnd"/>
            <w:r w:rsidRPr="00B1582D">
              <w:rPr>
                <w:rFonts w:ascii="Times New Roman" w:eastAsia="Times New Roman" w:hAnsi="Times New Roman" w:cs="Times New Roman"/>
                <w:color w:val="1F1F1F"/>
                <w:kern w:val="0"/>
                <w:sz w:val="24"/>
                <w:szCs w:val="24"/>
                <w:bdr w:val="none" w:sz="0" w:space="0" w:color="auto" w:frame="1"/>
                <w14:ligatures w14:val="none"/>
              </w:rPr>
              <w:t xml:space="preserve"> (K=5) to maintain sequential time ordering.</w:t>
            </w:r>
          </w:p>
        </w:tc>
      </w:tr>
      <w:tr w:rsidR="00B1582D" w:rsidRPr="00B1582D" w14:paraId="59CE4152" w14:textId="77777777" w:rsidTr="00B1582D">
        <w:tc>
          <w:tcPr>
            <w:tcW w:w="0" w:type="auto"/>
            <w:hideMark/>
          </w:tcPr>
          <w:p w14:paraId="24EAD83C"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2</w:t>
            </w:r>
          </w:p>
        </w:tc>
        <w:tc>
          <w:tcPr>
            <w:tcW w:w="0" w:type="auto"/>
            <w:hideMark/>
          </w:tcPr>
          <w:p w14:paraId="60763DB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Spatial LOCO Evaluation:</w:t>
            </w:r>
            <w:r w:rsidRPr="00B1582D">
              <w:rPr>
                <w:rFonts w:ascii="Times New Roman" w:eastAsia="Times New Roman" w:hAnsi="Times New Roman" w:cs="Times New Roman"/>
                <w:color w:val="1F1F1F"/>
                <w:kern w:val="0"/>
                <w:sz w:val="24"/>
                <w:szCs w:val="24"/>
                <w:bdr w:val="none" w:sz="0" w:space="0" w:color="auto" w:frame="1"/>
                <w14:ligatures w14:val="none"/>
              </w:rPr>
              <w:t xml:space="preserve"> Test spatial domain adaptation across unseen regions.</w:t>
            </w:r>
          </w:p>
        </w:tc>
        <w:tc>
          <w:tcPr>
            <w:tcW w:w="0" w:type="auto"/>
            <w:hideMark/>
          </w:tcPr>
          <w:p w14:paraId="332AF0CC"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Spatial Generalization</w:t>
            </w:r>
          </w:p>
        </w:tc>
        <w:tc>
          <w:tcPr>
            <w:tcW w:w="0" w:type="auto"/>
            <w:hideMark/>
          </w:tcPr>
          <w:p w14:paraId="11648EFD"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Integrated Leave-One-City-Out (LOCO) split logic with persistence fallback for low-variance test locations.</w:t>
            </w:r>
          </w:p>
        </w:tc>
      </w:tr>
      <w:tr w:rsidR="00B1582D" w:rsidRPr="00B1582D" w14:paraId="199A9800" w14:textId="77777777" w:rsidTr="00B1582D">
        <w:tc>
          <w:tcPr>
            <w:tcW w:w="0" w:type="auto"/>
            <w:hideMark/>
          </w:tcPr>
          <w:p w14:paraId="58ACD695"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3</w:t>
            </w:r>
          </w:p>
        </w:tc>
        <w:tc>
          <w:tcPr>
            <w:tcW w:w="0" w:type="auto"/>
            <w:hideMark/>
          </w:tcPr>
          <w:p w14:paraId="79B0EC44"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Persistence Baseline:</w:t>
            </w:r>
            <w:r w:rsidRPr="00B1582D">
              <w:rPr>
                <w:rFonts w:ascii="Times New Roman" w:eastAsia="Times New Roman" w:hAnsi="Times New Roman" w:cs="Times New Roman"/>
                <w:color w:val="1F1F1F"/>
                <w:kern w:val="0"/>
                <w:sz w:val="24"/>
                <w:szCs w:val="24"/>
                <w:bdr w:val="none" w:sz="0" w:space="0" w:color="auto" w:frame="1"/>
                <w14:ligatures w14:val="none"/>
              </w:rPr>
              <w:t xml:space="preserve"> Benchmark predictions against a naive lag-1 persistence model.</w:t>
            </w:r>
          </w:p>
        </w:tc>
        <w:tc>
          <w:tcPr>
            <w:tcW w:w="0" w:type="auto"/>
            <w:hideMark/>
          </w:tcPr>
          <w:p w14:paraId="1364DA40"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Baseline Benchmarking</w:t>
            </w:r>
          </w:p>
        </w:tc>
        <w:tc>
          <w:tcPr>
            <w:tcW w:w="0" w:type="auto"/>
            <w:hideMark/>
          </w:tcPr>
          <w:p w14:paraId="1F15924F"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Added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compute_persistence</w:t>
            </w:r>
            <w:proofErr w:type="spellEnd"/>
            <w:r w:rsidRPr="00B1582D">
              <w:rPr>
                <w:rFonts w:ascii="Times New Roman" w:eastAsia="Times New Roman" w:hAnsi="Times New Roman" w:cs="Times New Roman"/>
                <w:color w:val="1F1F1F"/>
                <w:kern w:val="0"/>
                <w:sz w:val="18"/>
                <w:szCs w:val="18"/>
                <w:bdr w:val="none" w:sz="0" w:space="0" w:color="auto" w:frame="1"/>
                <w14:ligatures w14:val="none"/>
              </w:rPr>
              <w:t>()</w:t>
            </w:r>
            <w:r w:rsidRPr="00B1582D">
              <w:rPr>
                <w:rFonts w:ascii="Times New Roman" w:eastAsia="Times New Roman" w:hAnsi="Times New Roman" w:cs="Times New Roman"/>
                <w:color w:val="1F1F1F"/>
                <w:kern w:val="0"/>
                <w:sz w:val="24"/>
                <w:szCs w:val="24"/>
                <w:bdr w:val="none" w:sz="0" w:space="0" w:color="auto" w:frame="1"/>
                <w14:ligatures w14:val="none"/>
              </w:rPr>
              <w:t xml:space="preserve"> evaluating </w:t>
            </w:r>
            <w:proofErr w:type="spellStart"/>
            <w:r w:rsidRPr="00B1582D">
              <w:rPr>
                <w:rFonts w:ascii="Times New Roman" w:eastAsia="Times New Roman" w:hAnsi="Times New Roman" w:cs="Times New Roman"/>
                <w:color w:val="1F1F1F"/>
                <w:kern w:val="0"/>
                <w:sz w:val="24"/>
                <w:szCs w:val="24"/>
                <w:bdr w:val="none" w:sz="0" w:space="0" w:color="auto" w:frame="1"/>
                <w14:ligatures w14:val="none"/>
              </w:rPr>
              <w:t>y_hat</w:t>
            </w:r>
            <w:proofErr w:type="spellEnd"/>
            <w:r w:rsidRPr="00B1582D">
              <w:rPr>
                <w:rFonts w:ascii="Times New Roman" w:eastAsia="Times New Roman" w:hAnsi="Times New Roman" w:cs="Times New Roman"/>
                <w:color w:val="1F1F1F"/>
                <w:kern w:val="0"/>
                <w:sz w:val="24"/>
                <w:szCs w:val="24"/>
                <w:bdr w:val="none" w:sz="0" w:space="0" w:color="auto" w:frame="1"/>
                <w14:ligatures w14:val="none"/>
              </w:rPr>
              <w:t xml:space="preserve">_{t+1} = </w:t>
            </w:r>
            <w:proofErr w:type="spellStart"/>
            <w:r w:rsidRPr="00B1582D">
              <w:rPr>
                <w:rFonts w:ascii="Times New Roman" w:eastAsia="Times New Roman" w:hAnsi="Times New Roman" w:cs="Times New Roman"/>
                <w:color w:val="1F1F1F"/>
                <w:kern w:val="0"/>
                <w:sz w:val="24"/>
                <w:szCs w:val="24"/>
                <w:bdr w:val="none" w:sz="0" w:space="0" w:color="auto" w:frame="1"/>
                <w14:ligatures w14:val="none"/>
              </w:rPr>
              <w:t>y_t</w:t>
            </w:r>
            <w:proofErr w:type="spellEnd"/>
            <w:r w:rsidRPr="00B1582D">
              <w:rPr>
                <w:rFonts w:ascii="Times New Roman" w:eastAsia="Times New Roman" w:hAnsi="Times New Roman" w:cs="Times New Roman"/>
                <w:color w:val="1F1F1F"/>
                <w:kern w:val="0"/>
                <w:sz w:val="24"/>
                <w:szCs w:val="24"/>
                <w:bdr w:val="none" w:sz="0" w:space="0" w:color="auto" w:frame="1"/>
                <w14:ligatures w14:val="none"/>
              </w:rPr>
              <w:t xml:space="preserve"> directly on test splits.</w:t>
            </w:r>
          </w:p>
        </w:tc>
      </w:tr>
      <w:tr w:rsidR="00B1582D" w:rsidRPr="00B1582D" w14:paraId="264062D7" w14:textId="77777777" w:rsidTr="00B1582D">
        <w:tc>
          <w:tcPr>
            <w:tcW w:w="0" w:type="auto"/>
            <w:hideMark/>
          </w:tcPr>
          <w:p w14:paraId="5AC5ED6C"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4</w:t>
            </w:r>
          </w:p>
        </w:tc>
        <w:tc>
          <w:tcPr>
            <w:tcW w:w="0" w:type="auto"/>
            <w:hideMark/>
          </w:tcPr>
          <w:p w14:paraId="763235A0"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No Stacking Data Leakage:</w:t>
            </w:r>
            <w:r w:rsidRPr="00B1582D">
              <w:rPr>
                <w:rFonts w:ascii="Times New Roman" w:eastAsia="Times New Roman" w:hAnsi="Times New Roman" w:cs="Times New Roman"/>
                <w:color w:val="1F1F1F"/>
                <w:kern w:val="0"/>
                <w:sz w:val="24"/>
                <w:szCs w:val="24"/>
                <w:bdr w:val="none" w:sz="0" w:space="0" w:color="auto" w:frame="1"/>
                <w14:ligatures w14:val="none"/>
              </w:rPr>
              <w:t xml:space="preserve"> Meta-learner must not see future target values.</w:t>
            </w:r>
          </w:p>
        </w:tc>
        <w:tc>
          <w:tcPr>
            <w:tcW w:w="0" w:type="auto"/>
            <w:hideMark/>
          </w:tcPr>
          <w:p w14:paraId="7F4042D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Ensemble Architecture</w:t>
            </w:r>
          </w:p>
        </w:tc>
        <w:tc>
          <w:tcPr>
            <w:tcW w:w="0" w:type="auto"/>
            <w:hideMark/>
          </w:tcPr>
          <w:p w14:paraId="5F504A54"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Built custom </w:t>
            </w:r>
            <w:r w:rsidRPr="00B1582D">
              <w:rPr>
                <w:rFonts w:ascii="Times New Roman" w:eastAsia="Times New Roman" w:hAnsi="Times New Roman" w:cs="Times New Roman"/>
                <w:color w:val="1F1F1F"/>
                <w:kern w:val="0"/>
                <w:sz w:val="18"/>
                <w:szCs w:val="18"/>
                <w:bdr w:val="none" w:sz="0" w:space="0" w:color="auto" w:frame="1"/>
                <w14:ligatures w14:val="none"/>
              </w:rPr>
              <w:t>TimeSeriesStackingRegressor</w:t>
            </w:r>
            <w:r w:rsidRPr="00B1582D">
              <w:rPr>
                <w:rFonts w:ascii="Times New Roman" w:eastAsia="Times New Roman" w:hAnsi="Times New Roman" w:cs="Times New Roman"/>
                <w:color w:val="1F1F1F"/>
                <w:kern w:val="0"/>
                <w:sz w:val="24"/>
                <w:szCs w:val="24"/>
                <w:bdr w:val="none" w:sz="0" w:space="0" w:color="auto" w:frame="1"/>
                <w14:ligatures w14:val="none"/>
              </w:rPr>
              <w:t xml:space="preserve"> generating Out-Of-Fold predictions via internal temporal cross-validation.</w:t>
            </w:r>
          </w:p>
        </w:tc>
      </w:tr>
      <w:tr w:rsidR="00B1582D" w:rsidRPr="00B1582D" w14:paraId="501E86AB" w14:textId="77777777" w:rsidTr="00B1582D">
        <w:tc>
          <w:tcPr>
            <w:tcW w:w="0" w:type="auto"/>
            <w:hideMark/>
          </w:tcPr>
          <w:p w14:paraId="0F1CA248"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5</w:t>
            </w:r>
          </w:p>
        </w:tc>
        <w:tc>
          <w:tcPr>
            <w:tcW w:w="0" w:type="auto"/>
            <w:hideMark/>
          </w:tcPr>
          <w:p w14:paraId="588A6545"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Metric Safeguards:</w:t>
            </w:r>
            <w:r w:rsidRPr="00B1582D">
              <w:rPr>
                <w:rFonts w:ascii="Times New Roman" w:eastAsia="Times New Roman" w:hAnsi="Times New Roman" w:cs="Times New Roman"/>
                <w:color w:val="1F1F1F"/>
                <w:kern w:val="0"/>
                <w:sz w:val="24"/>
                <w:szCs w:val="24"/>
                <w:bdr w:val="none" w:sz="0" w:space="0" w:color="auto" w:frame="1"/>
                <w14:ligatures w14:val="none"/>
              </w:rPr>
              <w:t xml:space="preserve"> Prevent zero-variance target explosion in R² calculations.</w:t>
            </w:r>
          </w:p>
        </w:tc>
        <w:tc>
          <w:tcPr>
            <w:tcW w:w="0" w:type="auto"/>
            <w:hideMark/>
          </w:tcPr>
          <w:p w14:paraId="505BDBFC"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Metric Evaluation</w:t>
            </w:r>
          </w:p>
        </w:tc>
        <w:tc>
          <w:tcPr>
            <w:tcW w:w="0" w:type="auto"/>
            <w:hideMark/>
          </w:tcPr>
          <w:p w14:paraId="6F133D2B"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Integrated array length dynamic slicing and variance checks before computing R² scores.</w:t>
            </w:r>
          </w:p>
        </w:tc>
      </w:tr>
      <w:tr w:rsidR="00B1582D" w:rsidRPr="00B1582D" w14:paraId="4B9B9F40" w14:textId="77777777" w:rsidTr="00B1582D">
        <w:tc>
          <w:tcPr>
            <w:tcW w:w="0" w:type="auto"/>
            <w:hideMark/>
          </w:tcPr>
          <w:p w14:paraId="3E212543"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6</w:t>
            </w:r>
          </w:p>
        </w:tc>
        <w:tc>
          <w:tcPr>
            <w:tcW w:w="0" w:type="auto"/>
            <w:hideMark/>
          </w:tcPr>
          <w:p w14:paraId="189F5EB3"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Fair Model Comparisons:</w:t>
            </w:r>
            <w:r w:rsidRPr="00B1582D">
              <w:rPr>
                <w:rFonts w:ascii="Times New Roman" w:eastAsia="Times New Roman" w:hAnsi="Times New Roman" w:cs="Times New Roman"/>
                <w:color w:val="1F1F1F"/>
                <w:kern w:val="0"/>
                <w:sz w:val="24"/>
                <w:szCs w:val="24"/>
                <w:bdr w:val="none" w:sz="0" w:space="0" w:color="auto" w:frame="1"/>
                <w14:ligatures w14:val="none"/>
              </w:rPr>
              <w:t xml:space="preserve"> Fully execute ARIMA and LSTM alongside the ensemble.</w:t>
            </w:r>
          </w:p>
        </w:tc>
        <w:tc>
          <w:tcPr>
            <w:tcW w:w="0" w:type="auto"/>
            <w:hideMark/>
          </w:tcPr>
          <w:p w14:paraId="3500A6F6"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Comparative Analysis</w:t>
            </w:r>
          </w:p>
        </w:tc>
        <w:tc>
          <w:tcPr>
            <w:tcW w:w="0" w:type="auto"/>
            <w:hideMark/>
          </w:tcPr>
          <w:p w14:paraId="7511EC1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Added dynamic training fallback methods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compute_arima</w:t>
            </w:r>
            <w:proofErr w:type="spellEnd"/>
            <w:r w:rsidRPr="00B1582D">
              <w:rPr>
                <w:rFonts w:ascii="Times New Roman" w:eastAsia="Times New Roman" w:hAnsi="Times New Roman" w:cs="Times New Roman"/>
                <w:color w:val="1F1F1F"/>
                <w:kern w:val="0"/>
                <w:sz w:val="18"/>
                <w:szCs w:val="18"/>
                <w:bdr w:val="none" w:sz="0" w:space="0" w:color="auto" w:frame="1"/>
                <w14:ligatures w14:val="none"/>
              </w:rPr>
              <w:t>()</w:t>
            </w:r>
            <w:r w:rsidRPr="00B1582D">
              <w:rPr>
                <w:rFonts w:ascii="Times New Roman" w:eastAsia="Times New Roman" w:hAnsi="Times New Roman" w:cs="Times New Roman"/>
                <w:color w:val="1F1F1F"/>
                <w:kern w:val="0"/>
                <w:sz w:val="24"/>
                <w:szCs w:val="24"/>
                <w:bdr w:val="none" w:sz="0" w:space="0" w:color="auto" w:frame="1"/>
                <w14:ligatures w14:val="none"/>
              </w:rPr>
              <w:t xml:space="preserve"> and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compute_lstm</w:t>
            </w:r>
            <w:proofErr w:type="spellEnd"/>
            <w:r w:rsidRPr="00B1582D">
              <w:rPr>
                <w:rFonts w:ascii="Times New Roman" w:eastAsia="Times New Roman" w:hAnsi="Times New Roman" w:cs="Times New Roman"/>
                <w:color w:val="1F1F1F"/>
                <w:kern w:val="0"/>
                <w:sz w:val="18"/>
                <w:szCs w:val="18"/>
                <w:bdr w:val="none" w:sz="0" w:space="0" w:color="auto" w:frame="1"/>
                <w14:ligatures w14:val="none"/>
              </w:rPr>
              <w:t>()</w:t>
            </w:r>
            <w:r w:rsidRPr="00B1582D">
              <w:rPr>
                <w:rFonts w:ascii="Times New Roman" w:eastAsia="Times New Roman" w:hAnsi="Times New Roman" w:cs="Times New Roman"/>
                <w:color w:val="1F1F1F"/>
                <w:kern w:val="0"/>
                <w:sz w:val="24"/>
                <w:szCs w:val="24"/>
                <w:bdr w:val="none" w:sz="0" w:space="0" w:color="auto" w:frame="1"/>
                <w14:ligatures w14:val="none"/>
              </w:rPr>
              <w:t>) ensuring all 4 frameworks are plotted.</w:t>
            </w:r>
          </w:p>
        </w:tc>
      </w:tr>
      <w:tr w:rsidR="00B1582D" w:rsidRPr="00B1582D" w14:paraId="25D2FE0D" w14:textId="77777777" w:rsidTr="00B1582D">
        <w:tc>
          <w:tcPr>
            <w:tcW w:w="0" w:type="auto"/>
            <w:hideMark/>
          </w:tcPr>
          <w:p w14:paraId="2C39333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7</w:t>
            </w:r>
          </w:p>
        </w:tc>
        <w:tc>
          <w:tcPr>
            <w:tcW w:w="0" w:type="auto"/>
            <w:hideMark/>
          </w:tcPr>
          <w:p w14:paraId="296DA995"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Unscaled Metric Output:</w:t>
            </w:r>
            <w:r w:rsidRPr="00B1582D">
              <w:rPr>
                <w:rFonts w:ascii="Times New Roman" w:eastAsia="Times New Roman" w:hAnsi="Times New Roman" w:cs="Times New Roman"/>
                <w:color w:val="1F1F1F"/>
                <w:kern w:val="0"/>
                <w:sz w:val="24"/>
                <w:szCs w:val="24"/>
                <w:bdr w:val="none" w:sz="0" w:space="0" w:color="auto" w:frame="1"/>
                <w14:ligatures w14:val="none"/>
              </w:rPr>
              <w:t xml:space="preserve"> Report errors in physical units (°C and %) rather than scaled inputs.</w:t>
            </w:r>
          </w:p>
        </w:tc>
        <w:tc>
          <w:tcPr>
            <w:tcW w:w="0" w:type="auto"/>
            <w:hideMark/>
          </w:tcPr>
          <w:p w14:paraId="6F0F773E"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Model Interpretation</w:t>
            </w:r>
          </w:p>
        </w:tc>
        <w:tc>
          <w:tcPr>
            <w:tcW w:w="0" w:type="auto"/>
            <w:hideMark/>
          </w:tcPr>
          <w:p w14:paraId="3F5E759E"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Evaluated MAE, RMSE, and R² directly on unscaled target arrays.</w:t>
            </w:r>
          </w:p>
        </w:tc>
      </w:tr>
      <w:tr w:rsidR="00B1582D" w:rsidRPr="00B1582D" w14:paraId="7BE9D633" w14:textId="77777777" w:rsidTr="00B1582D">
        <w:tc>
          <w:tcPr>
            <w:tcW w:w="0" w:type="auto"/>
            <w:hideMark/>
          </w:tcPr>
          <w:p w14:paraId="2A68EF6C"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8</w:t>
            </w:r>
          </w:p>
        </w:tc>
        <w:tc>
          <w:tcPr>
            <w:tcW w:w="0" w:type="auto"/>
            <w:hideMark/>
          </w:tcPr>
          <w:p w14:paraId="16B5CCA4"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Residual Diagnostics:</w:t>
            </w:r>
            <w:r w:rsidRPr="00B1582D">
              <w:rPr>
                <w:rFonts w:ascii="Times New Roman" w:eastAsia="Times New Roman" w:hAnsi="Times New Roman" w:cs="Times New Roman"/>
                <w:color w:val="1F1F1F"/>
                <w:kern w:val="0"/>
                <w:sz w:val="24"/>
                <w:szCs w:val="24"/>
                <w:bdr w:val="none" w:sz="0" w:space="0" w:color="auto" w:frame="1"/>
                <w14:ligatures w14:val="none"/>
              </w:rPr>
              <w:t xml:space="preserve"> Evaluate residual distributions for systematic bias.</w:t>
            </w:r>
          </w:p>
        </w:tc>
        <w:tc>
          <w:tcPr>
            <w:tcW w:w="0" w:type="auto"/>
            <w:hideMark/>
          </w:tcPr>
          <w:p w14:paraId="57787137"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Error Analysis</w:t>
            </w:r>
          </w:p>
        </w:tc>
        <w:tc>
          <w:tcPr>
            <w:tcW w:w="0" w:type="auto"/>
            <w:hideMark/>
          </w:tcPr>
          <w:p w14:paraId="429C295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Built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plot_residual_diagnostics</w:t>
            </w:r>
            <w:proofErr w:type="spellEnd"/>
            <w:r w:rsidRPr="00B1582D">
              <w:rPr>
                <w:rFonts w:ascii="Times New Roman" w:eastAsia="Times New Roman" w:hAnsi="Times New Roman" w:cs="Times New Roman"/>
                <w:color w:val="1F1F1F"/>
                <w:kern w:val="0"/>
                <w:sz w:val="18"/>
                <w:szCs w:val="18"/>
                <w:bdr w:val="none" w:sz="0" w:space="0" w:color="auto" w:frame="1"/>
                <w14:ligatures w14:val="none"/>
              </w:rPr>
              <w:t>()</w:t>
            </w:r>
            <w:r w:rsidRPr="00B1582D">
              <w:rPr>
                <w:rFonts w:ascii="Times New Roman" w:eastAsia="Times New Roman" w:hAnsi="Times New Roman" w:cs="Times New Roman"/>
                <w:color w:val="1F1F1F"/>
                <w:kern w:val="0"/>
                <w:sz w:val="24"/>
                <w:szCs w:val="24"/>
                <w:bdr w:val="none" w:sz="0" w:space="0" w:color="auto" w:frame="1"/>
                <w14:ligatures w14:val="none"/>
              </w:rPr>
              <w:t xml:space="preserve"> producing fitted vs. residual plots, Q-Q plots, error density histograms, and lag autocorrelations.</w:t>
            </w:r>
          </w:p>
        </w:tc>
      </w:tr>
      <w:tr w:rsidR="00B1582D" w:rsidRPr="00B1582D" w14:paraId="60409A39" w14:textId="77777777" w:rsidTr="00B1582D">
        <w:tc>
          <w:tcPr>
            <w:tcW w:w="0" w:type="auto"/>
            <w:hideMark/>
          </w:tcPr>
          <w:p w14:paraId="54CB5132"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9</w:t>
            </w:r>
          </w:p>
        </w:tc>
        <w:tc>
          <w:tcPr>
            <w:tcW w:w="0" w:type="auto"/>
            <w:hideMark/>
          </w:tcPr>
          <w:p w14:paraId="16F6CFF2"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Data Ingestion Integrity:</w:t>
            </w:r>
            <w:r w:rsidRPr="00B1582D">
              <w:rPr>
                <w:rFonts w:ascii="Times New Roman" w:eastAsia="Times New Roman" w:hAnsi="Times New Roman" w:cs="Times New Roman"/>
                <w:color w:val="1F1F1F"/>
                <w:kern w:val="0"/>
                <w:sz w:val="24"/>
                <w:szCs w:val="24"/>
                <w:bdr w:val="none" w:sz="0" w:space="0" w:color="auto" w:frame="1"/>
                <w14:ligatures w14:val="none"/>
              </w:rPr>
              <w:t xml:space="preserve"> Prevent key collision errors during CSV loading.</w:t>
            </w:r>
          </w:p>
        </w:tc>
        <w:tc>
          <w:tcPr>
            <w:tcW w:w="0" w:type="auto"/>
            <w:hideMark/>
          </w:tcPr>
          <w:p w14:paraId="15943628"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Preprocessing</w:t>
            </w:r>
          </w:p>
        </w:tc>
        <w:tc>
          <w:tcPr>
            <w:tcW w:w="0" w:type="auto"/>
            <w:hideMark/>
          </w:tcPr>
          <w:p w14:paraId="71EE5BB1"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Developed </w:t>
            </w:r>
            <w:proofErr w:type="spellStart"/>
            <w:r w:rsidRPr="00B1582D">
              <w:rPr>
                <w:rFonts w:ascii="Times New Roman" w:eastAsia="Times New Roman" w:hAnsi="Times New Roman" w:cs="Times New Roman"/>
                <w:color w:val="1F1F1F"/>
                <w:kern w:val="0"/>
                <w:sz w:val="18"/>
                <w:szCs w:val="18"/>
                <w:bdr w:val="none" w:sz="0" w:space="0" w:color="auto" w:frame="1"/>
                <w14:ligatures w14:val="none"/>
              </w:rPr>
              <w:t>resolve_columns</w:t>
            </w:r>
            <w:proofErr w:type="spellEnd"/>
            <w:r w:rsidRPr="00B1582D">
              <w:rPr>
                <w:rFonts w:ascii="Times New Roman" w:eastAsia="Times New Roman" w:hAnsi="Times New Roman" w:cs="Times New Roman"/>
                <w:color w:val="1F1F1F"/>
                <w:kern w:val="0"/>
                <w:sz w:val="18"/>
                <w:szCs w:val="18"/>
                <w:bdr w:val="none" w:sz="0" w:space="0" w:color="auto" w:frame="1"/>
                <w14:ligatures w14:val="none"/>
              </w:rPr>
              <w:t>()</w:t>
            </w:r>
            <w:r w:rsidRPr="00B1582D">
              <w:rPr>
                <w:rFonts w:ascii="Times New Roman" w:eastAsia="Times New Roman" w:hAnsi="Times New Roman" w:cs="Times New Roman"/>
                <w:color w:val="1F1F1F"/>
                <w:kern w:val="0"/>
                <w:sz w:val="24"/>
                <w:szCs w:val="24"/>
                <w:bdr w:val="none" w:sz="0" w:space="0" w:color="auto" w:frame="1"/>
                <w14:ligatures w14:val="none"/>
              </w:rPr>
              <w:t xml:space="preserve"> using 1-to-1 matching logic to eliminate duplicate field mapping collisions.</w:t>
            </w:r>
          </w:p>
        </w:tc>
      </w:tr>
      <w:tr w:rsidR="00B1582D" w:rsidRPr="00B1582D" w14:paraId="240B3F47" w14:textId="77777777" w:rsidTr="00B1582D">
        <w:tc>
          <w:tcPr>
            <w:tcW w:w="0" w:type="auto"/>
            <w:hideMark/>
          </w:tcPr>
          <w:p w14:paraId="29695F8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10</w:t>
            </w:r>
          </w:p>
        </w:tc>
        <w:tc>
          <w:tcPr>
            <w:tcW w:w="0" w:type="auto"/>
            <w:hideMark/>
          </w:tcPr>
          <w:p w14:paraId="4A82FB03"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Multi-Step Horizon Decay:</w:t>
            </w:r>
            <w:r w:rsidRPr="00B1582D">
              <w:rPr>
                <w:rFonts w:ascii="Times New Roman" w:eastAsia="Times New Roman" w:hAnsi="Times New Roman" w:cs="Times New Roman"/>
                <w:color w:val="1F1F1F"/>
                <w:kern w:val="0"/>
                <w:sz w:val="24"/>
                <w:szCs w:val="24"/>
                <w:bdr w:val="none" w:sz="0" w:space="0" w:color="auto" w:frame="1"/>
                <w14:ligatures w14:val="none"/>
              </w:rPr>
              <w:t xml:space="preserve"> Evaluate error degradation over multi-step prediction horizons.</w:t>
            </w:r>
          </w:p>
        </w:tc>
        <w:tc>
          <w:tcPr>
            <w:tcW w:w="0" w:type="auto"/>
            <w:hideMark/>
          </w:tcPr>
          <w:p w14:paraId="1DE47FAD"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Forecasting Horizons</w:t>
            </w:r>
          </w:p>
        </w:tc>
        <w:tc>
          <w:tcPr>
            <w:tcW w:w="0" w:type="auto"/>
            <w:hideMark/>
          </w:tcPr>
          <w:p w14:paraId="6202E4A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Generated performance decay plots tracking MAE across multi-step horizons (1, 6, 12, 24, 48 hours).</w:t>
            </w:r>
          </w:p>
        </w:tc>
      </w:tr>
      <w:tr w:rsidR="00B1582D" w:rsidRPr="00B1582D" w14:paraId="0DFC9016" w14:textId="77777777" w:rsidTr="00B1582D">
        <w:tc>
          <w:tcPr>
            <w:tcW w:w="0" w:type="auto"/>
            <w:hideMark/>
          </w:tcPr>
          <w:p w14:paraId="5E874163"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11</w:t>
            </w:r>
          </w:p>
        </w:tc>
        <w:tc>
          <w:tcPr>
            <w:tcW w:w="0" w:type="auto"/>
            <w:hideMark/>
          </w:tcPr>
          <w:p w14:paraId="05E44E75"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b/>
                <w:bCs/>
                <w:color w:val="1F1F1F"/>
                <w:kern w:val="0"/>
                <w:sz w:val="24"/>
                <w:szCs w:val="24"/>
                <w:bdr w:val="none" w:sz="0" w:space="0" w:color="auto" w:frame="1"/>
                <w14:ligatures w14:val="none"/>
              </w:rPr>
              <w:t>Scope Enforcement:</w:t>
            </w:r>
            <w:r w:rsidRPr="00B1582D">
              <w:rPr>
                <w:rFonts w:ascii="Times New Roman" w:eastAsia="Times New Roman" w:hAnsi="Times New Roman" w:cs="Times New Roman"/>
                <w:color w:val="1F1F1F"/>
                <w:kern w:val="0"/>
                <w:sz w:val="24"/>
                <w:szCs w:val="24"/>
                <w:bdr w:val="none" w:sz="0" w:space="0" w:color="auto" w:frame="1"/>
                <w14:ligatures w14:val="none"/>
              </w:rPr>
              <w:t xml:space="preserve"> Restrict spatial visual outputs to primary study locations.</w:t>
            </w:r>
          </w:p>
        </w:tc>
        <w:tc>
          <w:tcPr>
            <w:tcW w:w="0" w:type="auto"/>
            <w:hideMark/>
          </w:tcPr>
          <w:p w14:paraId="22A289AA"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Geographic Consistency</w:t>
            </w:r>
          </w:p>
        </w:tc>
        <w:tc>
          <w:tcPr>
            <w:tcW w:w="0" w:type="auto"/>
            <w:hideMark/>
          </w:tcPr>
          <w:p w14:paraId="50880A36" w14:textId="77777777" w:rsidR="00B1582D" w:rsidRPr="00B1582D" w:rsidRDefault="00B1582D" w:rsidP="00B1582D">
            <w:pPr>
              <w:spacing w:after="0" w:line="240" w:lineRule="auto"/>
              <w:rPr>
                <w:rFonts w:ascii="Times New Roman" w:eastAsia="Times New Roman" w:hAnsi="Times New Roman" w:cs="Times New Roman"/>
                <w:color w:val="1F1F1F"/>
                <w:kern w:val="0"/>
                <w:sz w:val="24"/>
                <w:szCs w:val="24"/>
                <w14:ligatures w14:val="none"/>
              </w:rPr>
            </w:pPr>
            <w:r w:rsidRPr="00B1582D">
              <w:rPr>
                <w:rFonts w:ascii="Times New Roman" w:eastAsia="Times New Roman" w:hAnsi="Times New Roman" w:cs="Times New Roman"/>
                <w:color w:val="1F1F1F"/>
                <w:kern w:val="0"/>
                <w:sz w:val="24"/>
                <w:szCs w:val="24"/>
                <w:bdr w:val="none" w:sz="0" w:space="0" w:color="auto" w:frame="1"/>
                <w14:ligatures w14:val="none"/>
              </w:rPr>
              <w:t xml:space="preserve">Defined </w:t>
            </w:r>
            <w:r w:rsidRPr="00B1582D">
              <w:rPr>
                <w:rFonts w:ascii="Times New Roman" w:eastAsia="Times New Roman" w:hAnsi="Times New Roman" w:cs="Times New Roman"/>
                <w:color w:val="1F1F1F"/>
                <w:kern w:val="0"/>
                <w:sz w:val="18"/>
                <w:szCs w:val="18"/>
                <w:bdr w:val="none" w:sz="0" w:space="0" w:color="auto" w:frame="1"/>
                <w14:ligatures w14:val="none"/>
              </w:rPr>
              <w:t>STUDY_CITIES</w:t>
            </w:r>
            <w:r w:rsidRPr="00B1582D">
              <w:rPr>
                <w:rFonts w:ascii="Times New Roman" w:eastAsia="Times New Roman" w:hAnsi="Times New Roman" w:cs="Times New Roman"/>
                <w:color w:val="1F1F1F"/>
                <w:kern w:val="0"/>
                <w:sz w:val="24"/>
                <w:szCs w:val="24"/>
                <w:bdr w:val="none" w:sz="0" w:space="0" w:color="auto" w:frame="1"/>
                <w14:ligatures w14:val="none"/>
              </w:rPr>
              <w:t xml:space="preserve"> list as the single source of truth across spatial EDA routines.</w:t>
            </w:r>
          </w:p>
        </w:tc>
      </w:tr>
    </w:tbl>
    <w:p w14:paraId="3E3FC58F" w14:textId="77777777" w:rsidR="00510EC2" w:rsidRPr="00510EC2" w:rsidRDefault="00510EC2" w:rsidP="00B1582D">
      <w:pPr>
        <w:rPr>
          <w:rFonts w:ascii="Times New Roman" w:hAnsi="Times New Roman" w:cs="Times New Roman"/>
          <w:b/>
          <w:bCs/>
          <w:sz w:val="24"/>
          <w:szCs w:val="24"/>
        </w:rPr>
      </w:pPr>
    </w:p>
    <w:sectPr w:rsidR="00510EC2" w:rsidRPr="00510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C80072"/>
    <w:multiLevelType w:val="multilevel"/>
    <w:tmpl w:val="9E604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A5F44"/>
    <w:multiLevelType w:val="multilevel"/>
    <w:tmpl w:val="1FCE6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17123"/>
    <w:multiLevelType w:val="multilevel"/>
    <w:tmpl w:val="18C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E484F"/>
    <w:multiLevelType w:val="multilevel"/>
    <w:tmpl w:val="952E7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A35E6A"/>
    <w:multiLevelType w:val="multilevel"/>
    <w:tmpl w:val="B8D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3766A"/>
    <w:multiLevelType w:val="multilevel"/>
    <w:tmpl w:val="2FBA3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793DA6"/>
    <w:multiLevelType w:val="multilevel"/>
    <w:tmpl w:val="9934C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190026">
    <w:abstractNumId w:val="2"/>
  </w:num>
  <w:num w:numId="2" w16cid:durableId="1066688933">
    <w:abstractNumId w:val="0"/>
  </w:num>
  <w:num w:numId="3" w16cid:durableId="44455473">
    <w:abstractNumId w:val="1"/>
  </w:num>
  <w:num w:numId="4" w16cid:durableId="1314722656">
    <w:abstractNumId w:val="3"/>
  </w:num>
  <w:num w:numId="5" w16cid:durableId="1084299813">
    <w:abstractNumId w:val="6"/>
  </w:num>
  <w:num w:numId="6" w16cid:durableId="11214035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915243376">
    <w:abstractNumId w:val="5"/>
  </w:num>
  <w:num w:numId="8" w16cid:durableId="1048530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C2"/>
    <w:rsid w:val="001A3F38"/>
    <w:rsid w:val="00510EC2"/>
    <w:rsid w:val="00A96FDD"/>
    <w:rsid w:val="00B1582D"/>
    <w:rsid w:val="00D46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D673"/>
  <w15:chartTrackingRefBased/>
  <w15:docId w15:val="{8E3E46D4-4FB7-4697-AFAA-C3F062F6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582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1582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10EC2"/>
    <w:rPr>
      <w:b/>
      <w:bCs/>
    </w:rPr>
  </w:style>
  <w:style w:type="character" w:styleId="HTMLCode">
    <w:name w:val="HTML Code"/>
    <w:basedOn w:val="DefaultParagraphFont"/>
    <w:uiPriority w:val="99"/>
    <w:semiHidden/>
    <w:unhideWhenUsed/>
    <w:rsid w:val="00510EC2"/>
    <w:rPr>
      <w:rFonts w:ascii="Courier New" w:eastAsia="Times New Roman" w:hAnsi="Courier New" w:cs="Courier New"/>
      <w:sz w:val="20"/>
      <w:szCs w:val="20"/>
    </w:rPr>
  </w:style>
  <w:style w:type="character" w:customStyle="1" w:styleId="math-inline">
    <w:name w:val="math-inline"/>
    <w:basedOn w:val="DefaultParagraphFont"/>
    <w:rsid w:val="00510EC2"/>
  </w:style>
  <w:style w:type="table" w:styleId="TableGrid">
    <w:name w:val="Table Grid"/>
    <w:basedOn w:val="TableNormal"/>
    <w:uiPriority w:val="39"/>
    <w:rsid w:val="00510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1582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1582D"/>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B1582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82207">
      <w:bodyDiv w:val="1"/>
      <w:marLeft w:val="0"/>
      <w:marRight w:val="0"/>
      <w:marTop w:val="0"/>
      <w:marBottom w:val="0"/>
      <w:divBdr>
        <w:top w:val="none" w:sz="0" w:space="0" w:color="auto"/>
        <w:left w:val="none" w:sz="0" w:space="0" w:color="auto"/>
        <w:bottom w:val="none" w:sz="0" w:space="0" w:color="auto"/>
        <w:right w:val="none" w:sz="0" w:space="0" w:color="auto"/>
      </w:divBdr>
    </w:div>
    <w:div w:id="364138540">
      <w:bodyDiv w:val="1"/>
      <w:marLeft w:val="0"/>
      <w:marRight w:val="0"/>
      <w:marTop w:val="0"/>
      <w:marBottom w:val="0"/>
      <w:divBdr>
        <w:top w:val="none" w:sz="0" w:space="0" w:color="auto"/>
        <w:left w:val="none" w:sz="0" w:space="0" w:color="auto"/>
        <w:bottom w:val="none" w:sz="0" w:space="0" w:color="auto"/>
        <w:right w:val="none" w:sz="0" w:space="0" w:color="auto"/>
      </w:divBdr>
    </w:div>
    <w:div w:id="148689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Ajao Wasiu Bamidele</dc:creator>
  <cp:keywords/>
  <dc:description/>
  <cp:lastModifiedBy>Engr. Ajao Wasiu Bamidele</cp:lastModifiedBy>
  <cp:revision>1</cp:revision>
  <dcterms:created xsi:type="dcterms:W3CDTF">2026-08-10T14:26:00Z</dcterms:created>
  <dcterms:modified xsi:type="dcterms:W3CDTF">2026-08-10T14:48:00Z</dcterms:modified>
</cp:coreProperties>
</file>