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
        <w:jc w:val="center"/>
      </w:pPr>
      <w:r>
        <w:rPr>
          <w:rFonts w:ascii="Calibri" w:cs="Calibri" w:eastAsia="Calibri" w:hAnsi="Calibri"/>
          <w:b/>
          <w:bCs/>
          <w:color w:val="1B365D"/>
          <w:sz w:val="40"/>
          <w:szCs w:val="40"/>
        </w:rPr>
        <w:t xml:space="preserve">SECURE HEALTH GENERAL HOSPITAL</w:t>
      </w:r>
    </w:p>
    <w:p>
      <w:pPr>
        <w:spacing w:after="240" w:before="0"/>
        <w:jc w:val="center"/>
      </w:pPr>
      <w:r>
        <w:rPr>
          <w:rFonts w:ascii="Calibri" w:cs="Calibri" w:eastAsia="Calibri" w:hAnsi="Calibri"/>
          <w:b/>
          <w:bCs/>
          <w:color w:val="008080"/>
          <w:sz w:val="28"/>
          <w:szCs w:val="28"/>
        </w:rPr>
        <w:t xml:space="preserve">EXECUTIVE OPERATIONAL &amp; FINANCIAL PERFORMANCE DASHBOARD</w:t>
      </w:r>
    </w:p>
    <w:p>
      <w:pPr>
        <w:spacing w:after="360" w:before="0"/>
        <w:jc w:val="center"/>
      </w:pPr>
      <w:r>
        <w:rPr>
          <w:rFonts w:ascii="Calibri" w:cs="Calibri" w:eastAsia="Calibri" w:hAnsi="Calibri"/>
          <w:i/>
          <w:iCs/>
          <w:color w:val="666666"/>
          <w:sz w:val="20"/>
          <w:szCs w:val="20"/>
        </w:rPr>
        <w:t xml:space="preserve">A Comprehensive Data Analytics Portfolio Project | Microsoft Excel Analytics &amp; Business Intelligence
Author: Bimels Habtamu (@BimelsHabtamu)</w:t>
      </w:r>
    </w:p>
    <w:p>
      <w:pPr>
        <w:spacing w:after="240" w:before="100"/>
        <w:jc w:val="center"/>
      </w:pPr>
      <w:r>
        <w:drawing>
          <wp:inline distT="0" distB="0" distL="0" distR="0">
            <wp:extent cx="5524500" cy="31051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300" w:before="0"/>
        <w:jc w:val="center"/>
      </w:pPr>
      <w:r>
        <w:rPr>
          <w:rFonts w:ascii="Calibri" w:cs="Calibri" w:eastAsia="Calibri" w:hAnsi="Calibri"/>
          <w:i/>
          <w:iCs/>
          <w:color w:val="777777"/>
          <w:sz w:val="18"/>
          <w:szCs w:val="18"/>
        </w:rPr>
        <w:t xml:space="preserve">Figure 1: Secure Health General Hospital Clinical &amp; Analytics Review Team</w:t>
      </w:r>
    </w:p>
    <w:p>
      <w:pPr>
        <w:pStyle w:val="Heading1"/>
        <w:spacing w:after="160" w:before="360"/>
      </w:pPr>
      <w:r>
        <w:rPr>
          <w:rFonts w:ascii="Calibri" w:cs="Calibri" w:eastAsia="Calibri" w:hAnsi="Calibri"/>
          <w:b/>
          <w:bCs/>
          <w:color w:val="1B365D"/>
          <w:sz w:val="30"/>
          <w:szCs w:val="30"/>
        </w:rPr>
        <w:t xml:space="preserve">I. Project Title &amp; Executive Overview</w:t>
      </w:r>
    </w:p>
    <w:p>
      <w:pPr>
        <w:spacing w:after="120" w:before="80" w:line="280"/>
      </w:pPr>
      <w:r>
        <w:rPr>
          <w:rFonts w:ascii="Calibri" w:cs="Calibri" w:eastAsia="Calibri" w:hAnsi="Calibri"/>
          <w:b w:val="false"/>
          <w:bCs w:val="false"/>
          <w:color w:val="2B2B2B"/>
          <w:sz w:val="22"/>
          <w:szCs w:val="22"/>
        </w:rPr>
        <w:t xml:space="preserve">Title: SECURE HEALTH GENERAL HOSPITAL PERFORMANCE DASHBOARD (Secure Life General Hospital Analytics Framework)</w:t>
      </w:r>
    </w:p>
    <w:p>
      <w:pPr>
        <w:spacing w:after="120" w:before="80" w:line="280"/>
      </w:pPr>
      <w:r>
        <w:rPr>
          <w:rFonts w:ascii="Calibri" w:cs="Calibri" w:eastAsia="Calibri" w:hAnsi="Calibri"/>
          <w:b w:val="false"/>
          <w:bCs w:val="false"/>
          <w:color w:val="2B2B2B"/>
          <w:sz w:val="22"/>
          <w:szCs w:val="22"/>
        </w:rPr>
        <w:t xml:space="preserve">In modern hospital administration, effective decision-making hinges on the ability to rapidly aggregate, analyze, and interpret complex operational, clinical, and financial datasets. Secure Health General Hospital operates across six major clinical departments serving diverse demographic segments with varied diagnoses. The executive leadership observed emerging operational bottlenecks, including unpredictable patient admission volumes, extended lengths of stay, mounting outstanding receivables, and substantial variance in insurance coverage rates across specialties.</w:t>
      </w:r>
    </w:p>
    <w:p>
      <w:pPr>
        <w:spacing w:after="120" w:before="80" w:line="280"/>
      </w:pPr>
      <w:r>
        <w:rPr>
          <w:rFonts w:ascii="Calibri" w:cs="Calibri" w:eastAsia="Calibri" w:hAnsi="Calibri"/>
          <w:b w:val="false"/>
          <w:bCs w:val="false"/>
          <w:color w:val="2B2B2B"/>
          <w:sz w:val="22"/>
          <w:szCs w:val="22"/>
        </w:rPr>
        <w:t xml:space="preserve">This analytics project delivers an executive-level performance reporting framework that consolidates 1,000 patient records from 2024 through 2025. By transforming raw administrative records into dynamic analytical models and interactive visualizations, hospital leadership gains clear operational visibility to optimize bed allocation, streamline revenue cycle management, enhance insurance payer collaboration, and strengthen clinical capacity planning.</w:t>
      </w:r>
    </w:p>
    <w:p>
      <w:pPr>
        <w:pStyle w:val="Heading1"/>
        <w:spacing w:after="160" w:before="360"/>
      </w:pPr>
      <w:r>
        <w:rPr>
          <w:rFonts w:ascii="Calibri" w:cs="Calibri" w:eastAsia="Calibri" w:hAnsi="Calibri"/>
          <w:b/>
          <w:bCs/>
          <w:color w:val="1B365D"/>
          <w:sz w:val="30"/>
          <w:szCs w:val="30"/>
        </w:rPr>
        <w:t xml:space="preserve">II. About the Dataset</w:t>
      </w:r>
    </w:p>
    <w:p>
      <w:pPr>
        <w:spacing w:after="120" w:before="80" w:line="280"/>
      </w:pPr>
      <w:r>
        <w:rPr>
          <w:rFonts w:ascii="Calibri" w:cs="Calibri" w:eastAsia="Calibri" w:hAnsi="Calibri"/>
          <w:b w:val="false"/>
          <w:bCs w:val="false"/>
          <w:color w:val="2B2B2B"/>
          <w:sz w:val="22"/>
          <w:szCs w:val="22"/>
        </w:rPr>
        <w:t xml:space="preserve">The analysis is based on an enterprise dataset of 1,000 distinct patient admission records spanning a two-year timeline from January 2024 to December 2025. Each record represents an individual inpatient or outpatient clinical visit at Secure Health General Hospital.</w:t>
      </w:r>
    </w:p>
    <w:p>
      <w:pPr>
        <w:pStyle w:val="Heading2"/>
        <w:spacing w:after="120" w:before="260"/>
      </w:pPr>
      <w:r>
        <w:rPr>
          <w:rFonts w:ascii="Calibri" w:cs="Calibri" w:eastAsia="Calibri" w:hAnsi="Calibri"/>
          <w:b/>
          <w:bCs/>
          <w:color w:val="008080"/>
          <w:sz w:val="26"/>
          <w:szCs w:val="26"/>
        </w:rPr>
        <w:t xml:space="preserve">Data Dictionary &amp; Field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1444"/>
        <w:gridCol w:w="5596"/>
      </w:tblGrid>
      <w:tr>
        <w:tc>
          <w:tcPr>
            <w:tcW w:type="pct" w:w="1100"/>
            <w:shd w:fill="1B365D"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Field Name</w:t>
            </w:r>
          </w:p>
        </w:tc>
        <w:tc>
          <w:tcPr>
            <w:tcW w:type="pct" w:w="800"/>
            <w:shd w:fill="1B365D"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Data Type</w:t>
            </w:r>
          </w:p>
        </w:tc>
        <w:tc>
          <w:tcPr>
            <w:tcW w:type="pct" w:w="3100"/>
            <w:shd w:fill="1B365D"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Description &amp; Business Context</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Patient ID</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Text</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Unique identification alphanumeric key assigned to each patient encounter (PAT-3001 to PAT-4000).</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Patient Name</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Text</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Legal full name of the patient receiving medical care.</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Age</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Integer</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Patient age in completed years at admission, ranging from 1 to 85 years.</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Gender</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Text</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Recorded patient biological gender (Female: 512, Male: 488).</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Admission Date</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Date</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Calendar date when the patient was formally admitted to the hospital facility.</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Discharge Date</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Date</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Calendar date when the patient completed treatment and was formally discharged.</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Department</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Text</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Clinical specialty unit (Cardiology, Emergency, General, Neurology, Orthopedics, Pediatrics).</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Diagnosis</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Text</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Primary clinical pathology or condition treated (e.g., Atrial Fibrillation, Carpal Tunnel, Knee Replacement).</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Total Bill Amount</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Currency ($)</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Gross monetary fee charged by the facility for clinical consultations, bed days, surgeries, and medicines ($534.38 to $38,501.90).</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Insurance Coverage (%)</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Percentage (%)</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Percentage of the total bill covered under the patient health insurance plan (0% to 100%).</w:t>
            </w:r>
          </w:p>
        </w:tc>
      </w:tr>
      <w:tr>
        <w:tc>
          <w:tcPr>
            <w:tcW w:type="pct" w:w="1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Payment Status</w:t>
            </w:r>
          </w:p>
        </w:tc>
        <w:tc>
          <w:tcPr>
            <w:tcW w:type="pct" w:w="8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Text</w:t>
            </w:r>
          </w:p>
        </w:tc>
        <w:tc>
          <w:tcPr>
            <w:tcW w:type="pct" w:w="31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Current billing account settlement category: Paid, Partially Paid, or Pending.</w:t>
            </w:r>
          </w:p>
        </w:tc>
      </w:tr>
    </w:tbl>
    <w:p>
      <w:pPr>
        <w:spacing w:after="120" w:before="80" w:line="280"/>
      </w:pPr>
      <w:r>
        <w:rPr>
          <w:rFonts w:ascii="Calibri" w:cs="Calibri" w:eastAsia="Calibri" w:hAnsi="Calibri"/>
          <w:b w:val="false"/>
          <w:bCs w:val="false"/>
          <w:color w:val="2B2B2B"/>
          <w:sz w:val="22"/>
          <w:szCs w:val="22"/>
        </w:rPr>
        <w:t xml:space="preserve">Data Integrity &amp; Preprocessing: All 1,000 records underwent validation in Microsoft Excel. Date parsing confirmed zero null or malformed dates, Length of Stay (LOS) was derived as (Discharge Date - Admission Date), and Age Group bins were established according to clinical standard intervals: Under 18 (Pediatrics), Btw 18 &amp; 35 (Young Adults), Btw 36 &amp; 50 (Middle Adults), Btw 51 &amp; 65 (Older Adults), and 66 &amp; Above (Seniors/Geriatric).</w:t>
      </w:r>
    </w:p>
    <w:p>
      <w:pPr>
        <w:pStyle w:val="Heading1"/>
        <w:spacing w:after="160" w:before="360"/>
      </w:pPr>
      <w:r>
        <w:rPr>
          <w:rFonts w:ascii="Calibri" w:cs="Calibri" w:eastAsia="Calibri" w:hAnsi="Calibri"/>
          <w:b/>
          <w:bCs/>
          <w:color w:val="1B365D"/>
          <w:sz w:val="30"/>
          <w:szCs w:val="30"/>
        </w:rPr>
        <w:t xml:space="preserve">III. Problem Statement</w:t>
      </w:r>
    </w:p>
    <w:p>
      <w:pPr>
        <w:spacing w:after="120" w:before="80" w:line="280"/>
      </w:pPr>
      <w:r>
        <w:rPr>
          <w:rFonts w:ascii="Calibri" w:cs="Calibri" w:eastAsia="Calibri" w:hAnsi="Calibri"/>
          <w:b w:val="false"/>
          <w:bCs w:val="false"/>
          <w:color w:val="2B2B2B"/>
          <w:sz w:val="22"/>
          <w:szCs w:val="22"/>
        </w:rPr>
        <w:t xml:space="preserve">The executive administration of Secure Health General Hospital faced critical operational and financial blind spots due to disconnected departmental records. While clinical teams delivered quality care, the administration observed:</w:t>
      </w:r>
    </w:p>
    <w:p>
      <w:pPr>
        <w:pStyle w:val="ListParagraph"/>
        <w:numPr>
          <w:ilvl w:val="0"/>
          <w:numId w:val="1"/>
        </w:numPr>
        <w:spacing w:after="60" w:before="60" w:line="260"/>
      </w:pPr>
      <w:r>
        <w:rPr>
          <w:rFonts w:ascii="Calibri" w:cs="Calibri" w:eastAsia="Calibri" w:hAnsi="Calibri"/>
          <w:b/>
          <w:bCs/>
          <w:color w:val="1B365D"/>
          <w:sz w:val="22"/>
          <w:szCs w:val="22"/>
        </w:rPr>
        <w:t xml:space="preserve">Mounting Accounts Receivable:</w:t>
      </w:r>
      <w:r>
        <w:rPr>
          <w:rFonts w:ascii="Calibri" w:cs="Calibri" w:eastAsia="Calibri" w:hAnsi="Calibri"/>
          <w:color w:val="2B2B2B"/>
          <w:sz w:val="22"/>
          <w:szCs w:val="22"/>
        </w:rPr>
        <w:t xml:space="preserve"> Substantial proportions of patient bills remained unpaid or partially paid, impacting operating liquidity and cash flow predictability.</w:t>
      </w:r>
    </w:p>
    <w:p>
      <w:pPr>
        <w:pStyle w:val="ListParagraph"/>
        <w:numPr>
          <w:ilvl w:val="0"/>
          <w:numId w:val="1"/>
        </w:numPr>
        <w:spacing w:after="60" w:before="60" w:line="260"/>
      </w:pPr>
      <w:r>
        <w:rPr>
          <w:rFonts w:ascii="Calibri" w:cs="Calibri" w:eastAsia="Calibri" w:hAnsi="Calibri"/>
          <w:b/>
          <w:bCs/>
          <w:color w:val="1B365D"/>
          <w:sz w:val="22"/>
          <w:szCs w:val="22"/>
        </w:rPr>
        <w:t xml:space="preserve">Departmental Variance:</w:t>
      </w:r>
      <w:r>
        <w:rPr>
          <w:rFonts w:ascii="Calibri" w:cs="Calibri" w:eastAsia="Calibri" w:hAnsi="Calibri"/>
          <w:color w:val="2B2B2B"/>
          <w:sz w:val="22"/>
          <w:szCs w:val="22"/>
        </w:rPr>
        <w:t xml:space="preserve"> Pronounced discrepancies in patient throughput, billing intensity, and bed occupancy between high-volume units (General Medicine, Emergency) and high-cost surgical units (Orthopedics, Cardiology).</w:t>
      </w:r>
    </w:p>
    <w:p>
      <w:pPr>
        <w:pStyle w:val="ListParagraph"/>
        <w:numPr>
          <w:ilvl w:val="0"/>
          <w:numId w:val="1"/>
        </w:numPr>
        <w:spacing w:after="60" w:before="60" w:line="260"/>
      </w:pPr>
      <w:r>
        <w:rPr>
          <w:rFonts w:ascii="Calibri" w:cs="Calibri" w:eastAsia="Calibri" w:hAnsi="Calibri"/>
          <w:b/>
          <w:bCs/>
          <w:color w:val="1B365D"/>
          <w:sz w:val="22"/>
          <w:szCs w:val="22"/>
        </w:rPr>
        <w:t xml:space="preserve">Insurance Recovery Disparities:</w:t>
      </w:r>
      <w:r>
        <w:rPr>
          <w:rFonts w:ascii="Calibri" w:cs="Calibri" w:eastAsia="Calibri" w:hAnsi="Calibri"/>
          <w:color w:val="2B2B2B"/>
          <w:sz w:val="22"/>
          <w:szCs w:val="22"/>
        </w:rPr>
        <w:t xml:space="preserve"> Variations in payer contribution percentages across diagnoses, leaving patients with unexpected out-of-pocket balances that correlate directly with overdue accounts.</w:t>
      </w:r>
    </w:p>
    <w:p>
      <w:pPr>
        <w:pStyle w:val="ListParagraph"/>
        <w:numPr>
          <w:ilvl w:val="0"/>
          <w:numId w:val="1"/>
        </w:numPr>
        <w:spacing w:after="60" w:before="60" w:line="260"/>
      </w:pPr>
      <w:r>
        <w:rPr>
          <w:rFonts w:ascii="Calibri" w:cs="Calibri" w:eastAsia="Calibri" w:hAnsi="Calibri"/>
          <w:b/>
          <w:bCs/>
          <w:color w:val="1B365D"/>
          <w:sz w:val="22"/>
          <w:szCs w:val="22"/>
        </w:rPr>
        <w:t xml:space="preserve">Capacity and Seasonal Fluctuations:</w:t>
      </w:r>
      <w:r>
        <w:rPr>
          <w:rFonts w:ascii="Calibri" w:cs="Calibri" w:eastAsia="Calibri" w:hAnsi="Calibri"/>
          <w:color w:val="2B2B2B"/>
          <w:sz w:val="22"/>
          <w:szCs w:val="22"/>
        </w:rPr>
        <w:t xml:space="preserve"> Significant peaks and troughs in monthly admissions that strain staffing, nursing allocations, and bed availability.</w:t>
      </w:r>
    </w:p>
    <w:p>
      <w:pPr>
        <w:spacing w:after="120" w:before="80" w:line="280"/>
      </w:pPr>
      <w:r>
        <w:rPr>
          <w:rFonts w:ascii="Calibri" w:cs="Calibri" w:eastAsia="Calibri" w:hAnsi="Calibri"/>
          <w:b w:val="false"/>
          <w:bCs w:val="false"/>
          <w:color w:val="2B2B2B"/>
          <w:sz w:val="22"/>
          <w:szCs w:val="22"/>
        </w:rPr>
        <w:t xml:space="preserve">Core Analytical Objectives: Management specifically commissioned this analytics engagement to answer ten primary executive questions:</w:t>
      </w:r>
    </w:p>
    <w:p>
      <w:pPr>
        <w:pStyle w:val="ListParagraph"/>
        <w:numPr>
          <w:ilvl w:val="0"/>
          <w:numId w:val="1"/>
        </w:numPr>
        <w:spacing w:after="60" w:before="60" w:line="260"/>
      </w:pPr>
      <w:r>
        <w:rPr>
          <w:rFonts w:ascii="Calibri" w:cs="Calibri" w:eastAsia="Calibri" w:hAnsi="Calibri"/>
          <w:b/>
          <w:bCs/>
          <w:color w:val="1B365D"/>
          <w:sz w:val="22"/>
          <w:szCs w:val="22"/>
        </w:rPr>
        <w:t xml:space="preserve">1.</w:t>
      </w:r>
      <w:r>
        <w:rPr>
          <w:rFonts w:ascii="Calibri" w:cs="Calibri" w:eastAsia="Calibri" w:hAnsi="Calibri"/>
          <w:color w:val="2B2B2B"/>
          <w:sz w:val="22"/>
          <w:szCs w:val="22"/>
        </w:rPr>
        <w:t xml:space="preserve"> How many patient visits has the hospital recorded?</w:t>
      </w:r>
    </w:p>
    <w:p>
      <w:pPr>
        <w:pStyle w:val="ListParagraph"/>
        <w:numPr>
          <w:ilvl w:val="0"/>
          <w:numId w:val="1"/>
        </w:numPr>
        <w:spacing w:after="60" w:before="60" w:line="260"/>
      </w:pPr>
      <w:r>
        <w:rPr>
          <w:rFonts w:ascii="Calibri" w:cs="Calibri" w:eastAsia="Calibri" w:hAnsi="Calibri"/>
          <w:b/>
          <w:bCs/>
          <w:color w:val="1B365D"/>
          <w:sz w:val="22"/>
          <w:szCs w:val="22"/>
        </w:rPr>
        <w:t xml:space="preserve">2.</w:t>
      </w:r>
      <w:r>
        <w:rPr>
          <w:rFonts w:ascii="Calibri" w:cs="Calibri" w:eastAsia="Calibri" w:hAnsi="Calibri"/>
          <w:color w:val="2B2B2B"/>
          <w:sz w:val="22"/>
          <w:szCs w:val="22"/>
        </w:rPr>
        <w:t xml:space="preserve"> Which departments receive the highest number of patients?</w:t>
      </w:r>
    </w:p>
    <w:p>
      <w:pPr>
        <w:pStyle w:val="ListParagraph"/>
        <w:numPr>
          <w:ilvl w:val="0"/>
          <w:numId w:val="1"/>
        </w:numPr>
        <w:spacing w:after="60" w:before="60" w:line="260"/>
      </w:pPr>
      <w:r>
        <w:rPr>
          <w:rFonts w:ascii="Calibri" w:cs="Calibri" w:eastAsia="Calibri" w:hAnsi="Calibri"/>
          <w:b/>
          <w:bCs/>
          <w:color w:val="1B365D"/>
          <w:sz w:val="22"/>
          <w:szCs w:val="22"/>
        </w:rPr>
        <w:t xml:space="preserve">3.</w:t>
      </w:r>
      <w:r>
        <w:rPr>
          <w:rFonts w:ascii="Calibri" w:cs="Calibri" w:eastAsia="Calibri" w:hAnsi="Calibri"/>
          <w:color w:val="2B2B2B"/>
          <w:sz w:val="22"/>
          <w:szCs w:val="22"/>
        </w:rPr>
        <w:t xml:space="preserve"> Which departments generate the highest total bills?</w:t>
      </w:r>
    </w:p>
    <w:p>
      <w:pPr>
        <w:pStyle w:val="ListParagraph"/>
        <w:numPr>
          <w:ilvl w:val="0"/>
          <w:numId w:val="1"/>
        </w:numPr>
        <w:spacing w:after="60" w:before="60" w:line="260"/>
      </w:pPr>
      <w:r>
        <w:rPr>
          <w:rFonts w:ascii="Calibri" w:cs="Calibri" w:eastAsia="Calibri" w:hAnsi="Calibri"/>
          <w:b/>
          <w:bCs/>
          <w:color w:val="1B365D"/>
          <w:sz w:val="22"/>
          <w:szCs w:val="22"/>
        </w:rPr>
        <w:t xml:space="preserve">4.</w:t>
      </w:r>
      <w:r>
        <w:rPr>
          <w:rFonts w:ascii="Calibri" w:cs="Calibri" w:eastAsia="Calibri" w:hAnsi="Calibri"/>
          <w:color w:val="2B2B2B"/>
          <w:sz w:val="22"/>
          <w:szCs w:val="22"/>
        </w:rPr>
        <w:t xml:space="preserve"> What is the average length of stay (ALOS) for patients across different departments?</w:t>
      </w:r>
    </w:p>
    <w:p>
      <w:pPr>
        <w:pStyle w:val="ListParagraph"/>
        <w:numPr>
          <w:ilvl w:val="0"/>
          <w:numId w:val="1"/>
        </w:numPr>
        <w:spacing w:after="60" w:before="60" w:line="260"/>
      </w:pPr>
      <w:r>
        <w:rPr>
          <w:rFonts w:ascii="Calibri" w:cs="Calibri" w:eastAsia="Calibri" w:hAnsi="Calibri"/>
          <w:b/>
          <w:bCs/>
          <w:color w:val="1B365D"/>
          <w:sz w:val="22"/>
          <w:szCs w:val="22"/>
        </w:rPr>
        <w:t xml:space="preserve">5.</w:t>
      </w:r>
      <w:r>
        <w:rPr>
          <w:rFonts w:ascii="Calibri" w:cs="Calibri" w:eastAsia="Calibri" w:hAnsi="Calibri"/>
          <w:color w:val="2B2B2B"/>
          <w:sz w:val="22"/>
          <w:szCs w:val="22"/>
        </w:rPr>
        <w:t xml:space="preserve"> What proportion of patient bills has been paid, remains pending, or has been partially paid?</w:t>
      </w:r>
    </w:p>
    <w:p>
      <w:pPr>
        <w:pStyle w:val="ListParagraph"/>
        <w:numPr>
          <w:ilvl w:val="0"/>
          <w:numId w:val="1"/>
        </w:numPr>
        <w:spacing w:after="60" w:before="60" w:line="260"/>
      </w:pPr>
      <w:r>
        <w:rPr>
          <w:rFonts w:ascii="Calibri" w:cs="Calibri" w:eastAsia="Calibri" w:hAnsi="Calibri"/>
          <w:b/>
          <w:bCs/>
          <w:color w:val="1B365D"/>
          <w:sz w:val="22"/>
          <w:szCs w:val="22"/>
        </w:rPr>
        <w:t xml:space="preserve">6.</w:t>
      </w:r>
      <w:r>
        <w:rPr>
          <w:rFonts w:ascii="Calibri" w:cs="Calibri" w:eastAsia="Calibri" w:hAnsi="Calibri"/>
          <w:color w:val="2B2B2B"/>
          <w:sz w:val="22"/>
          <w:szCs w:val="22"/>
        </w:rPr>
        <w:t xml:space="preserve"> How much has the hospital billed, and how much remains outstanding in accounts receivable?</w:t>
      </w:r>
    </w:p>
    <w:p>
      <w:pPr>
        <w:pStyle w:val="ListParagraph"/>
        <w:numPr>
          <w:ilvl w:val="0"/>
          <w:numId w:val="1"/>
        </w:numPr>
        <w:spacing w:after="60" w:before="60" w:line="260"/>
      </w:pPr>
      <w:r>
        <w:rPr>
          <w:rFonts w:ascii="Calibri" w:cs="Calibri" w:eastAsia="Calibri" w:hAnsi="Calibri"/>
          <w:b/>
          <w:bCs/>
          <w:color w:val="1B365D"/>
          <w:sz w:val="22"/>
          <w:szCs w:val="22"/>
        </w:rPr>
        <w:t xml:space="preserve">7.</w:t>
      </w:r>
      <w:r>
        <w:rPr>
          <w:rFonts w:ascii="Calibri" w:cs="Calibri" w:eastAsia="Calibri" w:hAnsi="Calibri"/>
          <w:color w:val="2B2B2B"/>
          <w:sz w:val="22"/>
          <w:szCs w:val="22"/>
        </w:rPr>
        <w:t xml:space="preserve"> How does insurance coverage vary across clinical departments and diagnoses?</w:t>
      </w:r>
    </w:p>
    <w:p>
      <w:pPr>
        <w:pStyle w:val="ListParagraph"/>
        <w:numPr>
          <w:ilvl w:val="0"/>
          <w:numId w:val="1"/>
        </w:numPr>
        <w:spacing w:after="60" w:before="60" w:line="260"/>
      </w:pPr>
      <w:r>
        <w:rPr>
          <w:rFonts w:ascii="Calibri" w:cs="Calibri" w:eastAsia="Calibri" w:hAnsi="Calibri"/>
          <w:b/>
          <w:bCs/>
          <w:color w:val="1B365D"/>
          <w:sz w:val="22"/>
          <w:szCs w:val="22"/>
        </w:rPr>
        <w:t xml:space="preserve">8.</w:t>
      </w:r>
      <w:r>
        <w:rPr>
          <w:rFonts w:ascii="Calibri" w:cs="Calibri" w:eastAsia="Calibri" w:hAnsi="Calibri"/>
          <w:color w:val="2B2B2B"/>
          <w:sz w:val="22"/>
          <w:szCs w:val="22"/>
        </w:rPr>
        <w:t xml:space="preserve"> Which age groups account for the highest volume of patient admissions?</w:t>
      </w:r>
    </w:p>
    <w:p>
      <w:pPr>
        <w:pStyle w:val="ListParagraph"/>
        <w:numPr>
          <w:ilvl w:val="0"/>
          <w:numId w:val="1"/>
        </w:numPr>
        <w:spacing w:after="60" w:before="60" w:line="260"/>
      </w:pPr>
      <w:r>
        <w:rPr>
          <w:rFonts w:ascii="Calibri" w:cs="Calibri" w:eastAsia="Calibri" w:hAnsi="Calibri"/>
          <w:b/>
          <w:bCs/>
          <w:color w:val="1B365D"/>
          <w:sz w:val="22"/>
          <w:szCs w:val="22"/>
        </w:rPr>
        <w:t xml:space="preserve">9.</w:t>
      </w:r>
      <w:r>
        <w:rPr>
          <w:rFonts w:ascii="Calibri" w:cs="Calibri" w:eastAsia="Calibri" w:hAnsi="Calibri"/>
          <w:color w:val="2B2B2B"/>
          <w:sz w:val="22"/>
          <w:szCs w:val="22"/>
        </w:rPr>
        <w:t xml:space="preserve"> How do admissions and billing amounts fluctuate over time?</w:t>
      </w:r>
    </w:p>
    <w:p>
      <w:pPr>
        <w:pStyle w:val="ListParagraph"/>
        <w:numPr>
          <w:ilvl w:val="0"/>
          <w:numId w:val="1"/>
        </w:numPr>
        <w:spacing w:after="60" w:before="60" w:line="260"/>
      </w:pPr>
      <w:r>
        <w:rPr>
          <w:rFonts w:ascii="Calibri" w:cs="Calibri" w:eastAsia="Calibri" w:hAnsi="Calibri"/>
          <w:b/>
          <w:bCs/>
          <w:color w:val="1B365D"/>
          <w:sz w:val="22"/>
          <w:szCs w:val="22"/>
        </w:rPr>
        <w:t xml:space="preserve">10.</w:t>
      </w:r>
      <w:r>
        <w:rPr>
          <w:rFonts w:ascii="Calibri" w:cs="Calibri" w:eastAsia="Calibri" w:hAnsi="Calibri"/>
          <w:color w:val="2B2B2B"/>
          <w:sz w:val="22"/>
          <w:szCs w:val="22"/>
        </w:rPr>
        <w:t xml:space="preserve"> Which operational and financial areas require immediate management intervention?</w:t>
      </w:r>
    </w:p>
    <w:p>
      <w:pPr>
        <w:pStyle w:val="Heading1"/>
        <w:spacing w:after="160" w:before="360"/>
      </w:pPr>
      <w:r>
        <w:rPr>
          <w:rFonts w:ascii="Calibri" w:cs="Calibri" w:eastAsia="Calibri" w:hAnsi="Calibri"/>
          <w:b/>
          <w:bCs/>
          <w:color w:val="1B365D"/>
          <w:sz w:val="30"/>
          <w:szCs w:val="30"/>
        </w:rPr>
        <w:t xml:space="preserve">IV. Visualization &amp; Dashboard Architecture</w:t>
      </w:r>
    </w:p>
    <w:p>
      <w:pPr>
        <w:spacing w:after="120" w:before="80" w:line="280"/>
      </w:pPr>
      <w:r>
        <w:rPr>
          <w:rFonts w:ascii="Calibri" w:cs="Calibri" w:eastAsia="Calibri" w:hAnsi="Calibri"/>
          <w:b w:val="false"/>
          <w:bCs w:val="false"/>
          <w:color w:val="2B2B2B"/>
          <w:sz w:val="22"/>
          <w:szCs w:val="22"/>
        </w:rPr>
        <w:t xml:space="preserve">To empower executive stakeholders with real-time exploratory capability, an interactive dashboard was built in Microsoft Excel. The dashboard incorporates dynamic Pivot Tables, interconnected Slicers (Year, Department, Diagnosis), customized KPI callout cards, and clean visual encodings.</w:t>
      </w:r>
    </w:p>
    <w:p>
      <w:pPr>
        <w:spacing w:after="200" w:before="120"/>
        <w:jc w:val="center"/>
      </w:pPr>
      <w:r>
        <w:drawing>
          <wp:inline distT="0" distB="0" distL="0" distR="0">
            <wp:extent cx="5619750" cy="3048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048000"/>
                    </a:xfrm>
                    <a:prstGeom prst="rect">
                      <a:avLst/>
                    </a:prstGeom>
                  </pic:spPr>
                </pic:pic>
              </a:graphicData>
            </a:graphic>
          </wp:inline>
        </w:drawing>
      </w:r>
    </w:p>
    <w:p>
      <w:pPr>
        <w:spacing w:after="260" w:before="0"/>
        <w:jc w:val="center"/>
      </w:pPr>
      <w:r>
        <w:rPr>
          <w:rFonts w:ascii="Calibri" w:cs="Calibri" w:eastAsia="Calibri" w:hAnsi="Calibri"/>
          <w:i/>
          <w:iCs/>
          <w:color w:val="777777"/>
          <w:sz w:val="18"/>
          <w:szCs w:val="18"/>
        </w:rPr>
        <w:t xml:space="preserve">Figure 2: Secure Health General Hospital Interactive Performance Dashboard</w:t>
      </w:r>
    </w:p>
    <w:p>
      <w:pPr>
        <w:pStyle w:val="Heading2"/>
        <w:spacing w:after="120" w:before="260"/>
      </w:pPr>
      <w:r>
        <w:rPr>
          <w:rFonts w:ascii="Calibri" w:cs="Calibri" w:eastAsia="Calibri" w:hAnsi="Calibri"/>
          <w:b/>
          <w:bCs/>
          <w:color w:val="008080"/>
          <w:sz w:val="26"/>
          <w:szCs w:val="26"/>
        </w:rPr>
        <w:t xml:space="preserve">Dashboard Components &amp; Visual Encodings</w:t>
      </w:r>
    </w:p>
    <w:p>
      <w:pPr>
        <w:pStyle w:val="ListParagraph"/>
        <w:numPr>
          <w:ilvl w:val="0"/>
          <w:numId w:val="1"/>
        </w:numPr>
        <w:spacing w:after="60" w:before="60" w:line="260"/>
      </w:pPr>
      <w:r>
        <w:rPr>
          <w:rFonts w:ascii="Calibri" w:cs="Calibri" w:eastAsia="Calibri" w:hAnsi="Calibri"/>
          <w:b/>
          <w:bCs/>
          <w:color w:val="1B365D"/>
          <w:sz w:val="22"/>
          <w:szCs w:val="22"/>
        </w:rPr>
        <w:t xml:space="preserve">Executive KPI Cards (Left Panel):</w:t>
      </w:r>
      <w:r>
        <w:rPr>
          <w:rFonts w:ascii="Calibri" w:cs="Calibri" w:eastAsia="Calibri" w:hAnsi="Calibri"/>
          <w:color w:val="2B2B2B"/>
          <w:sz w:val="22"/>
          <w:szCs w:val="22"/>
        </w:rPr>
        <w:t xml:space="preserve"> Displays high-level operational vitals: Total Billed Revenue ($8,053,143.44), Total Cash Collected ($5,269,442.16 with partial recoveries / $4,568,527.32 fully settled), Total Patient Visits (1,000), and Average Insurance Coverage (74.86%).</w:t>
      </w:r>
    </w:p>
    <w:p>
      <w:pPr>
        <w:pStyle w:val="ListParagraph"/>
        <w:numPr>
          <w:ilvl w:val="0"/>
          <w:numId w:val="1"/>
        </w:numPr>
        <w:spacing w:after="60" w:before="60" w:line="260"/>
      </w:pPr>
      <w:r>
        <w:rPr>
          <w:rFonts w:ascii="Calibri" w:cs="Calibri" w:eastAsia="Calibri" w:hAnsi="Calibri"/>
          <w:b/>
          <w:bCs/>
          <w:color w:val="1B365D"/>
          <w:sz w:val="22"/>
          <w:szCs w:val="22"/>
        </w:rPr>
        <w:t xml:space="preserve">Payment Status Breakdown (Donut/Pie Chart):</w:t>
      </w:r>
      <w:r>
        <w:rPr>
          <w:rFonts w:ascii="Calibri" w:cs="Calibri" w:eastAsia="Calibri" w:hAnsi="Calibri"/>
          <w:color w:val="2B2B2B"/>
          <w:sz w:val="22"/>
          <w:szCs w:val="22"/>
        </w:rPr>
        <w:t xml:space="preserve"> Depicts account resolution proportions: 56.4% Paid, 25.7% Pending, and 17.9% Partially Paid.</w:t>
      </w:r>
    </w:p>
    <w:p>
      <w:pPr>
        <w:pStyle w:val="ListParagraph"/>
        <w:numPr>
          <w:ilvl w:val="0"/>
          <w:numId w:val="1"/>
        </w:numPr>
        <w:spacing w:after="60" w:before="60" w:line="260"/>
      </w:pPr>
      <w:r>
        <w:rPr>
          <w:rFonts w:ascii="Calibri" w:cs="Calibri" w:eastAsia="Calibri" w:hAnsi="Calibri"/>
          <w:b/>
          <w:bCs/>
          <w:color w:val="1B365D"/>
          <w:sz w:val="22"/>
          <w:szCs w:val="22"/>
        </w:rPr>
        <w:t xml:space="preserve">Department Performance (Horizontal Bar Chart):</w:t>
      </w:r>
      <w:r>
        <w:rPr>
          <w:rFonts w:ascii="Calibri" w:cs="Calibri" w:eastAsia="Calibri" w:hAnsi="Calibri"/>
          <w:color w:val="2B2B2B"/>
          <w:sz w:val="22"/>
          <w:szCs w:val="22"/>
        </w:rPr>
        <w:t xml:space="preserve"> Compares patient volume throughput against gross billing across General, Emergency, Orthopedics, Pediatrics, Cardiology, and Neurology.</w:t>
      </w:r>
    </w:p>
    <w:p>
      <w:pPr>
        <w:pStyle w:val="ListParagraph"/>
        <w:numPr>
          <w:ilvl w:val="0"/>
          <w:numId w:val="1"/>
        </w:numPr>
        <w:spacing w:after="60" w:before="60" w:line="260"/>
      </w:pPr>
      <w:r>
        <w:rPr>
          <w:rFonts w:ascii="Calibri" w:cs="Calibri" w:eastAsia="Calibri" w:hAnsi="Calibri"/>
          <w:b/>
          <w:bCs/>
          <w:color w:val="1B365D"/>
          <w:sz w:val="22"/>
          <w:szCs w:val="22"/>
        </w:rPr>
        <w:t xml:space="preserve">Insurance Coverage by Department (Column Chart):</w:t>
      </w:r>
      <w:r>
        <w:rPr>
          <w:rFonts w:ascii="Calibri" w:cs="Calibri" w:eastAsia="Calibri" w:hAnsi="Calibri"/>
          <w:color w:val="2B2B2B"/>
          <w:sz w:val="22"/>
          <w:szCs w:val="22"/>
        </w:rPr>
        <w:t xml:space="preserve"> Visualizes average insurance reimbursement rates, highlighting departmental variance between 73.89% and 76.32%.</w:t>
      </w:r>
    </w:p>
    <w:p>
      <w:pPr>
        <w:pStyle w:val="ListParagraph"/>
        <w:numPr>
          <w:ilvl w:val="0"/>
          <w:numId w:val="1"/>
        </w:numPr>
        <w:spacing w:after="60" w:before="60" w:line="260"/>
      </w:pPr>
      <w:r>
        <w:rPr>
          <w:rFonts w:ascii="Calibri" w:cs="Calibri" w:eastAsia="Calibri" w:hAnsi="Calibri"/>
          <w:b/>
          <w:bCs/>
          <w:color w:val="1B365D"/>
          <w:sz w:val="22"/>
          <w:szCs w:val="22"/>
        </w:rPr>
        <w:t xml:space="preserve">Monthly Admissions Trend (24-Month Temporal Line/Column Chart):</w:t>
      </w:r>
      <w:r>
        <w:rPr>
          <w:rFonts w:ascii="Calibri" w:cs="Calibri" w:eastAsia="Calibri" w:hAnsi="Calibri"/>
          <w:color w:val="2B2B2B"/>
          <w:sz w:val="22"/>
          <w:szCs w:val="22"/>
        </w:rPr>
        <w:t xml:space="preserve"> Tracks monthly admissions across 2024 and 2025, illuminating cyclical demand spikes in November, July, and January.</w:t>
      </w:r>
    </w:p>
    <w:p>
      <w:pPr>
        <w:pStyle w:val="ListParagraph"/>
        <w:numPr>
          <w:ilvl w:val="0"/>
          <w:numId w:val="1"/>
        </w:numPr>
        <w:spacing w:after="60" w:before="60" w:line="260"/>
      </w:pPr>
      <w:r>
        <w:rPr>
          <w:rFonts w:ascii="Calibri" w:cs="Calibri" w:eastAsia="Calibri" w:hAnsi="Calibri"/>
          <w:b/>
          <w:bCs/>
          <w:color w:val="1B365D"/>
          <w:sz w:val="22"/>
          <w:szCs w:val="22"/>
        </w:rPr>
        <w:t xml:space="preserve">Average Length of Stay by Department (Line Chart):</w:t>
      </w:r>
      <w:r>
        <w:rPr>
          <w:rFonts w:ascii="Calibri" w:cs="Calibri" w:eastAsia="Calibri" w:hAnsi="Calibri"/>
          <w:color w:val="2B2B2B"/>
          <w:sz w:val="22"/>
          <w:szCs w:val="22"/>
        </w:rPr>
        <w:t xml:space="preserve"> Exhibits patient inpatient recovery duration, highlighting surgical units (Orthopedics: 8.38 days) vs outpatient triage (Emergency: 2.03 days).</w:t>
      </w:r>
    </w:p>
    <w:p>
      <w:pPr>
        <w:pStyle w:val="ListParagraph"/>
        <w:numPr>
          <w:ilvl w:val="0"/>
          <w:numId w:val="1"/>
        </w:numPr>
        <w:spacing w:after="60" w:before="60" w:line="260"/>
      </w:pPr>
      <w:r>
        <w:rPr>
          <w:rFonts w:ascii="Calibri" w:cs="Calibri" w:eastAsia="Calibri" w:hAnsi="Calibri"/>
          <w:b/>
          <w:bCs/>
          <w:color w:val="1B365D"/>
          <w:sz w:val="22"/>
          <w:szCs w:val="22"/>
        </w:rPr>
        <w:t xml:space="preserve">Patient Volume by Age Cohort (Bar/Column Chart):</w:t>
      </w:r>
      <w:r>
        <w:rPr>
          <w:rFonts w:ascii="Calibri" w:cs="Calibri" w:eastAsia="Calibri" w:hAnsi="Calibri"/>
          <w:color w:val="2B2B2B"/>
          <w:sz w:val="22"/>
          <w:szCs w:val="22"/>
        </w:rPr>
        <w:t xml:space="preserve"> Maps patient counts across demographic brackets to isolate primary consumer cohorts.</w:t>
      </w:r>
    </w:p>
    <w:p>
      <w:pPr>
        <w:pStyle w:val="Heading1"/>
        <w:spacing w:after="160" w:before="360"/>
      </w:pPr>
      <w:r>
        <w:rPr>
          <w:rFonts w:ascii="Calibri" w:cs="Calibri" w:eastAsia="Calibri" w:hAnsi="Calibri"/>
          <w:b/>
          <w:bCs/>
          <w:color w:val="1B365D"/>
          <w:sz w:val="30"/>
          <w:szCs w:val="30"/>
        </w:rPr>
        <w:t xml:space="preserve">V. In-Depth Insights &amp; Findings (Addressing All 10 Questions)</w:t>
      </w:r>
    </w:p>
    <w:p>
      <w:pPr>
        <w:spacing w:after="120" w:before="80" w:line="280"/>
      </w:pPr>
      <w:r>
        <w:rPr>
          <w:rFonts w:ascii="Calibri" w:cs="Calibri" w:eastAsia="Calibri" w:hAnsi="Calibri"/>
          <w:b w:val="false"/>
          <w:bCs w:val="false"/>
          <w:color w:val="2B2B2B"/>
          <w:sz w:val="22"/>
          <w:szCs w:val="22"/>
        </w:rPr>
        <w:t xml:space="preserve">A rigorous quantitative examination of the 1,000 hospital records yielded the following granular findings aligned directly with management objectives:</w:t>
      </w:r>
    </w:p>
    <w:p>
      <w:pPr>
        <w:pStyle w:val="Heading2"/>
        <w:spacing w:after="120" w:before="260"/>
      </w:pPr>
      <w:r>
        <w:rPr>
          <w:rFonts w:ascii="Calibri" w:cs="Calibri" w:eastAsia="Calibri" w:hAnsi="Calibri"/>
          <w:b/>
          <w:bCs/>
          <w:color w:val="008080"/>
          <w:sz w:val="26"/>
          <w:szCs w:val="26"/>
        </w:rPr>
        <w:t xml:space="preserve">1. Total Patient Visits Recorded</w:t>
      </w:r>
    </w:p>
    <w:p>
      <w:pPr>
        <w:spacing w:after="120" w:before="80" w:line="280"/>
      </w:pPr>
      <w:r>
        <w:rPr>
          <w:rFonts w:ascii="Calibri" w:cs="Calibri" w:eastAsia="Calibri" w:hAnsi="Calibri"/>
          <w:b w:val="false"/>
          <w:bCs w:val="false"/>
          <w:color w:val="2B2B2B"/>
          <w:sz w:val="22"/>
          <w:szCs w:val="22"/>
        </w:rPr>
        <w:t xml:space="preserve">Secure Health General Hospital recorded exactly 1,000 patient visits over the two-year review window (509 visits in 2024 and 491 visits in 2025). The hospital sustained a remarkably steady average operational volume of 41.7 patient admissions per month with negligible annual volume shrinkage (-3.5%), confirming robust institutional demand and patient retention.</w:t>
      </w:r>
    </w:p>
    <w:p>
      <w:pPr>
        <w:pStyle w:val="Heading2"/>
        <w:spacing w:after="120" w:before="260"/>
      </w:pPr>
      <w:r>
        <w:rPr>
          <w:rFonts w:ascii="Calibri" w:cs="Calibri" w:eastAsia="Calibri" w:hAnsi="Calibri"/>
          <w:b/>
          <w:bCs/>
          <w:color w:val="008080"/>
          <w:sz w:val="26"/>
          <w:szCs w:val="26"/>
        </w:rPr>
        <w:t xml:space="preserve">2. Department Patient Volume Throughput</w:t>
      </w:r>
    </w:p>
    <w:p>
      <w:pPr>
        <w:spacing w:after="120" w:before="80" w:line="280"/>
      </w:pPr>
      <w:r>
        <w:rPr>
          <w:rFonts w:ascii="Calibri" w:cs="Calibri" w:eastAsia="Calibri" w:hAnsi="Calibri"/>
          <w:b w:val="false"/>
          <w:bCs w:val="false"/>
          <w:color w:val="2B2B2B"/>
          <w:sz w:val="22"/>
          <w:szCs w:val="22"/>
        </w:rPr>
        <w:t xml:space="preserve">Patient visits are distributed across six specialized clinical departments. General Medicine is by far the highest-volume portal of entry, treating over a quarter of all patients.</w:t>
      </w:r>
    </w:p>
    <w:p>
      <w:pPr>
        <w:pStyle w:val="ListParagraph"/>
        <w:numPr>
          <w:ilvl w:val="0"/>
          <w:numId w:val="1"/>
        </w:numPr>
        <w:spacing w:after="60" w:before="60" w:line="260"/>
      </w:pPr>
      <w:r>
        <w:rPr>
          <w:rFonts w:ascii="Calibri" w:cs="Calibri" w:eastAsia="Calibri" w:hAnsi="Calibri"/>
          <w:b/>
          <w:bCs/>
          <w:color w:val="1B365D"/>
          <w:sz w:val="22"/>
          <w:szCs w:val="22"/>
        </w:rPr>
        <w:t xml:space="preserve">General Medicine:</w:t>
      </w:r>
      <w:r>
        <w:rPr>
          <w:rFonts w:ascii="Calibri" w:cs="Calibri" w:eastAsia="Calibri" w:hAnsi="Calibri"/>
          <w:color w:val="2B2B2B"/>
          <w:sz w:val="22"/>
          <w:szCs w:val="22"/>
        </w:rPr>
        <w:t xml:space="preserve"> 252 patients (25.2% of total visits). Primary driver of outpatient consultations, routine medical treatments, and internal medicine admissions.</w:t>
      </w:r>
    </w:p>
    <w:p>
      <w:pPr>
        <w:pStyle w:val="ListParagraph"/>
        <w:numPr>
          <w:ilvl w:val="0"/>
          <w:numId w:val="1"/>
        </w:numPr>
        <w:spacing w:after="60" w:before="60" w:line="260"/>
      </w:pPr>
      <w:r>
        <w:rPr>
          <w:rFonts w:ascii="Calibri" w:cs="Calibri" w:eastAsia="Calibri" w:hAnsi="Calibri"/>
          <w:b/>
          <w:bCs/>
          <w:color w:val="1B365D"/>
          <w:sz w:val="22"/>
          <w:szCs w:val="22"/>
        </w:rPr>
        <w:t xml:space="preserve">Emergency Department:</w:t>
      </w:r>
      <w:r>
        <w:rPr>
          <w:rFonts w:ascii="Calibri" w:cs="Calibri" w:eastAsia="Calibri" w:hAnsi="Calibri"/>
          <w:color w:val="2B2B2B"/>
          <w:sz w:val="22"/>
          <w:szCs w:val="22"/>
        </w:rPr>
        <w:t xml:space="preserve"> 190 patients (19.0% of total visits). Acute triage, critical care intake, and emergency stabilization.</w:t>
      </w:r>
    </w:p>
    <w:p>
      <w:pPr>
        <w:pStyle w:val="ListParagraph"/>
        <w:numPr>
          <w:ilvl w:val="0"/>
          <w:numId w:val="1"/>
        </w:numPr>
        <w:spacing w:after="60" w:before="60" w:line="260"/>
      </w:pPr>
      <w:r>
        <w:rPr>
          <w:rFonts w:ascii="Calibri" w:cs="Calibri" w:eastAsia="Calibri" w:hAnsi="Calibri"/>
          <w:b/>
          <w:bCs/>
          <w:color w:val="1B365D"/>
          <w:sz w:val="22"/>
          <w:szCs w:val="22"/>
        </w:rPr>
        <w:t xml:space="preserve">Orthopedics:</w:t>
      </w:r>
      <w:r>
        <w:rPr>
          <w:rFonts w:ascii="Calibri" w:cs="Calibri" w:eastAsia="Calibri" w:hAnsi="Calibri"/>
          <w:color w:val="2B2B2B"/>
          <w:sz w:val="22"/>
          <w:szCs w:val="22"/>
        </w:rPr>
        <w:t xml:space="preserve"> 159 patients (15.9% of total visits). Musculoskeletal surgeries, joint replacements, and trauma care.</w:t>
      </w:r>
    </w:p>
    <w:p>
      <w:pPr>
        <w:pStyle w:val="ListParagraph"/>
        <w:numPr>
          <w:ilvl w:val="0"/>
          <w:numId w:val="1"/>
        </w:numPr>
        <w:spacing w:after="60" w:before="60" w:line="260"/>
      </w:pPr>
      <w:r>
        <w:rPr>
          <w:rFonts w:ascii="Calibri" w:cs="Calibri" w:eastAsia="Calibri" w:hAnsi="Calibri"/>
          <w:b/>
          <w:bCs/>
          <w:color w:val="1B365D"/>
          <w:sz w:val="22"/>
          <w:szCs w:val="22"/>
        </w:rPr>
        <w:t xml:space="preserve">Pediatrics:</w:t>
      </w:r>
      <w:r>
        <w:rPr>
          <w:rFonts w:ascii="Calibri" w:cs="Calibri" w:eastAsia="Calibri" w:hAnsi="Calibri"/>
          <w:color w:val="2B2B2B"/>
          <w:sz w:val="22"/>
          <w:szCs w:val="22"/>
        </w:rPr>
        <w:t xml:space="preserve"> 153 patients (15.3% of total visits). Specialized infant and adolescent care.</w:t>
      </w:r>
    </w:p>
    <w:p>
      <w:pPr>
        <w:pStyle w:val="ListParagraph"/>
        <w:numPr>
          <w:ilvl w:val="0"/>
          <w:numId w:val="1"/>
        </w:numPr>
        <w:spacing w:after="60" w:before="60" w:line="260"/>
      </w:pPr>
      <w:r>
        <w:rPr>
          <w:rFonts w:ascii="Calibri" w:cs="Calibri" w:eastAsia="Calibri" w:hAnsi="Calibri"/>
          <w:b/>
          <w:bCs/>
          <w:color w:val="1B365D"/>
          <w:sz w:val="22"/>
          <w:szCs w:val="22"/>
        </w:rPr>
        <w:t xml:space="preserve">Cardiology:</w:t>
      </w:r>
      <w:r>
        <w:rPr>
          <w:rFonts w:ascii="Calibri" w:cs="Calibri" w:eastAsia="Calibri" w:hAnsi="Calibri"/>
          <w:color w:val="2B2B2B"/>
          <w:sz w:val="22"/>
          <w:szCs w:val="22"/>
        </w:rPr>
        <w:t xml:space="preserve"> 152 patients (15.2% of total visits). Cardiovascular management, telemetry, and coronary treatments.</w:t>
      </w:r>
    </w:p>
    <w:p>
      <w:pPr>
        <w:pStyle w:val="ListParagraph"/>
        <w:numPr>
          <w:ilvl w:val="0"/>
          <w:numId w:val="1"/>
        </w:numPr>
        <w:spacing w:after="60" w:before="60" w:line="260"/>
      </w:pPr>
      <w:r>
        <w:rPr>
          <w:rFonts w:ascii="Calibri" w:cs="Calibri" w:eastAsia="Calibri" w:hAnsi="Calibri"/>
          <w:b/>
          <w:bCs/>
          <w:color w:val="1B365D"/>
          <w:sz w:val="22"/>
          <w:szCs w:val="22"/>
        </w:rPr>
        <w:t xml:space="preserve">Neurology:</w:t>
      </w:r>
      <w:r>
        <w:rPr>
          <w:rFonts w:ascii="Calibri" w:cs="Calibri" w:eastAsia="Calibri" w:hAnsi="Calibri"/>
          <w:color w:val="2B2B2B"/>
          <w:sz w:val="22"/>
          <w:szCs w:val="22"/>
        </w:rPr>
        <w:t xml:space="preserve"> 94 patients (9.4% of total visits). Specialized neurological disorders, strokes, and spinal evaluations.</w:t>
      </w:r>
    </w:p>
    <w:p>
      <w:pPr>
        <w:pStyle w:val="Heading2"/>
        <w:spacing w:after="120" w:before="260"/>
      </w:pPr>
      <w:r>
        <w:rPr>
          <w:rFonts w:ascii="Calibri" w:cs="Calibri" w:eastAsia="Calibri" w:hAnsi="Calibri"/>
          <w:b/>
          <w:bCs/>
          <w:color w:val="008080"/>
          <w:sz w:val="26"/>
          <w:szCs w:val="26"/>
        </w:rPr>
        <w:t xml:space="preserve">3. Department Revenue &amp; Billing Generation</w:t>
      </w:r>
    </w:p>
    <w:p>
      <w:pPr>
        <w:spacing w:after="120" w:before="80" w:line="280"/>
      </w:pPr>
      <w:r>
        <w:rPr>
          <w:rFonts w:ascii="Calibri" w:cs="Calibri" w:eastAsia="Calibri" w:hAnsi="Calibri"/>
          <w:b w:val="false"/>
          <w:bCs w:val="false"/>
          <w:color w:val="2B2B2B"/>
          <w:sz w:val="22"/>
          <w:szCs w:val="22"/>
        </w:rPr>
        <w:t xml:space="preserve">While General Medicine dominates patient headcount, financial billing is heavily concentrated in high-acuity surgical and specialized departments. Total gross billing reached $8,053,143.44.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257"/>
        <w:gridCol w:w="1625"/>
        <w:gridCol w:w="1534"/>
      </w:tblGrid>
      <w:tr>
        <w:tc>
          <w:tcPr>
            <w:tcW w:type="pct" w:w="1250"/>
            <w:shd w:fill="1B365D"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Department</w:t>
            </w:r>
          </w:p>
        </w:tc>
        <w:tc>
          <w:tcPr>
            <w:tcW w:type="pct" w:w="75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Visits</w:t>
            </w:r>
          </w:p>
        </w:tc>
        <w:tc>
          <w:tcPr>
            <w:tcW w:type="pct" w:w="125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Total Billed ($)</w:t>
            </w:r>
          </w:p>
        </w:tc>
        <w:tc>
          <w:tcPr>
            <w:tcW w:type="pct" w:w="90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Revenue Share (%)</w:t>
            </w:r>
          </w:p>
        </w:tc>
        <w:tc>
          <w:tcPr>
            <w:tcW w:type="pct" w:w="85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Avg Cost/Visit ($)</w:t>
            </w:r>
          </w:p>
        </w:tc>
      </w:tr>
      <w:tr>
        <w:tc>
          <w:tcPr>
            <w:tcW w:type="pct" w:w="125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Orthopedics</w:t>
            </w:r>
          </w:p>
        </w:tc>
        <w:tc>
          <w:tcPr>
            <w:tcW w:type="pct" w:w="7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159</w:t>
            </w:r>
          </w:p>
        </w:tc>
        <w:tc>
          <w:tcPr>
            <w:tcW w:type="pct" w:w="12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$2,553,862.32</w:t>
            </w:r>
          </w:p>
        </w:tc>
        <w:tc>
          <w:tcPr>
            <w:tcW w:type="pct" w:w="9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31.71%</w:t>
            </w:r>
          </w:p>
        </w:tc>
        <w:tc>
          <w:tcPr>
            <w:tcW w:type="pct" w:w="8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$16,062.03</w:t>
            </w:r>
          </w:p>
        </w:tc>
      </w:tr>
      <w:tr>
        <w:tc>
          <w:tcPr>
            <w:tcW w:type="pct" w:w="125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Cardiology</w:t>
            </w:r>
          </w:p>
        </w:tc>
        <w:tc>
          <w:tcPr>
            <w:tcW w:type="pct" w:w="7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152</w:t>
            </w:r>
          </w:p>
        </w:tc>
        <w:tc>
          <w:tcPr>
            <w:tcW w:type="pct" w:w="12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$2,095,437.97</w:t>
            </w:r>
          </w:p>
        </w:tc>
        <w:tc>
          <w:tcPr>
            <w:tcW w:type="pct" w:w="9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26.02%</w:t>
            </w:r>
          </w:p>
        </w:tc>
        <w:tc>
          <w:tcPr>
            <w:tcW w:type="pct" w:w="8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$13,785.78</w:t>
            </w:r>
          </w:p>
        </w:tc>
      </w:tr>
      <w:tr>
        <w:tc>
          <w:tcPr>
            <w:tcW w:type="pct" w:w="125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Neurology</w:t>
            </w:r>
          </w:p>
        </w:tc>
        <w:tc>
          <w:tcPr>
            <w:tcW w:type="pct" w:w="7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94</w:t>
            </w:r>
          </w:p>
        </w:tc>
        <w:tc>
          <w:tcPr>
            <w:tcW w:type="pct" w:w="12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$1,215,302.99</w:t>
            </w:r>
          </w:p>
        </w:tc>
        <w:tc>
          <w:tcPr>
            <w:tcW w:type="pct" w:w="9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15.09%</w:t>
            </w:r>
          </w:p>
        </w:tc>
        <w:tc>
          <w:tcPr>
            <w:tcW w:type="pct" w:w="8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$12,928.76</w:t>
            </w:r>
          </w:p>
        </w:tc>
      </w:tr>
      <w:tr>
        <w:tc>
          <w:tcPr>
            <w:tcW w:type="pct" w:w="125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General Medicine</w:t>
            </w:r>
          </w:p>
        </w:tc>
        <w:tc>
          <w:tcPr>
            <w:tcW w:type="pct" w:w="7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252</w:t>
            </w:r>
          </w:p>
        </w:tc>
        <w:tc>
          <w:tcPr>
            <w:tcW w:type="pct" w:w="12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$993,026.92</w:t>
            </w:r>
          </w:p>
        </w:tc>
        <w:tc>
          <w:tcPr>
            <w:tcW w:type="pct" w:w="9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12.33%</w:t>
            </w:r>
          </w:p>
        </w:tc>
        <w:tc>
          <w:tcPr>
            <w:tcW w:type="pct" w:w="8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$3,940.58</w:t>
            </w:r>
          </w:p>
        </w:tc>
      </w:tr>
      <w:tr>
        <w:tc>
          <w:tcPr>
            <w:tcW w:type="pct" w:w="125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Emergency</w:t>
            </w:r>
          </w:p>
        </w:tc>
        <w:tc>
          <w:tcPr>
            <w:tcW w:type="pct" w:w="7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190</w:t>
            </w:r>
          </w:p>
        </w:tc>
        <w:tc>
          <w:tcPr>
            <w:tcW w:type="pct" w:w="12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$622,525.28</w:t>
            </w:r>
          </w:p>
        </w:tc>
        <w:tc>
          <w:tcPr>
            <w:tcW w:type="pct" w:w="9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7.73%</w:t>
            </w:r>
          </w:p>
        </w:tc>
        <w:tc>
          <w:tcPr>
            <w:tcW w:type="pct" w:w="8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$3,276.45</w:t>
            </w:r>
          </w:p>
        </w:tc>
      </w:tr>
      <w:tr>
        <w:tc>
          <w:tcPr>
            <w:tcW w:type="pct" w:w="125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Pediatrics</w:t>
            </w:r>
          </w:p>
        </w:tc>
        <w:tc>
          <w:tcPr>
            <w:tcW w:type="pct" w:w="7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153</w:t>
            </w:r>
          </w:p>
        </w:tc>
        <w:tc>
          <w:tcPr>
            <w:tcW w:type="pct" w:w="12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$572,987.96</w:t>
            </w:r>
          </w:p>
        </w:tc>
        <w:tc>
          <w:tcPr>
            <w:tcW w:type="pct" w:w="9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7.11%</w:t>
            </w:r>
          </w:p>
        </w:tc>
        <w:tc>
          <w:tcPr>
            <w:tcW w:type="pct" w:w="85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$3,745.02</w:t>
            </w:r>
          </w:p>
        </w:tc>
      </w:tr>
      <w:tr>
        <w:tc>
          <w:tcPr>
            <w:tcW w:type="pct" w:w="1250"/>
            <w:shd w:fill="1B365D"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Total / Overall</w:t>
            </w:r>
          </w:p>
        </w:tc>
        <w:tc>
          <w:tcPr>
            <w:tcW w:type="pct" w:w="75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1,000</w:t>
            </w:r>
          </w:p>
        </w:tc>
        <w:tc>
          <w:tcPr>
            <w:tcW w:type="pct" w:w="125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$8,053,143.44</w:t>
            </w:r>
          </w:p>
        </w:tc>
        <w:tc>
          <w:tcPr>
            <w:tcW w:type="pct" w:w="90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100.00%</w:t>
            </w:r>
          </w:p>
        </w:tc>
        <w:tc>
          <w:tcPr>
            <w:tcW w:type="pct" w:w="85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$8,053.14</w:t>
            </w:r>
          </w:p>
        </w:tc>
      </w:tr>
    </w:tbl>
    <w:p>
      <w:pPr>
        <w:spacing w:after="120" w:before="80" w:line="280"/>
      </w:pPr>
      <w:r>
        <w:rPr>
          <w:rFonts w:ascii="Calibri" w:cs="Calibri" w:eastAsia="Calibri" w:hAnsi="Calibri"/>
          <w:b w:val="false"/>
          <w:bCs w:val="false"/>
          <w:color w:val="2B2B2B"/>
          <w:sz w:val="22"/>
          <w:szCs w:val="22"/>
        </w:rPr>
        <w:t xml:space="preserve">Critical Insight: Orthopedics and Cardiology collectively account for 57.73% ($4.65M) of the hospital total revenue despite representing only 31.1% of patient visits. Orthopedics averages $16,062 per patient encounter, nearly 4.9 times greater than Emergency ($3,276) and 4.1 times greater than General ($3,941).</w:t>
      </w:r>
    </w:p>
    <w:p>
      <w:pPr>
        <w:pStyle w:val="Heading2"/>
        <w:spacing w:after="120" w:before="260"/>
      </w:pPr>
      <w:r>
        <w:rPr>
          <w:rFonts w:ascii="Calibri" w:cs="Calibri" w:eastAsia="Calibri" w:hAnsi="Calibri"/>
          <w:b/>
          <w:bCs/>
          <w:color w:val="008080"/>
          <w:sz w:val="26"/>
          <w:szCs w:val="26"/>
        </w:rPr>
        <w:t xml:space="preserve">4. Average Length of Stay (ALOS) Across Departments</w:t>
      </w:r>
    </w:p>
    <w:p>
      <w:pPr>
        <w:spacing w:after="120" w:before="80" w:line="280"/>
      </w:pPr>
      <w:r>
        <w:rPr>
          <w:rFonts w:ascii="Calibri" w:cs="Calibri" w:eastAsia="Calibri" w:hAnsi="Calibri"/>
          <w:b w:val="false"/>
          <w:bCs w:val="false"/>
          <w:color w:val="2B2B2B"/>
          <w:sz w:val="22"/>
          <w:szCs w:val="22"/>
        </w:rPr>
        <w:t xml:space="preserve">The overall hospital Average Length of Stay is 4.81 days across all 1,000 admissions. ALOS varies markedly by department based on procedural invasiveness and clinical complexity:</w:t>
      </w:r>
    </w:p>
    <w:p>
      <w:pPr>
        <w:pStyle w:val="ListParagraph"/>
        <w:numPr>
          <w:ilvl w:val="0"/>
          <w:numId w:val="1"/>
        </w:numPr>
        <w:spacing w:after="60" w:before="60" w:line="260"/>
      </w:pPr>
      <w:r>
        <w:rPr>
          <w:rFonts w:ascii="Calibri" w:cs="Calibri" w:eastAsia="Calibri" w:hAnsi="Calibri"/>
          <w:b/>
          <w:bCs/>
          <w:color w:val="1B365D"/>
          <w:sz w:val="22"/>
          <w:szCs w:val="22"/>
        </w:rPr>
        <w:t xml:space="preserve">Orthopedics:</w:t>
      </w:r>
      <w:r>
        <w:rPr>
          <w:rFonts w:ascii="Calibri" w:cs="Calibri" w:eastAsia="Calibri" w:hAnsi="Calibri"/>
          <w:color w:val="2B2B2B"/>
          <w:sz w:val="22"/>
          <w:szCs w:val="22"/>
        </w:rPr>
        <w:t xml:space="preserve"> 8.38 days. Longest stay in the facility, driven by complex joint replacement surgeries (Knee Replacements average 10.4 days), spinal procedures, and post-operative mobility recovery.</w:t>
      </w:r>
    </w:p>
    <w:p>
      <w:pPr>
        <w:pStyle w:val="ListParagraph"/>
        <w:numPr>
          <w:ilvl w:val="0"/>
          <w:numId w:val="1"/>
        </w:numPr>
        <w:spacing w:after="60" w:before="60" w:line="260"/>
      </w:pPr>
      <w:r>
        <w:rPr>
          <w:rFonts w:ascii="Calibri" w:cs="Calibri" w:eastAsia="Calibri" w:hAnsi="Calibri"/>
          <w:b/>
          <w:bCs/>
          <w:color w:val="1B365D"/>
          <w:sz w:val="22"/>
          <w:szCs w:val="22"/>
        </w:rPr>
        <w:t xml:space="preserve">Neurology:</w:t>
      </w:r>
      <w:r>
        <w:rPr>
          <w:rFonts w:ascii="Calibri" w:cs="Calibri" w:eastAsia="Calibri" w:hAnsi="Calibri"/>
          <w:color w:val="2B2B2B"/>
          <w:sz w:val="22"/>
          <w:szCs w:val="22"/>
        </w:rPr>
        <w:t xml:space="preserve"> 6.91 days. Extended monitoring required for severe neuropathies, stroke management, and chronic neurological flare-ups.</w:t>
      </w:r>
    </w:p>
    <w:p>
      <w:pPr>
        <w:pStyle w:val="ListParagraph"/>
        <w:numPr>
          <w:ilvl w:val="0"/>
          <w:numId w:val="1"/>
        </w:numPr>
        <w:spacing w:after="60" w:before="60" w:line="260"/>
      </w:pPr>
      <w:r>
        <w:rPr>
          <w:rFonts w:ascii="Calibri" w:cs="Calibri" w:eastAsia="Calibri" w:hAnsi="Calibri"/>
          <w:b/>
          <w:bCs/>
          <w:color w:val="1B365D"/>
          <w:sz w:val="22"/>
          <w:szCs w:val="22"/>
        </w:rPr>
        <w:t xml:space="preserve">Cardiology:</w:t>
      </w:r>
      <w:r>
        <w:rPr>
          <w:rFonts w:ascii="Calibri" w:cs="Calibri" w:eastAsia="Calibri" w:hAnsi="Calibri"/>
          <w:color w:val="2B2B2B"/>
          <w:sz w:val="22"/>
          <w:szCs w:val="22"/>
        </w:rPr>
        <w:t xml:space="preserve"> 6.49 days. Comprehensive telemetry observation, hemodynamic stabilization, and cardiac catheterization recovery.</w:t>
      </w:r>
    </w:p>
    <w:p>
      <w:pPr>
        <w:pStyle w:val="ListParagraph"/>
        <w:numPr>
          <w:ilvl w:val="0"/>
          <w:numId w:val="1"/>
        </w:numPr>
        <w:spacing w:after="60" w:before="60" w:line="260"/>
      </w:pPr>
      <w:r>
        <w:rPr>
          <w:rFonts w:ascii="Calibri" w:cs="Calibri" w:eastAsia="Calibri" w:hAnsi="Calibri"/>
          <w:b/>
          <w:bCs/>
          <w:color w:val="1B365D"/>
          <w:sz w:val="22"/>
          <w:szCs w:val="22"/>
        </w:rPr>
        <w:t xml:space="preserve">General Medicine:</w:t>
      </w:r>
      <w:r>
        <w:rPr>
          <w:rFonts w:ascii="Calibri" w:cs="Calibri" w:eastAsia="Calibri" w:hAnsi="Calibri"/>
          <w:color w:val="2B2B2B"/>
          <w:sz w:val="22"/>
          <w:szCs w:val="22"/>
        </w:rPr>
        <w:t xml:space="preserve"> 3.93 days. Moderate inpatient management for acute systemic infections, dehydration, and medical stabilization.</w:t>
      </w:r>
    </w:p>
    <w:p>
      <w:pPr>
        <w:pStyle w:val="ListParagraph"/>
        <w:numPr>
          <w:ilvl w:val="0"/>
          <w:numId w:val="1"/>
        </w:numPr>
        <w:spacing w:after="60" w:before="60" w:line="260"/>
      </w:pPr>
      <w:r>
        <w:rPr>
          <w:rFonts w:ascii="Calibri" w:cs="Calibri" w:eastAsia="Calibri" w:hAnsi="Calibri"/>
          <w:b/>
          <w:bCs/>
          <w:color w:val="1B365D"/>
          <w:sz w:val="22"/>
          <w:szCs w:val="22"/>
        </w:rPr>
        <w:t xml:space="preserve">Pediatrics:</w:t>
      </w:r>
      <w:r>
        <w:rPr>
          <w:rFonts w:ascii="Calibri" w:cs="Calibri" w:eastAsia="Calibri" w:hAnsi="Calibri"/>
          <w:color w:val="2B2B2B"/>
          <w:sz w:val="22"/>
          <w:szCs w:val="22"/>
        </w:rPr>
        <w:t xml:space="preserve"> 3.04 days. Shorter recuperation cycles for acute respiratory and gastrointestinal ailments.</w:t>
      </w:r>
    </w:p>
    <w:p>
      <w:pPr>
        <w:pStyle w:val="ListParagraph"/>
        <w:numPr>
          <w:ilvl w:val="0"/>
          <w:numId w:val="1"/>
        </w:numPr>
        <w:spacing w:after="60" w:before="60" w:line="260"/>
      </w:pPr>
      <w:r>
        <w:rPr>
          <w:rFonts w:ascii="Calibri" w:cs="Calibri" w:eastAsia="Calibri" w:hAnsi="Calibri"/>
          <w:b/>
          <w:bCs/>
          <w:color w:val="1B365D"/>
          <w:sz w:val="22"/>
          <w:szCs w:val="22"/>
        </w:rPr>
        <w:t xml:space="preserve">Emergency Department:</w:t>
      </w:r>
      <w:r>
        <w:rPr>
          <w:rFonts w:ascii="Calibri" w:cs="Calibri" w:eastAsia="Calibri" w:hAnsi="Calibri"/>
          <w:color w:val="2B2B2B"/>
          <w:sz w:val="22"/>
          <w:szCs w:val="22"/>
        </w:rPr>
        <w:t xml:space="preserve"> 2.03 days. Fast throughput, acute intervention, and rapid triage discharge.</w:t>
      </w:r>
    </w:p>
    <w:p>
      <w:pPr>
        <w:pStyle w:val="Heading2"/>
        <w:spacing w:after="120" w:before="260"/>
      </w:pPr>
      <w:r>
        <w:rPr>
          <w:rFonts w:ascii="Calibri" w:cs="Calibri" w:eastAsia="Calibri" w:hAnsi="Calibri"/>
          <w:b/>
          <w:bCs/>
          <w:color w:val="008080"/>
          <w:sz w:val="26"/>
          <w:szCs w:val="26"/>
        </w:rPr>
        <w:t xml:space="preserve">5. Proportion of Patient Bills (Paid, Pending, Partially Paid)</w:t>
      </w:r>
    </w:p>
    <w:p>
      <w:pPr>
        <w:spacing w:after="120" w:before="80" w:line="280"/>
      </w:pPr>
      <w:r>
        <w:rPr>
          <w:rFonts w:ascii="Calibri" w:cs="Calibri" w:eastAsia="Calibri" w:hAnsi="Calibri"/>
          <w:b w:val="false"/>
          <w:bCs w:val="false"/>
          <w:color w:val="2B2B2B"/>
          <w:sz w:val="22"/>
          <w:szCs w:val="22"/>
        </w:rPr>
        <w:t xml:space="preserve">An analysis of payment resolution statuses reveals significant financial exposure across the patient population:</w:t>
      </w:r>
    </w:p>
    <w:p>
      <w:pPr>
        <w:pStyle w:val="ListParagraph"/>
        <w:numPr>
          <w:ilvl w:val="0"/>
          <w:numId w:val="1"/>
        </w:numPr>
        <w:spacing w:after="60" w:before="60" w:line="260"/>
      </w:pPr>
      <w:r>
        <w:rPr>
          <w:rFonts w:ascii="Calibri" w:cs="Calibri" w:eastAsia="Calibri" w:hAnsi="Calibri"/>
          <w:b/>
          <w:bCs/>
          <w:color w:val="1B365D"/>
          <w:sz w:val="22"/>
          <w:szCs w:val="22"/>
        </w:rPr>
        <w:t xml:space="preserve">Paid in Full:</w:t>
      </w:r>
      <w:r>
        <w:rPr>
          <w:rFonts w:ascii="Calibri" w:cs="Calibri" w:eastAsia="Calibri" w:hAnsi="Calibri"/>
          <w:color w:val="2B2B2B"/>
          <w:sz w:val="22"/>
          <w:szCs w:val="22"/>
        </w:rPr>
        <w:t xml:space="preserve"> 564 accounts (56.40% of patient encounters), representing $4,568,527.32 (56.73% of total billed dollars).</w:t>
      </w:r>
    </w:p>
    <w:p>
      <w:pPr>
        <w:pStyle w:val="ListParagraph"/>
        <w:numPr>
          <w:ilvl w:val="0"/>
          <w:numId w:val="1"/>
        </w:numPr>
        <w:spacing w:after="60" w:before="60" w:line="260"/>
      </w:pPr>
      <w:r>
        <w:rPr>
          <w:rFonts w:ascii="Calibri" w:cs="Calibri" w:eastAsia="Calibri" w:hAnsi="Calibri"/>
          <w:b/>
          <w:bCs/>
          <w:color w:val="1B365D"/>
          <w:sz w:val="22"/>
          <w:szCs w:val="22"/>
        </w:rPr>
        <w:t xml:space="preserve">Pending (Unpaid):</w:t>
      </w:r>
      <w:r>
        <w:rPr>
          <w:rFonts w:ascii="Calibri" w:cs="Calibri" w:eastAsia="Calibri" w:hAnsi="Calibri"/>
          <w:color w:val="2B2B2B"/>
          <w:sz w:val="22"/>
          <w:szCs w:val="22"/>
        </w:rPr>
        <w:t xml:space="preserve"> 257 accounts (25.70% of patient encounters), representing $2,082,786.44 (25.86% of total billed dollars).</w:t>
      </w:r>
    </w:p>
    <w:p>
      <w:pPr>
        <w:pStyle w:val="ListParagraph"/>
        <w:numPr>
          <w:ilvl w:val="0"/>
          <w:numId w:val="1"/>
        </w:numPr>
        <w:spacing w:after="60" w:before="60" w:line="260"/>
      </w:pPr>
      <w:r>
        <w:rPr>
          <w:rFonts w:ascii="Calibri" w:cs="Calibri" w:eastAsia="Calibri" w:hAnsi="Calibri"/>
          <w:b/>
          <w:bCs/>
          <w:color w:val="1B365D"/>
          <w:sz w:val="22"/>
          <w:szCs w:val="22"/>
        </w:rPr>
        <w:t xml:space="preserve">Partially Paid:</w:t>
      </w:r>
      <w:r>
        <w:rPr>
          <w:rFonts w:ascii="Calibri" w:cs="Calibri" w:eastAsia="Calibri" w:hAnsi="Calibri"/>
          <w:color w:val="2B2B2B"/>
          <w:sz w:val="22"/>
          <w:szCs w:val="22"/>
        </w:rPr>
        <w:t xml:space="preserve"> 179 accounts (17.90% of patient encounters), representing $1,401,829.68 (17.41% of total billed dollars).</w:t>
      </w:r>
    </w:p>
    <w:p>
      <w:pPr>
        <w:spacing w:after="120" w:before="80" w:line="280"/>
      </w:pPr>
      <w:r>
        <w:rPr>
          <w:rFonts w:ascii="Calibri" w:cs="Calibri" w:eastAsia="Calibri" w:hAnsi="Calibri"/>
          <w:b w:val="false"/>
          <w:bCs w:val="false"/>
          <w:color w:val="2B2B2B"/>
          <w:sz w:val="22"/>
          <w:szCs w:val="22"/>
        </w:rPr>
        <w:t xml:space="preserve">Financial Impact: Over 43.6% of patient visits (436 visits) have unsettled or incomplete payment balances. Combined unpaid bill value equals $3,484,616.12 (43.27% of total revenue billed).</w:t>
      </w:r>
    </w:p>
    <w:p>
      <w:pPr>
        <w:pStyle w:val="Heading2"/>
        <w:spacing w:after="120" w:before="260"/>
      </w:pPr>
      <w:r>
        <w:rPr>
          <w:rFonts w:ascii="Calibri" w:cs="Calibri" w:eastAsia="Calibri" w:hAnsi="Calibri"/>
          <w:b/>
          <w:bCs/>
          <w:color w:val="008080"/>
          <w:sz w:val="26"/>
          <w:szCs w:val="26"/>
        </w:rPr>
        <w:t xml:space="preserve">6. Total Billed Revenue vs. Outstanding Receivables</w:t>
      </w:r>
    </w:p>
    <w:p>
      <w:pPr>
        <w:spacing w:after="120" w:before="80" w:line="280"/>
      </w:pPr>
      <w:r>
        <w:rPr>
          <w:rFonts w:ascii="Calibri" w:cs="Calibri" w:eastAsia="Calibri" w:hAnsi="Calibri"/>
          <w:b w:val="false"/>
          <w:bCs w:val="false"/>
          <w:color w:val="2B2B2B"/>
          <w:sz w:val="22"/>
          <w:szCs w:val="22"/>
        </w:rPr>
        <w:t xml:space="preserve">The hospital total financial ledger stands as follows:</w:t>
      </w:r>
    </w:p>
    <w:p>
      <w:pPr>
        <w:pStyle w:val="ListParagraph"/>
        <w:numPr>
          <w:ilvl w:val="0"/>
          <w:numId w:val="1"/>
        </w:numPr>
        <w:spacing w:after="60" w:before="60" w:line="260"/>
      </w:pPr>
      <w:r>
        <w:rPr>
          <w:rFonts w:ascii="Calibri" w:cs="Calibri" w:eastAsia="Calibri" w:hAnsi="Calibri"/>
          <w:b/>
          <w:bCs/>
          <w:color w:val="1B365D"/>
          <w:sz w:val="22"/>
          <w:szCs w:val="22"/>
        </w:rPr>
        <w:t xml:space="preserve">Gross Billed Revenue:</w:t>
      </w:r>
      <w:r>
        <w:rPr>
          <w:rFonts w:ascii="Calibri" w:cs="Calibri" w:eastAsia="Calibri" w:hAnsi="Calibri"/>
          <w:color w:val="2B2B2B"/>
          <w:sz w:val="22"/>
          <w:szCs w:val="22"/>
        </w:rPr>
        <w:t xml:space="preserve"> $8,053,143.44 across 1,000 patient encounters.</w:t>
      </w:r>
    </w:p>
    <w:p>
      <w:pPr>
        <w:pStyle w:val="ListParagraph"/>
        <w:numPr>
          <w:ilvl w:val="0"/>
          <w:numId w:val="1"/>
        </w:numPr>
        <w:spacing w:after="60" w:before="60" w:line="260"/>
      </w:pPr>
      <w:r>
        <w:rPr>
          <w:rFonts w:ascii="Calibri" w:cs="Calibri" w:eastAsia="Calibri" w:hAnsi="Calibri"/>
          <w:b/>
          <w:bCs/>
          <w:color w:val="1B365D"/>
          <w:sz w:val="22"/>
          <w:szCs w:val="22"/>
        </w:rPr>
        <w:t xml:space="preserve">Fully Settled Revenue (Paid):</w:t>
      </w:r>
      <w:r>
        <w:rPr>
          <w:rFonts w:ascii="Calibri" w:cs="Calibri" w:eastAsia="Calibri" w:hAnsi="Calibri"/>
          <w:color w:val="2B2B2B"/>
          <w:sz w:val="22"/>
          <w:szCs w:val="22"/>
        </w:rPr>
        <w:t xml:space="preserve"> $4,568,527.32 (56.73%).</w:t>
      </w:r>
    </w:p>
    <w:p>
      <w:pPr>
        <w:pStyle w:val="ListParagraph"/>
        <w:numPr>
          <w:ilvl w:val="0"/>
          <w:numId w:val="1"/>
        </w:numPr>
        <w:spacing w:after="60" w:before="60" w:line="260"/>
      </w:pPr>
      <w:r>
        <w:rPr>
          <w:rFonts w:ascii="Calibri" w:cs="Calibri" w:eastAsia="Calibri" w:hAnsi="Calibri"/>
          <w:b/>
          <w:bCs/>
          <w:color w:val="1B365D"/>
          <w:sz w:val="22"/>
          <w:szCs w:val="22"/>
        </w:rPr>
        <w:t xml:space="preserve">Total Outstanding at Risk:</w:t>
      </w:r>
      <w:r>
        <w:rPr>
          <w:rFonts w:ascii="Calibri" w:cs="Calibri" w:eastAsia="Calibri" w:hAnsi="Calibri"/>
          <w:color w:val="2B2B2B"/>
          <w:sz w:val="22"/>
          <w:szCs w:val="22"/>
        </w:rPr>
        <w:t xml:space="preserve"> $3,484,616.12 (43.27%), comprising $2,082,786.44 in completely uncollected pending bills and $1,401,829.68 tied up in partially paid accounts.</w:t>
      </w:r>
    </w:p>
    <w:p>
      <w:pPr>
        <w:pStyle w:val="ListParagraph"/>
        <w:numPr>
          <w:ilvl w:val="0"/>
          <w:numId w:val="1"/>
        </w:numPr>
        <w:spacing w:after="60" w:before="60" w:line="260"/>
      </w:pPr>
      <w:r>
        <w:rPr>
          <w:rFonts w:ascii="Calibri" w:cs="Calibri" w:eastAsia="Calibri" w:hAnsi="Calibri"/>
          <w:b/>
          <w:bCs/>
          <w:color w:val="1B365D"/>
          <w:sz w:val="22"/>
          <w:szCs w:val="22"/>
        </w:rPr>
        <w:t xml:space="preserve">Recognized Cash Collected (under 50% partial payment recovery model):</w:t>
      </w:r>
      <w:r>
        <w:rPr>
          <w:rFonts w:ascii="Calibri" w:cs="Calibri" w:eastAsia="Calibri" w:hAnsi="Calibri"/>
          <w:color w:val="2B2B2B"/>
          <w:sz w:val="22"/>
          <w:szCs w:val="22"/>
        </w:rPr>
        <w:t xml:space="preserve"> $5,269,442.16 (65.43%), leaving a net uncollected balance of $2,783,701.28.</w:t>
      </w:r>
    </w:p>
    <w:p>
      <w:pPr>
        <w:spacing w:after="120" w:before="80" w:line="280"/>
      </w:pPr>
      <w:r>
        <w:rPr>
          <w:rFonts w:ascii="Calibri" w:cs="Calibri" w:eastAsia="Calibri" w:hAnsi="Calibri"/>
          <w:b w:val="false"/>
          <w:bCs w:val="false"/>
          <w:color w:val="2B2B2B"/>
          <w:sz w:val="22"/>
          <w:szCs w:val="22"/>
        </w:rPr>
        <w:t xml:space="preserve">This substantial receivables backlog underscores an acute need for modernized revenue cycle management, automated pre-authorization, and milestone-based patient payment plans.</w:t>
      </w:r>
    </w:p>
    <w:p>
      <w:pPr>
        <w:pStyle w:val="Heading2"/>
        <w:spacing w:after="120" w:before="260"/>
      </w:pPr>
      <w:r>
        <w:rPr>
          <w:rFonts w:ascii="Calibri" w:cs="Calibri" w:eastAsia="Calibri" w:hAnsi="Calibri"/>
          <w:b/>
          <w:bCs/>
          <w:color w:val="008080"/>
          <w:sz w:val="26"/>
          <w:szCs w:val="26"/>
        </w:rPr>
        <w:t xml:space="preserve">7. Insurance Coverage Variations Across Departments &amp; Diagnoses</w:t>
      </w:r>
    </w:p>
    <w:p>
      <w:pPr>
        <w:spacing w:after="120" w:before="80" w:line="280"/>
      </w:pPr>
      <w:r>
        <w:rPr>
          <w:rFonts w:ascii="Calibri" w:cs="Calibri" w:eastAsia="Calibri" w:hAnsi="Calibri"/>
          <w:b w:val="false"/>
          <w:bCs w:val="false"/>
          <w:color w:val="2B2B2B"/>
          <w:sz w:val="22"/>
          <w:szCs w:val="22"/>
        </w:rPr>
        <w:t xml:space="preserve">The hospital-wide average insurance coverage is 74.86%, meaning private or government insurance covers nearly three-quarters of costs on average. However, the residual 25.14% ($2,024,400+ aggregate) is borne directly by patients as co-pays, deductibles, or out-of-pocket expenses.</w:t>
      </w:r>
    </w:p>
    <w:p>
      <w:pPr>
        <w:pStyle w:val="ListParagraph"/>
        <w:numPr>
          <w:ilvl w:val="0"/>
          <w:numId w:val="1"/>
        </w:numPr>
        <w:spacing w:after="60" w:before="60" w:line="260"/>
      </w:pPr>
      <w:r>
        <w:rPr>
          <w:rFonts w:ascii="Calibri" w:cs="Calibri" w:eastAsia="Calibri" w:hAnsi="Calibri"/>
          <w:b/>
          <w:bCs/>
          <w:color w:val="1B365D"/>
          <w:sz w:val="22"/>
          <w:szCs w:val="22"/>
        </w:rPr>
        <w:t xml:space="preserve">Departmental Coverage Rates:</w:t>
      </w:r>
      <w:r>
        <w:rPr>
          <w:rFonts w:ascii="Calibri" w:cs="Calibri" w:eastAsia="Calibri" w:hAnsi="Calibri"/>
          <w:color w:val="2B2B2B"/>
          <w:sz w:val="22"/>
          <w:szCs w:val="22"/>
        </w:rPr>
        <w:t xml:space="preserve"> Cardiology leads with 76.32% average insurance coverage, closely followed by Emergency (76.16%), Neurology (74.57%), Orthopedics (74.47%), Pediatrics (73.99%), and General Medicine (73.89%).</w:t>
      </w:r>
    </w:p>
    <w:p>
      <w:pPr>
        <w:pStyle w:val="ListParagraph"/>
        <w:numPr>
          <w:ilvl w:val="0"/>
          <w:numId w:val="1"/>
        </w:numPr>
        <w:spacing w:after="60" w:before="60" w:line="260"/>
      </w:pPr>
      <w:r>
        <w:rPr>
          <w:rFonts w:ascii="Calibri" w:cs="Calibri" w:eastAsia="Calibri" w:hAnsi="Calibri"/>
          <w:b/>
          <w:bCs/>
          <w:color w:val="1B365D"/>
          <w:sz w:val="22"/>
          <w:szCs w:val="22"/>
        </w:rPr>
        <w:t xml:space="preserve">High-Cost Diagnosis Disparities:</w:t>
      </w:r>
      <w:r>
        <w:rPr>
          <w:rFonts w:ascii="Calibri" w:cs="Calibri" w:eastAsia="Calibri" w:hAnsi="Calibri"/>
          <w:color w:val="2B2B2B"/>
          <w:sz w:val="22"/>
          <w:szCs w:val="22"/>
        </w:rPr>
        <w:t xml:space="preserve"> Procedures with the highest gross charges also impose high nominal out-of-pocket liabilities on patients:</w:t>
      </w:r>
    </w:p>
    <w:p>
      <w:pPr>
        <w:pStyle w:val="ListParagraph"/>
        <w:numPr>
          <w:ilvl w:val="0"/>
          <w:numId w:val="1"/>
        </w:numPr>
        <w:spacing w:after="60" w:before="60" w:line="260"/>
      </w:pPr>
      <w:r>
        <w:rPr>
          <w:rFonts w:ascii="Calibri" w:cs="Calibri" w:eastAsia="Calibri" w:hAnsi="Calibri"/>
          <w:b/>
          <w:bCs/>
          <w:color w:val="1B365D"/>
          <w:sz w:val="22"/>
          <w:szCs w:val="22"/>
        </w:rPr>
        <w:t xml:space="preserve">   • Coronary Artery Disease:</w:t>
      </w:r>
      <w:r>
        <w:rPr>
          <w:rFonts w:ascii="Calibri" w:cs="Calibri" w:eastAsia="Calibri" w:hAnsi="Calibri"/>
          <w:color w:val="2B2B2B"/>
          <w:sz w:val="22"/>
          <w:szCs w:val="22"/>
        </w:rPr>
        <w:t xml:space="preserve"> $12,517 average bill with 82.90% coverage ($2,140 patient liability).</w:t>
      </w:r>
    </w:p>
    <w:p>
      <w:pPr>
        <w:pStyle w:val="ListParagraph"/>
        <w:numPr>
          <w:ilvl w:val="0"/>
          <w:numId w:val="1"/>
        </w:numPr>
        <w:spacing w:after="60" w:before="60" w:line="260"/>
      </w:pPr>
      <w:r>
        <w:rPr>
          <w:rFonts w:ascii="Calibri" w:cs="Calibri" w:eastAsia="Calibri" w:hAnsi="Calibri"/>
          <w:b/>
          <w:bCs/>
          <w:color w:val="1B365D"/>
          <w:sz w:val="22"/>
          <w:szCs w:val="22"/>
        </w:rPr>
        <w:t xml:space="preserve">   • Knee Replacement Surgery:</w:t>
      </w:r>
      <w:r>
        <w:rPr>
          <w:rFonts w:ascii="Calibri" w:cs="Calibri" w:eastAsia="Calibri" w:hAnsi="Calibri"/>
          <w:color w:val="2B2B2B"/>
          <w:sz w:val="22"/>
          <w:szCs w:val="22"/>
        </w:rPr>
        <w:t xml:space="preserve"> $18,319 average bill with 71.48% coverage ($5,224 patient out-of-pocket liability).</w:t>
      </w:r>
    </w:p>
    <w:p>
      <w:pPr>
        <w:pStyle w:val="ListParagraph"/>
        <w:numPr>
          <w:ilvl w:val="0"/>
          <w:numId w:val="1"/>
        </w:numPr>
        <w:spacing w:after="60" w:before="60" w:line="260"/>
      </w:pPr>
      <w:r>
        <w:rPr>
          <w:rFonts w:ascii="Calibri" w:cs="Calibri" w:eastAsia="Calibri" w:hAnsi="Calibri"/>
          <w:b/>
          <w:bCs/>
          <w:color w:val="1B365D"/>
          <w:sz w:val="22"/>
          <w:szCs w:val="22"/>
        </w:rPr>
        <w:t xml:space="preserve">   • Spinal Disc Herniation:</w:t>
      </w:r>
      <w:r>
        <w:rPr>
          <w:rFonts w:ascii="Calibri" w:cs="Calibri" w:eastAsia="Calibri" w:hAnsi="Calibri"/>
          <w:color w:val="2B2B2B"/>
          <w:sz w:val="22"/>
          <w:szCs w:val="22"/>
        </w:rPr>
        <w:t xml:space="preserve"> $16,616 average bill with 74.44% coverage ($4,247 patient liability).</w:t>
      </w:r>
    </w:p>
    <w:p>
      <w:pPr>
        <w:pStyle w:val="ListParagraph"/>
        <w:numPr>
          <w:ilvl w:val="0"/>
          <w:numId w:val="1"/>
        </w:numPr>
        <w:spacing w:after="60" w:before="60" w:line="260"/>
      </w:pPr>
      <w:r>
        <w:rPr>
          <w:rFonts w:ascii="Calibri" w:cs="Calibri" w:eastAsia="Calibri" w:hAnsi="Calibri"/>
          <w:b/>
          <w:bCs/>
          <w:color w:val="1B365D"/>
          <w:sz w:val="22"/>
          <w:szCs w:val="22"/>
        </w:rPr>
        <w:t xml:space="preserve">   • Carpal Tunnel Release:</w:t>
      </w:r>
      <w:r>
        <w:rPr>
          <w:rFonts w:ascii="Calibri" w:cs="Calibri" w:eastAsia="Calibri" w:hAnsi="Calibri"/>
          <w:color w:val="2B2B2B"/>
          <w:sz w:val="22"/>
          <w:szCs w:val="22"/>
        </w:rPr>
        <w:t xml:space="preserve"> $15,938 average bill with 74.32% coverage ($4,093 patient liability).</w:t>
      </w:r>
    </w:p>
    <w:p>
      <w:pPr>
        <w:spacing w:after="120" w:before="80" w:line="280"/>
      </w:pPr>
      <w:r>
        <w:rPr>
          <w:rFonts w:ascii="Calibri" w:cs="Calibri" w:eastAsia="Calibri" w:hAnsi="Calibri"/>
          <w:b w:val="false"/>
          <w:bCs w:val="false"/>
          <w:color w:val="2B2B2B"/>
          <w:sz w:val="22"/>
          <w:szCs w:val="22"/>
        </w:rPr>
        <w:t xml:space="preserve">Correlation to Bad Debt: High out-of-pocket burdens on surgical patients strongly correlate with pending and partial payment status, indicating that patient self-pay fatigue is the root cause of delinquent accounts rather than insurance claim denials.</w:t>
      </w:r>
    </w:p>
    <w:p>
      <w:pPr>
        <w:pStyle w:val="Heading2"/>
        <w:spacing w:after="120" w:before="260"/>
      </w:pPr>
      <w:r>
        <w:rPr>
          <w:rFonts w:ascii="Calibri" w:cs="Calibri" w:eastAsia="Calibri" w:hAnsi="Calibri"/>
          <w:b/>
          <w:bCs/>
          <w:color w:val="008080"/>
          <w:sz w:val="26"/>
          <w:szCs w:val="26"/>
        </w:rPr>
        <w:t xml:space="preserve">8. Patient Volume Distribution by Age Cohort &amp; Gender</w:t>
      </w:r>
    </w:p>
    <w:p>
      <w:pPr>
        <w:spacing w:after="120" w:before="80" w:line="280"/>
      </w:pPr>
      <w:r>
        <w:rPr>
          <w:rFonts w:ascii="Calibri" w:cs="Calibri" w:eastAsia="Calibri" w:hAnsi="Calibri"/>
          <w:b w:val="false"/>
          <w:bCs w:val="false"/>
          <w:color w:val="2B2B2B"/>
          <w:sz w:val="22"/>
          <w:szCs w:val="22"/>
        </w:rPr>
        <w:t xml:space="preserve">Demographic segmentation reveals a distinct concentration toward mature and geriatric populations: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1805"/>
        <w:gridCol w:w="1805"/>
      </w:tblGrid>
      <w:tr>
        <w:tc>
          <w:tcPr>
            <w:tcW w:type="pct" w:w="1500"/>
            <w:shd w:fill="1B365D"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Age Group</w:t>
            </w:r>
          </w:p>
        </w:tc>
        <w:tc>
          <w:tcPr>
            <w:tcW w:type="pct" w:w="1500"/>
            <w:shd w:fill="1B365D"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Clinical Classification</w:t>
            </w:r>
          </w:p>
        </w:tc>
        <w:tc>
          <w:tcPr>
            <w:tcW w:type="pct" w:w="100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Patient Visits</w:t>
            </w:r>
          </w:p>
        </w:tc>
        <w:tc>
          <w:tcPr>
            <w:tcW w:type="pct" w:w="1000"/>
            <w:shd w:fill="1B365D" w:val="clear"/>
            <w:tcMar>
              <w:top w:type="dxa" w:w="120"/>
              <w:left w:type="dxa" w:w="160"/>
              <w:bottom w:type="dxa" w:w="120"/>
              <w:right w:type="dxa" w:w="160"/>
            </w:tcMar>
          </w:tcPr>
          <w:p>
            <w:pPr>
              <w:jc w:val="right"/>
            </w:pPr>
            <w:r>
              <w:rPr>
                <w:rFonts w:ascii="Calibri" w:cs="Calibri" w:eastAsia="Calibri" w:hAnsi="Calibri"/>
                <w:b/>
                <w:bCs/>
                <w:color w:val="FFFFFF"/>
                <w:sz w:val="22"/>
                <w:szCs w:val="22"/>
              </w:rPr>
              <w:t xml:space="preserve">Share of Total (%)</w:t>
            </w:r>
          </w:p>
        </w:tc>
      </w:tr>
      <w:tr>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Btw 51 &amp; 65</w:t>
            </w:r>
          </w:p>
        </w:tc>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Mature Adults / Pre-Senior</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235</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23.50%</w:t>
            </w:r>
          </w:p>
        </w:tc>
      </w:tr>
      <w:tr>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66 &amp; Above</w:t>
            </w:r>
          </w:p>
        </w:tc>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Geriatric / Elderly</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232</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23.20%</w:t>
            </w:r>
          </w:p>
        </w:tc>
      </w:tr>
      <w:tr>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Btw 36 &amp; 50</w:t>
            </w:r>
          </w:p>
        </w:tc>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Middle-Aged Adults</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210</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21.00%</w:t>
            </w:r>
          </w:p>
        </w:tc>
      </w:tr>
      <w:tr>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Btw 18 &amp; 35</w:t>
            </w:r>
          </w:p>
        </w:tc>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Young Adults</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170</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17.00%</w:t>
            </w:r>
          </w:p>
        </w:tc>
      </w:tr>
      <w:tr>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Under 18</w:t>
            </w:r>
          </w:p>
        </w:tc>
        <w:tc>
          <w:tcPr>
            <w:tcW w:type="pct" w:w="1500"/>
            <w:shd w:fill="FFFFFF" w:val="clear"/>
            <w:tcMar>
              <w:top w:type="dxa" w:w="120"/>
              <w:left w:type="dxa" w:w="160"/>
              <w:bottom w:type="dxa" w:w="120"/>
              <w:right w:type="dxa" w:w="160"/>
            </w:tcMar>
          </w:tcPr>
          <w:p>
            <w:pPr>
              <w:jc w:val="left"/>
            </w:pPr>
            <w:r>
              <w:rPr>
                <w:rFonts w:ascii="Calibri" w:cs="Calibri" w:eastAsia="Calibri" w:hAnsi="Calibri"/>
                <w:b w:val="false"/>
                <w:bCs w:val="false"/>
                <w:color w:val="2B2B2B"/>
                <w:sz w:val="20"/>
                <w:szCs w:val="20"/>
              </w:rPr>
              <w:t xml:space="preserve">Pediatrics / Adolescents</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153</w:t>
            </w:r>
          </w:p>
        </w:tc>
        <w:tc>
          <w:tcPr>
            <w:tcW w:type="pct" w:w="1000"/>
            <w:shd w:fill="FFFFFF" w:val="clear"/>
            <w:tcMar>
              <w:top w:type="dxa" w:w="120"/>
              <w:left w:type="dxa" w:w="160"/>
              <w:bottom w:type="dxa" w:w="120"/>
              <w:right w:type="dxa" w:w="160"/>
            </w:tcMar>
          </w:tcPr>
          <w:p>
            <w:pPr>
              <w:jc w:val="right"/>
            </w:pPr>
            <w:r>
              <w:rPr>
                <w:rFonts w:ascii="Calibri" w:cs="Calibri" w:eastAsia="Calibri" w:hAnsi="Calibri"/>
                <w:b w:val="false"/>
                <w:bCs w:val="false"/>
                <w:color w:val="2B2B2B"/>
                <w:sz w:val="20"/>
                <w:szCs w:val="20"/>
              </w:rPr>
              <w:t xml:space="preserve">15.30%</w:t>
            </w:r>
          </w:p>
        </w:tc>
      </w:tr>
    </w:tbl>
    <w:p>
      <w:pPr>
        <w:spacing w:after="120" w:before="80" w:line="280"/>
      </w:pPr>
      <w:r>
        <w:rPr>
          <w:rFonts w:ascii="Calibri" w:cs="Calibri" w:eastAsia="Calibri" w:hAnsi="Calibri"/>
          <w:b w:val="false"/>
          <w:bCs w:val="false"/>
          <w:color w:val="2B2B2B"/>
          <w:sz w:val="22"/>
          <w:szCs w:val="22"/>
        </w:rPr>
        <w:t xml:space="preserve">Patients aged 51 and older represent 46.70% (467 visits) of all hospital encounters. Gender distribution is remarkably balanced: Female patients account for 51.2% (512 visits) and Male patients account for 48.8% (488 visits).</w:t>
      </w:r>
    </w:p>
    <w:p>
      <w:pPr>
        <w:pStyle w:val="Heading2"/>
        <w:spacing w:after="120" w:before="260"/>
      </w:pPr>
      <w:r>
        <w:rPr>
          <w:rFonts w:ascii="Calibri" w:cs="Calibri" w:eastAsia="Calibri" w:hAnsi="Calibri"/>
          <w:b/>
          <w:bCs/>
          <w:color w:val="008080"/>
          <w:sz w:val="26"/>
          <w:szCs w:val="26"/>
        </w:rPr>
        <w:t xml:space="preserve">9. Temporal Admissions &amp; Billing Trends (2024 vs. 2025)</w:t>
      </w:r>
    </w:p>
    <w:p>
      <w:pPr>
        <w:spacing w:after="120" w:before="80" w:line="280"/>
      </w:pPr>
      <w:r>
        <w:rPr>
          <w:rFonts w:ascii="Calibri" w:cs="Calibri" w:eastAsia="Calibri" w:hAnsi="Calibri"/>
          <w:b w:val="false"/>
          <w:bCs w:val="false"/>
          <w:color w:val="2B2B2B"/>
          <w:sz w:val="22"/>
          <w:szCs w:val="22"/>
        </w:rPr>
        <w:t xml:space="preserve">Analysis of monthly admission trajectories highlights significant seasonality across the 24-month horizon:</w:t>
      </w:r>
    </w:p>
    <w:p>
      <w:pPr>
        <w:pStyle w:val="ListParagraph"/>
        <w:numPr>
          <w:ilvl w:val="0"/>
          <w:numId w:val="1"/>
        </w:numPr>
        <w:spacing w:after="60" w:before="60" w:line="260"/>
      </w:pPr>
      <w:r>
        <w:rPr>
          <w:rFonts w:ascii="Calibri" w:cs="Calibri" w:eastAsia="Calibri" w:hAnsi="Calibri"/>
          <w:b/>
          <w:bCs/>
          <w:color w:val="1B365D"/>
          <w:sz w:val="22"/>
          <w:szCs w:val="22"/>
        </w:rPr>
        <w:t xml:space="preserve">Annual Stability:</w:t>
      </w:r>
      <w:r>
        <w:rPr>
          <w:rFonts w:ascii="Calibri" w:cs="Calibri" w:eastAsia="Calibri" w:hAnsi="Calibri"/>
          <w:color w:val="2B2B2B"/>
          <w:sz w:val="22"/>
          <w:szCs w:val="22"/>
        </w:rPr>
        <w:t xml:space="preserve"> 2024 generated 509 admissions ($4,077,888.75 billed), while 2025 generated 491 admissions ($3,975,254.69 billed). Revenue and volume exhibited less than a 3.5% variance, demonstrating institutional resilience.</w:t>
      </w:r>
    </w:p>
    <w:p>
      <w:pPr>
        <w:pStyle w:val="ListParagraph"/>
        <w:numPr>
          <w:ilvl w:val="0"/>
          <w:numId w:val="1"/>
        </w:numPr>
        <w:spacing w:after="60" w:before="60" w:line="260"/>
      </w:pPr>
      <w:r>
        <w:rPr>
          <w:rFonts w:ascii="Calibri" w:cs="Calibri" w:eastAsia="Calibri" w:hAnsi="Calibri"/>
          <w:b/>
          <w:bCs/>
          <w:color w:val="1B365D"/>
          <w:sz w:val="22"/>
          <w:szCs w:val="22"/>
        </w:rPr>
        <w:t xml:space="preserve">Peak Admission Cycles:</w:t>
      </w:r>
      <w:r>
        <w:rPr>
          <w:rFonts w:ascii="Calibri" w:cs="Calibri" w:eastAsia="Calibri" w:hAnsi="Calibri"/>
          <w:color w:val="2B2B2B"/>
          <w:sz w:val="22"/>
          <w:szCs w:val="22"/>
        </w:rPr>
        <w:t xml:space="preserve"> Admissions spike dramatically in Q4, with November 2025 recording the absolute peak of 57 admissions, followed by July 2024 (51 admissions) and January 2025 (51 admissions).</w:t>
      </w:r>
    </w:p>
    <w:p>
      <w:pPr>
        <w:pStyle w:val="ListParagraph"/>
        <w:numPr>
          <w:ilvl w:val="0"/>
          <w:numId w:val="1"/>
        </w:numPr>
        <w:spacing w:after="60" w:before="60" w:line="260"/>
      </w:pPr>
      <w:r>
        <w:rPr>
          <w:rFonts w:ascii="Calibri" w:cs="Calibri" w:eastAsia="Calibri" w:hAnsi="Calibri"/>
          <w:b/>
          <w:bCs/>
          <w:color w:val="1B365D"/>
          <w:sz w:val="22"/>
          <w:szCs w:val="22"/>
        </w:rPr>
        <w:t xml:space="preserve">Seasonal Troughs:</w:t>
      </w:r>
      <w:r>
        <w:rPr>
          <w:rFonts w:ascii="Calibri" w:cs="Calibri" w:eastAsia="Calibri" w:hAnsi="Calibri"/>
          <w:color w:val="2B2B2B"/>
          <w:sz w:val="22"/>
          <w:szCs w:val="22"/>
        </w:rPr>
        <w:t xml:space="preserve"> Predictable mid-year dips occur in June 2025 (29 admissions), August 2025 (29 admissions), and February 2025 (31 admissions).</w:t>
      </w:r>
    </w:p>
    <w:p>
      <w:pPr>
        <w:spacing w:after="120" w:before="80" w:line="280"/>
      </w:pPr>
      <w:r>
        <w:rPr>
          <w:rFonts w:ascii="Calibri" w:cs="Calibri" w:eastAsia="Calibri" w:hAnsi="Calibri"/>
          <w:b w:val="false"/>
          <w:bCs w:val="false"/>
          <w:color w:val="2B2B2B"/>
          <w:sz w:val="22"/>
          <w:szCs w:val="22"/>
        </w:rPr>
        <w:t xml:space="preserve">Capacity Implications: The predictable 40-50% surge between trough months (29 visits) and peak months (57 visits) demands flexible nurse-to-patient staffing rotas and pre-scheduled elective surgery windows to avoid bed saturation.</w:t>
      </w:r>
    </w:p>
    <w:p>
      <w:pPr>
        <w:pStyle w:val="Heading2"/>
        <w:spacing w:after="120" w:before="260"/>
      </w:pPr>
      <w:r>
        <w:rPr>
          <w:rFonts w:ascii="Calibri" w:cs="Calibri" w:eastAsia="Calibri" w:hAnsi="Calibri"/>
          <w:b/>
          <w:bCs/>
          <w:color w:val="008080"/>
          <w:sz w:val="26"/>
          <w:szCs w:val="26"/>
        </w:rPr>
        <w:t xml:space="preserve">10. Critical Areas Requiring Urgent Management Attention</w:t>
      </w:r>
    </w:p>
    <w:p>
      <w:pPr>
        <w:spacing w:after="120" w:before="80" w:line="280"/>
      </w:pPr>
      <w:r>
        <w:rPr>
          <w:rFonts w:ascii="Calibri" w:cs="Calibri" w:eastAsia="Calibri" w:hAnsi="Calibri"/>
          <w:b w:val="false"/>
          <w:bCs w:val="false"/>
          <w:color w:val="2B2B2B"/>
          <w:sz w:val="22"/>
          <w:szCs w:val="22"/>
        </w:rPr>
        <w:t xml:space="preserve">Synthesizing the clinical, operational, and financial findings highlights five high-priority vulnerabilities:</w:t>
      </w:r>
    </w:p>
    <w:p>
      <w:pPr>
        <w:pStyle w:val="ListParagraph"/>
        <w:numPr>
          <w:ilvl w:val="0"/>
          <w:numId w:val="1"/>
        </w:numPr>
        <w:spacing w:after="60" w:before="60" w:line="260"/>
      </w:pPr>
      <w:r>
        <w:rPr>
          <w:rFonts w:ascii="Calibri" w:cs="Calibri" w:eastAsia="Calibri" w:hAnsi="Calibri"/>
          <w:b/>
          <w:bCs/>
          <w:color w:val="1B365D"/>
          <w:sz w:val="22"/>
          <w:szCs w:val="22"/>
        </w:rPr>
        <w:t xml:space="preserve">A. Accounts Receivable &amp; Liquidity Bottleneck:</w:t>
      </w:r>
      <w:r>
        <w:rPr>
          <w:rFonts w:ascii="Calibri" w:cs="Calibri" w:eastAsia="Calibri" w:hAnsi="Calibri"/>
          <w:color w:val="2B2B2B"/>
          <w:sz w:val="22"/>
          <w:szCs w:val="22"/>
        </w:rPr>
        <w:t xml:space="preserve"> $3.48M in uncollected billing represents an unacceptable credit risk. Over a quarter (25.7%) of all accounts have zero payment remitted.</w:t>
      </w:r>
    </w:p>
    <w:p>
      <w:pPr>
        <w:pStyle w:val="ListParagraph"/>
        <w:numPr>
          <w:ilvl w:val="0"/>
          <w:numId w:val="1"/>
        </w:numPr>
        <w:spacing w:after="60" w:before="60" w:line="260"/>
      </w:pPr>
      <w:r>
        <w:rPr>
          <w:rFonts w:ascii="Calibri" w:cs="Calibri" w:eastAsia="Calibri" w:hAnsi="Calibri"/>
          <w:b/>
          <w:bCs/>
          <w:color w:val="1B365D"/>
          <w:sz w:val="22"/>
          <w:szCs w:val="22"/>
        </w:rPr>
        <w:t xml:space="preserve">B. High ALOS in Orthopedics (8.38 Days):</w:t>
      </w:r>
      <w:r>
        <w:rPr>
          <w:rFonts w:ascii="Calibri" w:cs="Calibri" w:eastAsia="Calibri" w:hAnsi="Calibri"/>
          <w:color w:val="2B2B2B"/>
          <w:sz w:val="22"/>
          <w:szCs w:val="22"/>
        </w:rPr>
        <w:t xml:space="preserve"> Long bed occupancy blocks bed turnover, prolongs surgical wait times, and elevates hospital-acquired infection risks.</w:t>
      </w:r>
    </w:p>
    <w:p>
      <w:pPr>
        <w:pStyle w:val="ListParagraph"/>
        <w:numPr>
          <w:ilvl w:val="0"/>
          <w:numId w:val="1"/>
        </w:numPr>
        <w:spacing w:after="60" w:before="60" w:line="260"/>
      </w:pPr>
      <w:r>
        <w:rPr>
          <w:rFonts w:ascii="Calibri" w:cs="Calibri" w:eastAsia="Calibri" w:hAnsi="Calibri"/>
          <w:b/>
          <w:bCs/>
          <w:color w:val="1B365D"/>
          <w:sz w:val="22"/>
          <w:szCs w:val="22"/>
        </w:rPr>
        <w:t xml:space="preserve">C. Inpatient Revenue Dependency on 2 Specialties:</w:t>
      </w:r>
      <w:r>
        <w:rPr>
          <w:rFonts w:ascii="Calibri" w:cs="Calibri" w:eastAsia="Calibri" w:hAnsi="Calibri"/>
          <w:color w:val="2B2B2B"/>
          <w:sz w:val="22"/>
          <w:szCs w:val="22"/>
        </w:rPr>
        <w:t xml:space="preserve"> Orthopedics and Cardiology generate 57.7% of all revenue. Any disruption in surgical staffing or payer contract renegotiation severely threatens hospital solvency.</w:t>
      </w:r>
    </w:p>
    <w:p>
      <w:pPr>
        <w:pStyle w:val="ListParagraph"/>
        <w:numPr>
          <w:ilvl w:val="0"/>
          <w:numId w:val="1"/>
        </w:numPr>
        <w:spacing w:after="60" w:before="60" w:line="260"/>
      </w:pPr>
      <w:r>
        <w:rPr>
          <w:rFonts w:ascii="Calibri" w:cs="Calibri" w:eastAsia="Calibri" w:hAnsi="Calibri"/>
          <w:b/>
          <w:bCs/>
          <w:color w:val="1B365D"/>
          <w:sz w:val="22"/>
          <w:szCs w:val="22"/>
        </w:rPr>
        <w:t xml:space="preserve">D. Out-of-Pocket Expense Barrier for Seniors:</w:t>
      </w:r>
      <w:r>
        <w:rPr>
          <w:rFonts w:ascii="Calibri" w:cs="Calibri" w:eastAsia="Calibri" w:hAnsi="Calibri"/>
          <w:color w:val="2B2B2B"/>
          <w:sz w:val="22"/>
          <w:szCs w:val="22"/>
        </w:rPr>
        <w:t xml:space="preserve"> With 46.7% of patients over age 50 undergoing procedures costing $13k-$18k, fixed-income seniors are struggling to settle co-insurance balances.</w:t>
      </w:r>
    </w:p>
    <w:p>
      <w:pPr>
        <w:pStyle w:val="ListParagraph"/>
        <w:numPr>
          <w:ilvl w:val="0"/>
          <w:numId w:val="1"/>
        </w:numPr>
        <w:spacing w:after="60" w:before="60" w:line="260"/>
      </w:pPr>
      <w:r>
        <w:rPr>
          <w:rFonts w:ascii="Calibri" w:cs="Calibri" w:eastAsia="Calibri" w:hAnsi="Calibri"/>
          <w:b/>
          <w:bCs/>
          <w:color w:val="1B365D"/>
          <w:sz w:val="22"/>
          <w:szCs w:val="22"/>
        </w:rPr>
        <w:t xml:space="preserve">E. Extreme Monthly Demand Volatility:</w:t>
      </w:r>
      <w:r>
        <w:rPr>
          <w:rFonts w:ascii="Calibri" w:cs="Calibri" w:eastAsia="Calibri" w:hAnsi="Calibri"/>
          <w:color w:val="2B2B2B"/>
          <w:sz w:val="22"/>
          <w:szCs w:val="22"/>
        </w:rPr>
        <w:t xml:space="preserve"> Unmanaged fluctuations between 29 and 57 monthly admissions lead to either underutilized clinical staff or emergency department overcrowding.</w:t>
      </w:r>
    </w:p>
    <w:p>
      <w:pPr>
        <w:pStyle w:val="Heading1"/>
        <w:spacing w:after="160" w:before="360"/>
      </w:pPr>
      <w:r>
        <w:rPr>
          <w:rFonts w:ascii="Calibri" w:cs="Calibri" w:eastAsia="Calibri" w:hAnsi="Calibri"/>
          <w:b/>
          <w:bCs/>
          <w:color w:val="1B365D"/>
          <w:sz w:val="30"/>
          <w:szCs w:val="30"/>
        </w:rPr>
        <w:t xml:space="preserve">VI. Strategic Recommendations</w:t>
      </w:r>
    </w:p>
    <w:p>
      <w:pPr>
        <w:spacing w:after="120" w:before="80" w:line="280"/>
      </w:pPr>
      <w:r>
        <w:rPr>
          <w:rFonts w:ascii="Calibri" w:cs="Calibri" w:eastAsia="Calibri" w:hAnsi="Calibri"/>
          <w:b w:val="false"/>
          <w:bCs w:val="false"/>
          <w:color w:val="2B2B2B"/>
          <w:sz w:val="22"/>
          <w:szCs w:val="22"/>
        </w:rPr>
        <w:t xml:space="preserve">Based on empirical evidence from the dashboard analysis, the following actionable initiatives are recommended to executive management:</w:t>
      </w:r>
    </w:p>
    <w:p>
      <w:pPr>
        <w:pStyle w:val="Heading2"/>
        <w:spacing w:after="120" w:before="260"/>
      </w:pPr>
      <w:r>
        <w:rPr>
          <w:rFonts w:ascii="Calibri" w:cs="Calibri" w:eastAsia="Calibri" w:hAnsi="Calibri"/>
          <w:b/>
          <w:bCs/>
          <w:color w:val="008080"/>
          <w:sz w:val="26"/>
          <w:szCs w:val="26"/>
        </w:rPr>
        <w:t xml:space="preserve">1. Revenue Cycle Modernization &amp; Cash Collection (Immediate 0-90 Days)</w:t>
      </w:r>
    </w:p>
    <w:p>
      <w:pPr>
        <w:pStyle w:val="ListParagraph"/>
        <w:numPr>
          <w:ilvl w:val="0"/>
          <w:numId w:val="1"/>
        </w:numPr>
        <w:spacing w:after="60" w:before="60" w:line="260"/>
      </w:pPr>
      <w:r>
        <w:rPr>
          <w:rFonts w:ascii="Calibri" w:cs="Calibri" w:eastAsia="Calibri" w:hAnsi="Calibri"/>
          <w:b/>
          <w:bCs/>
          <w:color w:val="1B365D"/>
          <w:sz w:val="22"/>
          <w:szCs w:val="22"/>
        </w:rPr>
        <w:t xml:space="preserve">Point-of-Service (POS) Co-Pay Collection:</w:t>
      </w:r>
      <w:r>
        <w:rPr>
          <w:rFonts w:ascii="Calibri" w:cs="Calibri" w:eastAsia="Calibri" w:hAnsi="Calibri"/>
          <w:color w:val="2B2B2B"/>
          <w:sz w:val="22"/>
          <w:szCs w:val="22"/>
        </w:rPr>
        <w:t xml:space="preserve"> Mandate automated pre-registration and collection of insurance deductibles and expected co-payments prior to elective admissions (especially Orthopedics and Cardiology).</w:t>
      </w:r>
    </w:p>
    <w:p>
      <w:pPr>
        <w:pStyle w:val="ListParagraph"/>
        <w:numPr>
          <w:ilvl w:val="0"/>
          <w:numId w:val="1"/>
        </w:numPr>
        <w:spacing w:after="60" w:before="60" w:line="260"/>
      </w:pPr>
      <w:r>
        <w:rPr>
          <w:rFonts w:ascii="Calibri" w:cs="Calibri" w:eastAsia="Calibri" w:hAnsi="Calibri"/>
          <w:b/>
          <w:bCs/>
          <w:color w:val="1B365D"/>
          <w:sz w:val="22"/>
          <w:szCs w:val="22"/>
        </w:rPr>
        <w:t xml:space="preserve">Structured Patient Payment Plans:</w:t>
      </w:r>
      <w:r>
        <w:rPr>
          <w:rFonts w:ascii="Calibri" w:cs="Calibri" w:eastAsia="Calibri" w:hAnsi="Calibri"/>
          <w:color w:val="2B2B2B"/>
          <w:sz w:val="22"/>
          <w:szCs w:val="22"/>
        </w:rPr>
        <w:t xml:space="preserve"> Implement zero-interest milestone installment plans for surgical balances exceeding $2,500, converting delinquent pending bills into predictable monthly cash inflows.</w:t>
      </w:r>
    </w:p>
    <w:p>
      <w:pPr>
        <w:pStyle w:val="ListParagraph"/>
        <w:numPr>
          <w:ilvl w:val="0"/>
          <w:numId w:val="1"/>
        </w:numPr>
        <w:spacing w:after="60" w:before="60" w:line="260"/>
      </w:pPr>
      <w:r>
        <w:rPr>
          <w:rFonts w:ascii="Calibri" w:cs="Calibri" w:eastAsia="Calibri" w:hAnsi="Calibri"/>
          <w:b/>
          <w:bCs/>
          <w:color w:val="1B365D"/>
          <w:sz w:val="22"/>
          <w:szCs w:val="22"/>
        </w:rPr>
        <w:t xml:space="preserve">Automated Insurance Claim Tracking:</w:t>
      </w:r>
      <w:r>
        <w:rPr>
          <w:rFonts w:ascii="Calibri" w:cs="Calibri" w:eastAsia="Calibri" w:hAnsi="Calibri"/>
          <w:color w:val="2B2B2B"/>
          <w:sz w:val="22"/>
          <w:szCs w:val="22"/>
        </w:rPr>
        <w:t xml:space="preserve"> Establish an automated payer clearinghouse to submit claims within 48 hours of discharge and trigger follow-up alerts at 15 and 30 days.</w:t>
      </w:r>
    </w:p>
    <w:p>
      <w:pPr>
        <w:pStyle w:val="Heading2"/>
        <w:spacing w:after="120" w:before="260"/>
      </w:pPr>
      <w:r>
        <w:rPr>
          <w:rFonts w:ascii="Calibri" w:cs="Calibri" w:eastAsia="Calibri" w:hAnsi="Calibri"/>
          <w:b/>
          <w:bCs/>
          <w:color w:val="008080"/>
          <w:sz w:val="26"/>
          <w:szCs w:val="26"/>
        </w:rPr>
        <w:t xml:space="preserve">2. Clinical Pathway &amp; Inpatient Throughput Optimization (90-180 Days)</w:t>
      </w:r>
    </w:p>
    <w:p>
      <w:pPr>
        <w:pStyle w:val="ListParagraph"/>
        <w:numPr>
          <w:ilvl w:val="0"/>
          <w:numId w:val="1"/>
        </w:numPr>
        <w:spacing w:after="60" w:before="60" w:line="260"/>
      </w:pPr>
      <w:r>
        <w:rPr>
          <w:rFonts w:ascii="Calibri" w:cs="Calibri" w:eastAsia="Calibri" w:hAnsi="Calibri"/>
          <w:b/>
          <w:bCs/>
          <w:color w:val="1B365D"/>
          <w:sz w:val="22"/>
          <w:szCs w:val="22"/>
        </w:rPr>
        <w:t xml:space="preserve">Enhanced Recovery After Surgery (ERAS) Protocols:</w:t>
      </w:r>
      <w:r>
        <w:rPr>
          <w:rFonts w:ascii="Calibri" w:cs="Calibri" w:eastAsia="Calibri" w:hAnsi="Calibri"/>
          <w:color w:val="2B2B2B"/>
          <w:sz w:val="22"/>
          <w:szCs w:val="22"/>
        </w:rPr>
        <w:t xml:space="preserve"> Adopt standardized ERAS pathways in Orthopedics to reduce Average Length of Stay from 8.38 days to under 5.5 days, improving bed turnover by 34%.</w:t>
      </w:r>
    </w:p>
    <w:p>
      <w:pPr>
        <w:pStyle w:val="ListParagraph"/>
        <w:numPr>
          <w:ilvl w:val="0"/>
          <w:numId w:val="1"/>
        </w:numPr>
        <w:spacing w:after="60" w:before="60" w:line="260"/>
      </w:pPr>
      <w:r>
        <w:rPr>
          <w:rFonts w:ascii="Calibri" w:cs="Calibri" w:eastAsia="Calibri" w:hAnsi="Calibri"/>
          <w:b/>
          <w:bCs/>
          <w:color w:val="1B365D"/>
          <w:sz w:val="22"/>
          <w:szCs w:val="22"/>
        </w:rPr>
        <w:t xml:space="preserve">Post-Acute Care Partnerships:</w:t>
      </w:r>
      <w:r>
        <w:rPr>
          <w:rFonts w:ascii="Calibri" w:cs="Calibri" w:eastAsia="Calibri" w:hAnsi="Calibri"/>
          <w:color w:val="2B2B2B"/>
          <w:sz w:val="22"/>
          <w:szCs w:val="22"/>
        </w:rPr>
        <w:t xml:space="preserve"> Partner with accredited rehabilitation centers and home-health agencies for step-down recovery, transitioning stable patients out of high-cost acute beds.</w:t>
      </w:r>
    </w:p>
    <w:p>
      <w:pPr>
        <w:pStyle w:val="ListParagraph"/>
        <w:numPr>
          <w:ilvl w:val="0"/>
          <w:numId w:val="1"/>
        </w:numPr>
        <w:spacing w:after="60" w:before="60" w:line="260"/>
      </w:pPr>
      <w:r>
        <w:rPr>
          <w:rFonts w:ascii="Calibri" w:cs="Calibri" w:eastAsia="Calibri" w:hAnsi="Calibri"/>
          <w:b/>
          <w:bCs/>
          <w:color w:val="1B365D"/>
          <w:sz w:val="22"/>
          <w:szCs w:val="22"/>
        </w:rPr>
        <w:t xml:space="preserve">Emergency Department Fast-Track Unit:</w:t>
      </w:r>
      <w:r>
        <w:rPr>
          <w:rFonts w:ascii="Calibri" w:cs="Calibri" w:eastAsia="Calibri" w:hAnsi="Calibri"/>
          <w:color w:val="2B2B2B"/>
          <w:sz w:val="22"/>
          <w:szCs w:val="22"/>
        </w:rPr>
        <w:t xml:space="preserve"> Formalize a rapid-triage clinical stream to maintain Emergency ALOS below 36 hours and decrease avoidable inpatient admissions.</w:t>
      </w:r>
    </w:p>
    <w:p>
      <w:pPr>
        <w:pStyle w:val="Heading2"/>
        <w:spacing w:after="120" w:before="260"/>
      </w:pPr>
      <w:r>
        <w:rPr>
          <w:rFonts w:ascii="Calibri" w:cs="Calibri" w:eastAsia="Calibri" w:hAnsi="Calibri"/>
          <w:b/>
          <w:bCs/>
          <w:color w:val="008080"/>
          <w:sz w:val="26"/>
          <w:szCs w:val="26"/>
        </w:rPr>
        <w:t xml:space="preserve">3. Capacity Planning &amp; Service Line Diversification (Long-Term 6-12 Months)</w:t>
      </w:r>
    </w:p>
    <w:p>
      <w:pPr>
        <w:pStyle w:val="ListParagraph"/>
        <w:numPr>
          <w:ilvl w:val="0"/>
          <w:numId w:val="1"/>
        </w:numPr>
        <w:spacing w:after="60" w:before="60" w:line="260"/>
      </w:pPr>
      <w:r>
        <w:rPr>
          <w:rFonts w:ascii="Calibri" w:cs="Calibri" w:eastAsia="Calibri" w:hAnsi="Calibri"/>
          <w:b/>
          <w:bCs/>
          <w:color w:val="1B365D"/>
          <w:sz w:val="22"/>
          <w:szCs w:val="22"/>
        </w:rPr>
        <w:t xml:space="preserve">Dynamic Staffing Models:</w:t>
      </w:r>
      <w:r>
        <w:rPr>
          <w:rFonts w:ascii="Calibri" w:cs="Calibri" w:eastAsia="Calibri" w:hAnsi="Calibri"/>
          <w:color w:val="2B2B2B"/>
          <w:sz w:val="22"/>
          <w:szCs w:val="22"/>
        </w:rPr>
        <w:t xml:space="preserve"> Shift from static nurse staffing to census-driven rotas that adjust staffing levels ahead of anticipated Q4 surges (November/December).</w:t>
      </w:r>
    </w:p>
    <w:p>
      <w:pPr>
        <w:pStyle w:val="ListParagraph"/>
        <w:numPr>
          <w:ilvl w:val="0"/>
          <w:numId w:val="1"/>
        </w:numPr>
        <w:spacing w:after="60" w:before="60" w:line="260"/>
      </w:pPr>
      <w:r>
        <w:rPr>
          <w:rFonts w:ascii="Calibri" w:cs="Calibri" w:eastAsia="Calibri" w:hAnsi="Calibri"/>
          <w:b/>
          <w:bCs/>
          <w:color w:val="1B365D"/>
          <w:sz w:val="22"/>
          <w:szCs w:val="22"/>
        </w:rPr>
        <w:t xml:space="preserve">Geriatric Health &amp; Chronic Disease Center:</w:t>
      </w:r>
      <w:r>
        <w:rPr>
          <w:rFonts w:ascii="Calibri" w:cs="Calibri" w:eastAsia="Calibri" w:hAnsi="Calibri"/>
          <w:color w:val="2B2B2B"/>
          <w:sz w:val="22"/>
          <w:szCs w:val="22"/>
        </w:rPr>
        <w:t xml:space="preserve"> Capitalize on the 46.7% patient segment aged 51+ by establishing a specialized Chronic Care Management clinic for hypertension, arrhythmia, and diabetes, driving recurring outpatient revenue.</w:t>
      </w:r>
    </w:p>
    <w:p>
      <w:pPr>
        <w:pStyle w:val="ListParagraph"/>
        <w:numPr>
          <w:ilvl w:val="0"/>
          <w:numId w:val="1"/>
        </w:numPr>
        <w:spacing w:after="60" w:before="60" w:line="260"/>
      </w:pPr>
      <w:r>
        <w:rPr>
          <w:rFonts w:ascii="Calibri" w:cs="Calibri" w:eastAsia="Calibri" w:hAnsi="Calibri"/>
          <w:b/>
          <w:bCs/>
          <w:color w:val="1B365D"/>
          <w:sz w:val="22"/>
          <w:szCs w:val="22"/>
        </w:rPr>
        <w:t xml:space="preserve">Expansion of Neurology &amp; Pediatric Outpatient Services:</w:t>
      </w:r>
      <w:r>
        <w:rPr>
          <w:rFonts w:ascii="Calibri" w:cs="Calibri" w:eastAsia="Calibri" w:hAnsi="Calibri"/>
          <w:color w:val="2B2B2B"/>
          <w:sz w:val="22"/>
          <w:szCs w:val="22"/>
        </w:rPr>
        <w:t xml:space="preserve"> Expand diagnostic imaging and outpatient therapy to increase margin capture in low-volume, high-opportunity specialties.</w:t>
      </w:r>
    </w:p>
    <w:p>
      <w:pPr>
        <w:pStyle w:val="Heading1"/>
        <w:spacing w:after="160" w:before="360"/>
      </w:pPr>
      <w:r>
        <w:rPr>
          <w:rFonts w:ascii="Calibri" w:cs="Calibri" w:eastAsia="Calibri" w:hAnsi="Calibri"/>
          <w:b/>
          <w:bCs/>
          <w:color w:val="1B365D"/>
          <w:sz w:val="30"/>
          <w:szCs w:val="30"/>
        </w:rPr>
        <w:t xml:space="preserve">VII. Conclusion</w:t>
      </w:r>
    </w:p>
    <w:p>
      <w:pPr>
        <w:spacing w:after="120" w:before="80" w:line="280"/>
      </w:pPr>
      <w:r>
        <w:rPr>
          <w:rFonts w:ascii="Calibri" w:cs="Calibri" w:eastAsia="Calibri" w:hAnsi="Calibri"/>
          <w:b w:val="false"/>
          <w:bCs w:val="false"/>
          <w:color w:val="2B2B2B"/>
          <w:sz w:val="22"/>
          <w:szCs w:val="22"/>
        </w:rPr>
        <w:t xml:space="preserve">The Secure Health General Hospital Performance Analytics project successfully bridges clinical operations and administrative finance. By consolidating 1,000 patient records into an intuitive, interactive Microsoft Excel business intelligence dashboard, executive leadership is now equipped with the precise data needed to eliminate operational blind spots.</w:t>
      </w:r>
    </w:p>
    <w:p>
      <w:pPr>
        <w:spacing w:after="120" w:before="80" w:line="280"/>
      </w:pPr>
      <w:r>
        <w:rPr>
          <w:rFonts w:ascii="Calibri" w:cs="Calibri" w:eastAsia="Calibri" w:hAnsi="Calibri"/>
          <w:b w:val="false"/>
          <w:bCs w:val="false"/>
          <w:color w:val="2B2B2B"/>
          <w:sz w:val="22"/>
          <w:szCs w:val="22"/>
        </w:rPr>
        <w:t xml:space="preserve">The insights clearly reveal a financially viable institution driven by premier Orthopedic and Cardiology care, but one hindered by sluggish bed turnover and an urgent $3.48M accounts receivable backlog. Enacting the proposed Revenue Cycle enhancements and ERAS clinical pathways will accelerate cash flow, optimize patient capacity, and sustain high-quality patient care well into the future.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9b8cf9e3a67523a536b274cd7629f1de3d2244d.jpg"/><Relationship Id="rId8" Type="http://schemas.openxmlformats.org/officeDocument/2006/relationships/image" Target="media/ed2a73f2cf327f4ae7936fa2a03e28e09892a4f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2026-10-26T12:38:39.053Z</dcterms:created>
  <dcterms:modified xsi:type="dcterms:W3CDTF">2026-10-26T12:38:39.058Z</dcterms:modified>
</cp:coreProperties>
</file>

<file path=docProps/custom.xml><?xml version="1.0" encoding="utf-8"?>
<Properties xmlns="http://schemas.openxmlformats.org/officeDocument/2006/custom-properties" xmlns:vt="http://schemas.openxmlformats.org/officeDocument/2006/docPropsVTypes"/>
</file>